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hint="eastAsia"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ascii="宋体" w:hAnsi="宋体" w:eastAsia="宋体"/>
          <w:sz w:val="36"/>
        </w:rPr>
      </w:pPr>
      <w:r>
        <w:rPr>
          <w:rFonts w:hint="eastAsia" w:ascii="宋体" w:hAnsi="宋体" w:eastAsia="宋体"/>
          <w:sz w:val="36"/>
        </w:rPr>
        <w:t>招标编号：设2020-9 - 18A</w:t>
      </w:r>
    </w:p>
    <w:p>
      <w:pPr>
        <w:kinsoku w:val="0"/>
        <w:wordWrap w:val="0"/>
        <w:topLinePunct/>
        <w:ind w:firstLine="1494"/>
        <w:rPr>
          <w:rFonts w:ascii="宋体" w:hAnsi="宋体" w:eastAsia="宋体"/>
          <w:sz w:val="32"/>
        </w:rPr>
      </w:pPr>
      <w:r>
        <w:rPr>
          <w:rFonts w:hint="eastAsia" w:ascii="宋体" w:hAnsi="宋体" w:eastAsia="宋体"/>
          <w:sz w:val="36"/>
        </w:rPr>
        <w:t>项目名称：</w:t>
      </w:r>
      <w:r>
        <w:rPr>
          <w:rFonts w:hint="eastAsia"/>
          <w:sz w:val="36"/>
          <w:szCs w:val="36"/>
        </w:rPr>
        <w:t>新增医学院新教学楼FM听音系统</w:t>
      </w:r>
      <w:r>
        <w:rPr>
          <w:rFonts w:hint="eastAsia" w:ascii="宋体" w:hAnsi="宋体" w:eastAsia="宋体" w:cs="宋体"/>
          <w:b/>
          <w:sz w:val="36"/>
          <w:szCs w:val="36"/>
        </w:rPr>
        <w:t>项目</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pict>
          <v:shape id="_x0000_i1025" o:spt="75" type="#_x0000_t75" style="height:65.25pt;width:59.25pt;" filled="f" o:preferrelative="t" stroked="f" coordsize="21600,21600">
            <v:path/>
            <v:fill on="f" focussize="0,0"/>
            <v:stroke on="f" joinstyle="miter"/>
            <v:imagedata r:id="rId7" r:href="rId8" o:title=""/>
            <o:lock v:ext="edit" aspectratio="t"/>
            <w10:wrap type="none"/>
            <w10:anchorlock/>
          </v:shape>
        </w:pict>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ascii="宋体" w:hAnsi="宋体" w:eastAsia="宋体"/>
          <w:sz w:val="44"/>
        </w:rPr>
      </w:pPr>
      <w:r>
        <w:rPr>
          <w:rFonts w:hint="eastAsia" w:ascii="宋体" w:hAnsi="宋体" w:eastAsia="宋体"/>
          <w:sz w:val="44"/>
        </w:rPr>
        <w:t xml:space="preserve">2020．9 .18 </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正本（含资质文件）一份，副本七份[仅体现报价及配置等内容，在副本上不能出现公司名称及标识等任何可以体现出具体投标公司的内容（封面除外），否则视为废标]</w:t>
      </w:r>
      <w:r>
        <w:rPr>
          <w:rFonts w:hint="eastAsia" w:ascii="宋体" w:hAnsi="Arial Narrow" w:eastAsia="宋体"/>
          <w:sz w:val="18"/>
        </w:rPr>
        <w:t>。</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向我院缴交资料费时用此专用户头：单位名称：（汕头大学医学院 ）  帐号：（</w:t>
      </w:r>
      <w:r>
        <w:rPr>
          <w:rFonts w:hint="eastAsia" w:ascii="宋体" w:hAnsi="Arial Narrow" w:eastAsia="宋体"/>
          <w:b/>
          <w:sz w:val="21"/>
          <w:szCs w:val="21"/>
        </w:rPr>
        <w:t>705557744822</w:t>
      </w:r>
      <w:r>
        <w:rPr>
          <w:rFonts w:hint="eastAsia" w:ascii="宋体" w:hAnsi="Arial Narrow" w:eastAsia="宋体"/>
          <w:sz w:val="18"/>
        </w:rPr>
        <w:t>）  开户行：（中行嘉泰支行）</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ind w:firstLine="393"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新增医学院新教学楼FM听音系统</w:t>
      </w:r>
      <w:r>
        <w:rPr>
          <w:rFonts w:hint="eastAsia" w:asciiTheme="minorEastAsia" w:hAnsiTheme="minorEastAsia" w:eastAsiaTheme="minorEastAsia"/>
          <w:b/>
          <w:sz w:val="21"/>
          <w:szCs w:val="21"/>
        </w:rPr>
        <w:t>（预算9.37万元）</w:t>
      </w:r>
    </w:p>
    <w:p>
      <w:pPr>
        <w:rPr>
          <w:rFonts w:ascii="宋体" w:hAnsi="宋体" w:eastAsia="宋体"/>
          <w:b/>
          <w:sz w:val="21"/>
          <w:szCs w:val="21"/>
        </w:rPr>
      </w:pP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6"/>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报价方式：以</w:t>
      </w:r>
      <w:r>
        <w:rPr>
          <w:rFonts w:hint="eastAsia" w:ascii="宋体" w:hAnsi="Arial Narrow" w:eastAsia="宋体"/>
          <w:b/>
          <w:bCs/>
          <w:sz w:val="18"/>
        </w:rPr>
        <w:t>人民币</w:t>
      </w:r>
      <w:r>
        <w:rPr>
          <w:rFonts w:hint="eastAsia" w:ascii="宋体" w:hAnsi="Arial Narrow" w:eastAsia="宋体"/>
          <w:sz w:val="18"/>
        </w:rPr>
        <w:t>报价。</w:t>
      </w:r>
    </w:p>
    <w:p>
      <w:pPr>
        <w:numPr>
          <w:ilvl w:val="0"/>
          <w:numId w:val="6"/>
        </w:numPr>
        <w:tabs>
          <w:tab w:val="left" w:pos="0"/>
          <w:tab w:val="clear" w:pos="425"/>
        </w:tabs>
        <w:kinsoku w:val="0"/>
        <w:wordWrap w:val="0"/>
        <w:topLinePunct/>
        <w:ind w:left="664" w:hanging="332"/>
        <w:rPr>
          <w:rFonts w:ascii="宋体" w:hAnsi="宋体" w:eastAsia="宋体"/>
          <w:sz w:val="18"/>
        </w:rPr>
      </w:pPr>
      <w:r>
        <w:rPr>
          <w:rFonts w:hint="eastAsia" w:ascii="宋体" w:hAnsi="Arial Narrow" w:eastAsia="宋体"/>
          <w:sz w:val="18"/>
        </w:rPr>
        <w:t>报价要求：1）设备按单台套报价，工程按设备、材料、工程安装费用分别报价，都必须含税价及运输安装等有关一切费用；2）</w:t>
      </w:r>
      <w:r>
        <w:rPr>
          <w:rFonts w:hint="eastAsia" w:ascii="宋体" w:hAnsi="宋体"/>
          <w:sz w:val="21"/>
          <w:szCs w:val="21"/>
        </w:rPr>
        <w:t>享受海关免税优惠政策的进口科教用品，投标人应报设备免税价（CIF汕头）；3）服务类报价按标书要求报总价或单项价格。</w:t>
      </w:r>
    </w:p>
    <w:p>
      <w:pPr>
        <w:pStyle w:val="20"/>
        <w:keepNext w:val="0"/>
        <w:keepLines w:val="0"/>
        <w:widowControl/>
        <w:numPr>
          <w:ilvl w:val="0"/>
          <w:numId w:val="7"/>
        </w:numPr>
        <w:suppressLineNumbers w:val="0"/>
        <w:rPr>
          <w:rStyle w:val="24"/>
          <w:rFonts w:hint="eastAsia" w:ascii="宋体" w:hAnsi="宋体" w:eastAsia="宋体" w:cs="宋体"/>
          <w:b/>
          <w:sz w:val="21"/>
          <w:szCs w:val="21"/>
        </w:rPr>
      </w:pPr>
      <w:r>
        <w:rPr>
          <w:rStyle w:val="24"/>
          <w:rFonts w:hint="eastAsia" w:ascii="宋体" w:hAnsi="宋体" w:eastAsia="宋体" w:cs="宋体"/>
          <w:b/>
          <w:sz w:val="21"/>
          <w:szCs w:val="21"/>
        </w:rPr>
        <w:t>提交投标书的方式、地点和截止时间</w:t>
      </w:r>
    </w:p>
    <w:p>
      <w:pPr>
        <w:pStyle w:val="20"/>
        <w:keepNext w:val="0"/>
        <w:keepLines w:val="0"/>
        <w:widowControl/>
        <w:suppressLineNumbers w:val="0"/>
      </w:pPr>
      <w:r>
        <w:rPr>
          <w:rFonts w:ascii="仿宋_GB2312" w:eastAsia="仿宋_GB2312" w:cs="仿宋_GB2312"/>
          <w:sz w:val="21"/>
          <w:szCs w:val="21"/>
        </w:rPr>
        <w:t> 1.回标截止时间、地点：</w:t>
      </w:r>
      <w:r>
        <w:rPr>
          <w:rFonts w:hint="default" w:ascii="仿宋_GB2312" w:eastAsia="仿宋_GB2312" w:cs="仿宋_GB2312"/>
          <w:sz w:val="21"/>
          <w:szCs w:val="21"/>
        </w:rPr>
        <w:t>投标书必须以密封加盖骑缝章的形式于2020年 9月 29日上午11:00前送达汕头大学医学院行政楼六楼设备科</w:t>
      </w:r>
    </w:p>
    <w:p>
      <w:pPr>
        <w:pStyle w:val="20"/>
        <w:keepNext w:val="0"/>
        <w:keepLines w:val="0"/>
        <w:widowControl/>
        <w:suppressLineNumbers w:val="0"/>
        <w:ind w:left="0" w:firstLine="780"/>
      </w:pPr>
      <w:r>
        <w:rPr>
          <w:rFonts w:hint="default" w:ascii="仿宋_GB2312" w:eastAsia="仿宋_GB2312" w:cs="仿宋_GB2312"/>
          <w:sz w:val="21"/>
          <w:szCs w:val="21"/>
        </w:rPr>
        <w:t>联系人：方冶、杨成瑜</w:t>
      </w:r>
    </w:p>
    <w:p>
      <w:pPr>
        <w:pStyle w:val="20"/>
        <w:keepNext w:val="0"/>
        <w:keepLines w:val="0"/>
        <w:widowControl/>
        <w:suppressLineNumbers w:val="0"/>
        <w:ind w:firstLine="1048" w:firstLineChars="400"/>
        <w:rPr>
          <w:rFonts w:ascii="仿宋_GB2312" w:eastAsia="仿宋_GB2312" w:cs="仿宋_GB2312"/>
          <w:sz w:val="21"/>
          <w:szCs w:val="21"/>
        </w:rPr>
      </w:pPr>
      <w:r>
        <w:rPr>
          <w:rFonts w:hint="default" w:ascii="仿宋_GB2312" w:eastAsia="仿宋_GB2312" w:cs="仿宋_GB2312"/>
          <w:sz w:val="21"/>
          <w:szCs w:val="21"/>
        </w:rPr>
        <w:t>联系电话：88900477</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2.勘察现场时间：</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现场勘察时间定于2020年9 月27日上午9:00</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    联系人：林秀华</w:t>
      </w:r>
    </w:p>
    <w:p>
      <w:pPr>
        <w:pStyle w:val="20"/>
        <w:keepNext w:val="0"/>
        <w:keepLines w:val="0"/>
        <w:widowControl/>
        <w:suppressLineNumbers w:val="0"/>
        <w:rPr>
          <w:rFonts w:ascii="仿宋_GB2312" w:eastAsia="仿宋_GB2312" w:cs="仿宋_GB2312"/>
          <w:sz w:val="21"/>
          <w:szCs w:val="21"/>
        </w:rPr>
      </w:pPr>
      <w:r>
        <w:rPr>
          <w:rFonts w:hint="default" w:ascii="仿宋_GB2312" w:eastAsia="仿宋_GB2312" w:cs="仿宋_GB2312"/>
          <w:sz w:val="21"/>
          <w:szCs w:val="21"/>
        </w:rPr>
        <w:t>    联系电话：13502738120，邮箱： </w:t>
      </w:r>
      <w:r>
        <w:rPr>
          <w:rFonts w:ascii="仿宋_GB2312" w:eastAsia="仿宋_GB2312" w:cs="仿宋_GB2312"/>
          <w:sz w:val="21"/>
          <w:szCs w:val="21"/>
        </w:rPr>
        <w:fldChar w:fldCharType="begin"/>
      </w:r>
      <w:r>
        <w:rPr>
          <w:rFonts w:ascii="仿宋_GB2312" w:eastAsia="仿宋_GB2312" w:cs="仿宋_GB2312"/>
          <w:sz w:val="21"/>
          <w:szCs w:val="21"/>
        </w:rPr>
        <w:instrText xml:space="preserve"> HYPERLINK "mailto:linxiuhua@stu.edu.cn" </w:instrText>
      </w:r>
      <w:r>
        <w:rPr>
          <w:rFonts w:ascii="仿宋_GB2312" w:eastAsia="仿宋_GB2312" w:cs="仿宋_GB2312"/>
          <w:sz w:val="21"/>
          <w:szCs w:val="21"/>
        </w:rPr>
        <w:fldChar w:fldCharType="separate"/>
      </w:r>
      <w:r>
        <w:rPr>
          <w:rFonts w:hint="default" w:ascii="仿宋_GB2312" w:eastAsia="仿宋_GB2312" w:cs="仿宋_GB2312"/>
          <w:sz w:val="21"/>
          <w:szCs w:val="21"/>
        </w:rPr>
        <w:t>linxiuhua@stu.edu.cn</w:t>
      </w:r>
      <w:r>
        <w:rPr>
          <w:rFonts w:ascii="仿宋_GB2312" w:eastAsia="仿宋_GB2312" w:cs="仿宋_GB2312"/>
          <w:sz w:val="21"/>
          <w:szCs w:val="21"/>
        </w:rPr>
        <w:fldChar w:fldCharType="end"/>
      </w:r>
    </w:p>
    <w:p>
      <w:pPr>
        <w:numPr>
          <w:ilvl w:val="0"/>
          <w:numId w:val="0"/>
        </w:numPr>
        <w:tabs>
          <w:tab w:val="left" w:pos="0"/>
        </w:tabs>
        <w:kinsoku w:val="0"/>
        <w:wordWrap w:val="0"/>
        <w:topLinePunct/>
        <w:rPr>
          <w:rFonts w:ascii="宋体" w:hAnsi="宋体" w:eastAsia="宋体"/>
          <w:sz w:val="18"/>
        </w:rPr>
      </w:pPr>
    </w:p>
    <w:p>
      <w:pPr>
        <w:ind w:left="1920"/>
        <w:rPr>
          <w:rFonts w:hint="eastAsia" w:ascii="仿宋_GB2312"/>
        </w:rPr>
      </w:pPr>
      <w:bookmarkStart w:id="2" w:name="_GoBack"/>
      <w:bookmarkEnd w:id="2"/>
    </w:p>
    <w:p>
      <w:pPr>
        <w:kinsoku w:val="0"/>
        <w:wordWrap w:val="0"/>
        <w:topLinePunct/>
        <w:rPr>
          <w:rFonts w:ascii="宋体" w:hAnsi="Arial Narrow" w:eastAsia="宋体"/>
          <w:b/>
          <w:sz w:val="21"/>
        </w:rPr>
      </w:pPr>
      <w:r>
        <w:rPr>
          <w:rFonts w:hint="eastAsia" w:ascii="宋体" w:hAnsi="Arial Narrow" w:eastAsia="宋体"/>
          <w:b/>
          <w:sz w:val="21"/>
        </w:rPr>
        <w:t>五、评（议）标原则</w:t>
      </w:r>
    </w:p>
    <w:p>
      <w:pPr>
        <w:kinsoku w:val="0"/>
        <w:wordWrap w:val="0"/>
        <w:topLinePunct/>
        <w:rPr>
          <w:rFonts w:ascii="宋体" w:hAnsi="Arial Narrow" w:eastAsia="宋体"/>
          <w:b/>
          <w:sz w:val="21"/>
        </w:rPr>
      </w:pPr>
      <w:r>
        <w:rPr>
          <w:rFonts w:hint="eastAsia" w:ascii="宋体" w:eastAsia="宋体"/>
          <w:sz w:val="18"/>
        </w:rPr>
        <w:t>1.本次采购采用综合评分法，按分数高低选出中标候选人。</w:t>
      </w:r>
    </w:p>
    <w:p>
      <w:pPr>
        <w:pStyle w:val="2"/>
      </w:pPr>
      <w:r>
        <w:rPr>
          <w:rFonts w:hint="eastAsia" w:ascii="宋体" w:eastAsia="宋体"/>
          <w:sz w:val="18"/>
        </w:rPr>
        <w:t>2.</w:t>
      </w:r>
      <w:r>
        <w:rPr>
          <w:rFonts w:hint="eastAsia"/>
        </w:rPr>
        <w:t xml:space="preserve"> </w:t>
      </w:r>
      <w:r>
        <w:rPr>
          <w:rFonts w:hint="eastAsia"/>
          <w:sz w:val="21"/>
          <w:szCs w:val="21"/>
        </w:rPr>
        <w:t>评分表：</w:t>
      </w:r>
    </w:p>
    <w:p>
      <w:pPr>
        <w:pStyle w:val="17"/>
        <w:tabs>
          <w:tab w:val="left" w:pos="-166"/>
        </w:tabs>
        <w:kinsoku w:val="0"/>
        <w:wordWrap w:val="0"/>
        <w:topLinePunct/>
        <w:ind w:left="498" w:leftChars="150" w:firstLine="440" w:firstLineChars="190"/>
        <w:rPr>
          <w:rFonts w:ascii="宋体" w:eastAsia="宋体"/>
          <w:sz w:val="18"/>
        </w:rPr>
      </w:pPr>
    </w:p>
    <w:p>
      <w:pPr>
        <w:jc w:val="center"/>
        <w:rPr>
          <w:rFonts w:ascii="宋体" w:hAnsi="宋体"/>
          <w:b/>
          <w:color w:val="000000"/>
          <w:szCs w:val="21"/>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604"/>
        <w:gridCol w:w="155"/>
        <w:gridCol w:w="1731"/>
        <w:gridCol w:w="1083"/>
        <w:gridCol w:w="636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04"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color w:val="000000"/>
                <w:sz w:val="21"/>
                <w:szCs w:val="21"/>
              </w:rPr>
              <w:t>序号</w:t>
            </w:r>
          </w:p>
        </w:tc>
        <w:tc>
          <w:tcPr>
            <w:tcW w:w="949" w:type="pct"/>
            <w:gridSpan w:val="2"/>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color w:val="000000"/>
                <w:sz w:val="21"/>
                <w:szCs w:val="21"/>
              </w:rPr>
              <w:t>评审项目</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color w:val="000000"/>
                <w:sz w:val="21"/>
                <w:szCs w:val="21"/>
              </w:rPr>
            </w:pPr>
            <w:r>
              <w:rPr>
                <w:color w:val="000000"/>
                <w:sz w:val="21"/>
                <w:szCs w:val="21"/>
              </w:rPr>
              <w:t>单项</w:t>
            </w:r>
          </w:p>
          <w:p>
            <w:pPr>
              <w:jc w:val="center"/>
              <w:rPr>
                <w:rFonts w:ascii="宋体" w:hAnsi="宋体" w:cs="宋体"/>
                <w:color w:val="000000"/>
                <w:sz w:val="21"/>
                <w:szCs w:val="21"/>
              </w:rPr>
            </w:pPr>
            <w:r>
              <w:rPr>
                <w:rFonts w:hint="eastAsia"/>
                <w:color w:val="000000"/>
                <w:sz w:val="21"/>
                <w:szCs w:val="21"/>
              </w:rPr>
              <w:t>分值</w:t>
            </w:r>
          </w:p>
        </w:tc>
        <w:tc>
          <w:tcPr>
            <w:tcW w:w="3202"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color w:val="000000"/>
                <w:sz w:val="21"/>
                <w:szCs w:val="21"/>
              </w:rPr>
              <w:t>评分范围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000" w:type="pct"/>
            <w:gridSpan w:val="5"/>
            <w:tcBorders>
              <w:top w:val="outset" w:color="111111" w:sz="6" w:space="0"/>
              <w:left w:val="outset" w:color="111111" w:sz="6" w:space="0"/>
              <w:bottom w:val="outset" w:color="111111" w:sz="6" w:space="0"/>
              <w:right w:val="outset" w:color="111111" w:sz="6" w:space="0"/>
            </w:tcBorders>
            <w:vAlign w:val="center"/>
          </w:tcPr>
          <w:p>
            <w:pPr>
              <w:jc w:val="center"/>
              <w:rPr>
                <w:color w:val="000000"/>
                <w:sz w:val="21"/>
                <w:szCs w:val="21"/>
              </w:rPr>
            </w:pPr>
            <w:r>
              <w:rPr>
                <w:rFonts w:hint="eastAsia"/>
                <w:color w:val="000000"/>
                <w:sz w:val="21"/>
                <w:szCs w:val="21"/>
              </w:rPr>
              <w:t>价格评审</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04" w:type="pct"/>
            <w:tcBorders>
              <w:top w:val="outset" w:color="111111" w:sz="6" w:space="0"/>
              <w:left w:val="outset" w:color="111111" w:sz="6" w:space="0"/>
              <w:bottom w:val="outset" w:color="111111" w:sz="6" w:space="0"/>
              <w:right w:val="outset" w:color="111111" w:sz="6" w:space="0"/>
            </w:tcBorders>
            <w:vAlign w:val="center"/>
          </w:tcPr>
          <w:p>
            <w:pPr>
              <w:jc w:val="center"/>
              <w:rPr>
                <w:color w:val="000000"/>
                <w:sz w:val="21"/>
                <w:szCs w:val="21"/>
              </w:rPr>
            </w:pPr>
            <w:r>
              <w:rPr>
                <w:rFonts w:hint="eastAsia"/>
                <w:color w:val="000000"/>
                <w:sz w:val="21"/>
                <w:szCs w:val="21"/>
              </w:rPr>
              <w:t>1</w:t>
            </w:r>
          </w:p>
        </w:tc>
        <w:tc>
          <w:tcPr>
            <w:tcW w:w="949" w:type="pct"/>
            <w:gridSpan w:val="2"/>
            <w:tcBorders>
              <w:top w:val="outset" w:color="111111" w:sz="6" w:space="0"/>
              <w:left w:val="outset" w:color="111111" w:sz="6" w:space="0"/>
              <w:bottom w:val="outset" w:color="111111" w:sz="6" w:space="0"/>
              <w:right w:val="outset" w:color="111111" w:sz="6" w:space="0"/>
            </w:tcBorders>
            <w:vAlign w:val="center"/>
          </w:tcPr>
          <w:p>
            <w:pPr>
              <w:jc w:val="center"/>
              <w:rPr>
                <w:color w:val="000000"/>
                <w:sz w:val="21"/>
                <w:szCs w:val="21"/>
              </w:rPr>
            </w:pPr>
            <w:r>
              <w:rPr>
                <w:rFonts w:hint="eastAsia"/>
                <w:color w:val="000000"/>
                <w:sz w:val="21"/>
                <w:szCs w:val="21"/>
              </w:rPr>
              <w:t>项目报价</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color w:val="000000"/>
                <w:sz w:val="21"/>
                <w:szCs w:val="21"/>
              </w:rPr>
            </w:pPr>
            <w:r>
              <w:rPr>
                <w:rFonts w:hint="eastAsia"/>
                <w:color w:val="000000"/>
                <w:sz w:val="21"/>
                <w:szCs w:val="21"/>
              </w:rPr>
              <w:t>30</w:t>
            </w:r>
          </w:p>
        </w:tc>
        <w:tc>
          <w:tcPr>
            <w:tcW w:w="3202" w:type="pct"/>
            <w:tcBorders>
              <w:top w:val="outset" w:color="111111" w:sz="6" w:space="0"/>
              <w:left w:val="outset" w:color="111111" w:sz="6" w:space="0"/>
              <w:bottom w:val="outset" w:color="111111" w:sz="6" w:space="0"/>
              <w:right w:val="outset" w:color="111111" w:sz="6" w:space="0"/>
            </w:tcBorders>
            <w:vAlign w:val="center"/>
          </w:tcPr>
          <w:p>
            <w:pPr>
              <w:jc w:val="center"/>
              <w:rPr>
                <w:color w:val="000000"/>
                <w:sz w:val="21"/>
                <w:szCs w:val="21"/>
              </w:rPr>
            </w:pPr>
            <w:r>
              <w:rPr>
                <w:rFonts w:hint="eastAsia" w:ascii="宋体" w:hAnsi="宋体" w:cs="宋体"/>
                <w:bCs/>
                <w:kern w:val="0"/>
                <w:sz w:val="21"/>
                <w:szCs w:val="21"/>
              </w:rPr>
              <w:t>各有效响应供应商的最终报价中，取最低的报价为评审基准价，其价格分为满分。其他供应商的价格分统一按照下列公式计算：报价得分=（评审基准价／最终报价）×30</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000" w:type="pct"/>
            <w:gridSpan w:val="5"/>
            <w:tcBorders>
              <w:top w:val="outset" w:color="111111" w:sz="6" w:space="0"/>
              <w:left w:val="outset" w:color="111111" w:sz="6" w:space="0"/>
              <w:bottom w:val="outset" w:color="111111" w:sz="6" w:space="0"/>
              <w:right w:val="outset" w:color="111111" w:sz="6" w:space="0"/>
            </w:tcBorders>
            <w:vAlign w:val="center"/>
          </w:tcPr>
          <w:p>
            <w:pPr>
              <w:jc w:val="left"/>
              <w:rPr>
                <w:color w:val="000000"/>
                <w:sz w:val="21"/>
                <w:szCs w:val="21"/>
              </w:rPr>
            </w:pPr>
            <w:r>
              <w:rPr>
                <w:rFonts w:hint="eastAsia" w:ascii="宋体" w:hAnsi="宋体"/>
                <w:color w:val="000000"/>
                <w:sz w:val="21"/>
                <w:szCs w:val="21"/>
              </w:rPr>
              <w:t xml:space="preserve">                                 技术评审</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04"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color w:val="000000"/>
                <w:sz w:val="21"/>
                <w:szCs w:val="21"/>
              </w:rPr>
              <w:t>1</w:t>
            </w:r>
          </w:p>
        </w:tc>
        <w:tc>
          <w:tcPr>
            <w:tcW w:w="949" w:type="pct"/>
            <w:gridSpan w:val="2"/>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整体的技术响应程度</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10</w:t>
            </w:r>
          </w:p>
        </w:tc>
        <w:tc>
          <w:tcPr>
            <w:tcW w:w="3202" w:type="pct"/>
            <w:tcBorders>
              <w:top w:val="outset" w:color="111111" w:sz="6" w:space="0"/>
              <w:left w:val="outset" w:color="111111" w:sz="6" w:space="0"/>
              <w:bottom w:val="outset" w:color="111111" w:sz="6" w:space="0"/>
              <w:right w:val="outset" w:color="111111" w:sz="6" w:space="0"/>
            </w:tcBorders>
            <w:vAlign w:val="center"/>
          </w:tcPr>
          <w:p>
            <w:pPr>
              <w:rPr>
                <w:color w:val="000000"/>
                <w:sz w:val="21"/>
                <w:szCs w:val="21"/>
              </w:rPr>
            </w:pPr>
            <w:r>
              <w:rPr>
                <w:color w:val="000000"/>
                <w:sz w:val="21"/>
                <w:szCs w:val="21"/>
              </w:rPr>
              <w:t>考查整体投标货物对招标文件技术要求的响应程度，优于招标文件要求（</w:t>
            </w:r>
            <w:r>
              <w:rPr>
                <w:rFonts w:hint="eastAsia"/>
                <w:color w:val="000000"/>
                <w:sz w:val="21"/>
                <w:szCs w:val="21"/>
              </w:rPr>
              <w:t>7</w:t>
            </w:r>
            <w:r>
              <w:rPr>
                <w:color w:val="000000"/>
                <w:sz w:val="21"/>
                <w:szCs w:val="21"/>
              </w:rPr>
              <w:t>-</w:t>
            </w:r>
            <w:r>
              <w:rPr>
                <w:rFonts w:hint="eastAsia"/>
                <w:color w:val="000000"/>
                <w:sz w:val="21"/>
                <w:szCs w:val="21"/>
              </w:rPr>
              <w:t>10</w:t>
            </w:r>
            <w:r>
              <w:rPr>
                <w:color w:val="000000"/>
                <w:sz w:val="21"/>
                <w:szCs w:val="21"/>
              </w:rPr>
              <w:t>），满足（</w:t>
            </w:r>
            <w:r>
              <w:rPr>
                <w:rFonts w:hint="eastAsia"/>
                <w:color w:val="000000"/>
                <w:sz w:val="21"/>
                <w:szCs w:val="21"/>
              </w:rPr>
              <w:t>3</w:t>
            </w:r>
            <w:r>
              <w:rPr>
                <w:color w:val="000000"/>
                <w:sz w:val="21"/>
                <w:szCs w:val="21"/>
              </w:rPr>
              <w:t>-</w:t>
            </w:r>
            <w:r>
              <w:rPr>
                <w:rFonts w:hint="eastAsia"/>
                <w:color w:val="000000"/>
                <w:sz w:val="21"/>
                <w:szCs w:val="21"/>
              </w:rPr>
              <w:t>6</w:t>
            </w:r>
            <w:r>
              <w:rPr>
                <w:color w:val="000000"/>
                <w:sz w:val="21"/>
                <w:szCs w:val="21"/>
              </w:rPr>
              <w:t>），不完全响应</w:t>
            </w:r>
            <w:r>
              <w:rPr>
                <w:rFonts w:hint="eastAsia"/>
                <w:color w:val="000000"/>
                <w:sz w:val="21"/>
                <w:szCs w:val="21"/>
              </w:rPr>
              <w:t>或带</w:t>
            </w:r>
            <w:r>
              <w:rPr>
                <w:rFonts w:hint="eastAsia" w:ascii="宋体" w:hAnsi="宋体"/>
                <w:color w:val="000000"/>
                <w:sz w:val="21"/>
                <w:szCs w:val="21"/>
              </w:rPr>
              <w:t>▲条款有不满足的</w:t>
            </w:r>
            <w:r>
              <w:rPr>
                <w:color w:val="000000"/>
                <w:sz w:val="21"/>
                <w:szCs w:val="21"/>
              </w:rPr>
              <w:t>（0-</w:t>
            </w:r>
            <w:r>
              <w:rPr>
                <w:rFonts w:hint="eastAsia"/>
                <w:color w:val="000000"/>
                <w:sz w:val="21"/>
                <w:szCs w:val="21"/>
              </w:rPr>
              <w:t>2</w:t>
            </w:r>
            <w:r>
              <w:rPr>
                <w:color w:val="000000"/>
                <w:sz w:val="21"/>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04"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color w:val="000000"/>
                <w:sz w:val="21"/>
                <w:szCs w:val="21"/>
              </w:rPr>
              <w:t>2</w:t>
            </w:r>
          </w:p>
        </w:tc>
        <w:tc>
          <w:tcPr>
            <w:tcW w:w="949" w:type="pct"/>
            <w:gridSpan w:val="2"/>
            <w:tcBorders>
              <w:top w:val="outset" w:color="111111" w:sz="6" w:space="0"/>
              <w:left w:val="outset" w:color="111111" w:sz="6" w:space="0"/>
              <w:bottom w:val="outset" w:color="111111" w:sz="6" w:space="0"/>
              <w:right w:val="outset" w:color="111111" w:sz="6" w:space="0"/>
            </w:tcBorders>
            <w:vAlign w:val="center"/>
          </w:tcPr>
          <w:p>
            <w:pPr>
              <w:spacing w:line="0" w:lineRule="atLeast"/>
              <w:jc w:val="left"/>
              <w:rPr>
                <w:rFonts w:ascii="宋体" w:hAnsi="宋体"/>
                <w:sz w:val="21"/>
                <w:szCs w:val="21"/>
              </w:rPr>
            </w:pPr>
            <w:r>
              <w:rPr>
                <w:rFonts w:hint="eastAsia"/>
                <w:color w:val="000000"/>
                <w:sz w:val="21"/>
                <w:szCs w:val="21"/>
              </w:rPr>
              <w:t>产品技术性能</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ascii="宋体" w:hAnsi="宋体" w:cs="宋体"/>
                <w:color w:val="000000"/>
                <w:sz w:val="21"/>
                <w:szCs w:val="21"/>
              </w:rPr>
              <w:t>30</w:t>
            </w:r>
          </w:p>
        </w:tc>
        <w:tc>
          <w:tcPr>
            <w:tcW w:w="3202" w:type="pct"/>
            <w:tcBorders>
              <w:top w:val="outset" w:color="111111" w:sz="6" w:space="0"/>
              <w:left w:val="outset" w:color="111111" w:sz="6" w:space="0"/>
              <w:bottom w:val="outset" w:color="111111" w:sz="6" w:space="0"/>
              <w:right w:val="outset" w:color="111111" w:sz="6" w:space="0"/>
            </w:tcBorders>
            <w:vAlign w:val="center"/>
          </w:tcPr>
          <w:p>
            <w:pPr>
              <w:rPr>
                <w:color w:val="000000"/>
                <w:sz w:val="21"/>
                <w:szCs w:val="21"/>
              </w:rPr>
            </w:pPr>
            <w:r>
              <w:rPr>
                <w:rFonts w:hint="eastAsia"/>
                <w:color w:val="000000"/>
                <w:sz w:val="21"/>
                <w:szCs w:val="21"/>
              </w:rPr>
              <w:t>满足用户需求书的技术参数要求的得30分</w:t>
            </w:r>
          </w:p>
          <w:p>
            <w:pPr>
              <w:spacing w:line="0" w:lineRule="atLeast"/>
              <w:jc w:val="left"/>
              <w:rPr>
                <w:color w:val="000000"/>
                <w:sz w:val="21"/>
                <w:szCs w:val="21"/>
              </w:rPr>
            </w:pPr>
            <w:r>
              <w:rPr>
                <w:rFonts w:hint="eastAsia"/>
                <w:color w:val="000000"/>
                <w:sz w:val="21"/>
                <w:szCs w:val="21"/>
              </w:rPr>
              <w:t>每负偏离一项带“▲”的重要技术参数，扣3分，</w:t>
            </w:r>
          </w:p>
          <w:p>
            <w:pPr>
              <w:rPr>
                <w:color w:val="000000"/>
                <w:sz w:val="21"/>
                <w:szCs w:val="21"/>
              </w:rPr>
            </w:pPr>
            <w:r>
              <w:rPr>
                <w:rFonts w:hint="eastAsia"/>
                <w:color w:val="000000"/>
                <w:sz w:val="21"/>
                <w:szCs w:val="21"/>
              </w:rPr>
              <w:t>每负偏离一项非“▲”的一般技术参数，扣1.5分，扣完为止</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04"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3</w:t>
            </w:r>
          </w:p>
        </w:tc>
        <w:tc>
          <w:tcPr>
            <w:tcW w:w="949" w:type="pct"/>
            <w:gridSpan w:val="2"/>
            <w:tcBorders>
              <w:top w:val="outset" w:color="111111" w:sz="6" w:space="0"/>
              <w:left w:val="outset" w:color="111111" w:sz="6" w:space="0"/>
              <w:bottom w:val="outset" w:color="111111" w:sz="6" w:space="0"/>
              <w:right w:val="outset" w:color="111111" w:sz="6" w:space="0"/>
            </w:tcBorders>
            <w:vAlign w:val="center"/>
          </w:tcPr>
          <w:p>
            <w:pPr>
              <w:rPr>
                <w:color w:val="000000"/>
                <w:sz w:val="21"/>
                <w:szCs w:val="21"/>
              </w:rPr>
            </w:pPr>
            <w:r>
              <w:rPr>
                <w:color w:val="000000"/>
                <w:sz w:val="21"/>
                <w:szCs w:val="21"/>
              </w:rPr>
              <w:t>施工方案的可行性和可操作性</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施工方案设计合理、先进，能考虑采购方的现有状况：</w:t>
            </w:r>
            <w:r>
              <w:rPr>
                <w:rFonts w:hint="eastAsia"/>
                <w:color w:val="000000"/>
                <w:sz w:val="21"/>
                <w:szCs w:val="21"/>
              </w:rPr>
              <w:t>5</w:t>
            </w:r>
            <w:r>
              <w:rPr>
                <w:color w:val="000000"/>
                <w:sz w:val="21"/>
                <w:szCs w:val="21"/>
              </w:rPr>
              <w:t>分；方案较好，基本能满足用户需求：</w:t>
            </w:r>
            <w:r>
              <w:rPr>
                <w:rFonts w:hint="eastAsia"/>
                <w:color w:val="000000"/>
                <w:sz w:val="21"/>
                <w:szCs w:val="21"/>
              </w:rPr>
              <w:t>3-4</w:t>
            </w:r>
            <w:r>
              <w:rPr>
                <w:color w:val="000000"/>
                <w:sz w:val="21"/>
                <w:szCs w:val="21"/>
              </w:rPr>
              <w:t>分；方案差：0</w:t>
            </w:r>
            <w:r>
              <w:rPr>
                <w:rFonts w:hint="eastAsia"/>
                <w:color w:val="000000"/>
                <w:sz w:val="21"/>
                <w:szCs w:val="21"/>
              </w:rPr>
              <w:t>-2</w:t>
            </w:r>
            <w:r>
              <w:rPr>
                <w:color w:val="000000"/>
                <w:sz w:val="21"/>
                <w:szCs w:val="21"/>
              </w:rPr>
              <w:t>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04"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4</w:t>
            </w:r>
          </w:p>
        </w:tc>
        <w:tc>
          <w:tcPr>
            <w:tcW w:w="949" w:type="pct"/>
            <w:gridSpan w:val="2"/>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质保及售后服务承诺情况</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考查投标人质保及售后服务承诺情况，优</w:t>
            </w:r>
            <w:r>
              <w:rPr>
                <w:rFonts w:hint="eastAsia"/>
                <w:color w:val="000000"/>
                <w:sz w:val="21"/>
                <w:szCs w:val="21"/>
              </w:rPr>
              <w:t>5</w:t>
            </w:r>
            <w:r>
              <w:rPr>
                <w:color w:val="000000"/>
                <w:sz w:val="21"/>
                <w:szCs w:val="21"/>
              </w:rPr>
              <w:t>分，良</w:t>
            </w:r>
            <w:r>
              <w:rPr>
                <w:rFonts w:hint="eastAsia"/>
                <w:color w:val="000000"/>
                <w:sz w:val="21"/>
                <w:szCs w:val="21"/>
              </w:rPr>
              <w:t>3</w:t>
            </w:r>
            <w:r>
              <w:rPr>
                <w:color w:val="000000"/>
                <w:sz w:val="21"/>
                <w:szCs w:val="21"/>
              </w:rPr>
              <w:t>-</w:t>
            </w:r>
            <w:r>
              <w:rPr>
                <w:rFonts w:hint="eastAsia"/>
                <w:color w:val="000000"/>
                <w:sz w:val="21"/>
                <w:szCs w:val="21"/>
              </w:rPr>
              <w:t>4</w:t>
            </w:r>
            <w:r>
              <w:rPr>
                <w:color w:val="000000"/>
                <w:sz w:val="21"/>
                <w:szCs w:val="21"/>
              </w:rPr>
              <w:t>分，差0-</w:t>
            </w:r>
            <w:r>
              <w:rPr>
                <w:rFonts w:hint="eastAsia"/>
                <w:color w:val="000000"/>
                <w:sz w:val="21"/>
                <w:szCs w:val="21"/>
              </w:rPr>
              <w:t>2</w:t>
            </w:r>
            <w:r>
              <w:rPr>
                <w:color w:val="000000"/>
                <w:sz w:val="21"/>
                <w:szCs w:val="21"/>
              </w:rPr>
              <w:t>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3" w:type="pct"/>
            <w:gridSpan w:val="3"/>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color w:val="000000"/>
                <w:sz w:val="21"/>
                <w:szCs w:val="21"/>
              </w:rPr>
              <w:t>合计</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50</w:t>
            </w:r>
            <w:r>
              <w:rPr>
                <w:color w:val="000000"/>
                <w:sz w:val="21"/>
                <w:szCs w:val="21"/>
              </w:rPr>
              <w:t>分</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000" w:type="pct"/>
            <w:gridSpan w:val="5"/>
            <w:tcBorders>
              <w:top w:val="outset" w:color="111111" w:sz="6" w:space="0"/>
              <w:left w:val="outset" w:color="111111" w:sz="6" w:space="0"/>
              <w:bottom w:val="outset" w:color="111111" w:sz="6" w:space="0"/>
              <w:right w:val="outset" w:color="111111" w:sz="6" w:space="0"/>
            </w:tcBorders>
            <w:vAlign w:val="center"/>
          </w:tcPr>
          <w:p>
            <w:pPr>
              <w:spacing w:line="360" w:lineRule="auto"/>
              <w:jc w:val="left"/>
              <w:rPr>
                <w:rFonts w:ascii="宋体" w:hAnsi="宋体"/>
                <w:color w:val="000000"/>
                <w:sz w:val="21"/>
                <w:szCs w:val="21"/>
              </w:rPr>
            </w:pPr>
            <w:r>
              <w:rPr>
                <w:rFonts w:hint="eastAsia" w:ascii="宋体" w:hAnsi="宋体"/>
                <w:b/>
                <w:color w:val="000000"/>
                <w:sz w:val="21"/>
                <w:szCs w:val="21"/>
              </w:rPr>
              <w:t xml:space="preserve">                                </w:t>
            </w:r>
            <w:r>
              <w:rPr>
                <w:rFonts w:hint="eastAsia" w:ascii="宋体" w:hAnsi="宋体"/>
                <w:color w:val="000000"/>
                <w:sz w:val="21"/>
                <w:szCs w:val="21"/>
              </w:rPr>
              <w:t>商务评审</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82" w:type="pct"/>
            <w:gridSpan w:val="2"/>
            <w:tcBorders>
              <w:top w:val="outset" w:color="111111" w:sz="6" w:space="0"/>
              <w:left w:val="outset" w:color="111111" w:sz="6" w:space="0"/>
              <w:bottom w:val="outset" w:color="111111" w:sz="6" w:space="0"/>
              <w:right w:val="single" w:color="auto" w:sz="4" w:space="0"/>
            </w:tcBorders>
            <w:vAlign w:val="center"/>
          </w:tcPr>
          <w:p>
            <w:pPr>
              <w:jc w:val="center"/>
              <w:rPr>
                <w:rFonts w:ascii="宋体" w:hAnsi="宋体" w:cs="宋体"/>
                <w:color w:val="000000"/>
                <w:sz w:val="21"/>
                <w:szCs w:val="21"/>
              </w:rPr>
            </w:pPr>
            <w:r>
              <w:rPr>
                <w:color w:val="000000"/>
                <w:sz w:val="21"/>
                <w:szCs w:val="21"/>
              </w:rPr>
              <w:t>1</w:t>
            </w:r>
          </w:p>
        </w:tc>
        <w:tc>
          <w:tcPr>
            <w:tcW w:w="871" w:type="pct"/>
            <w:tcBorders>
              <w:top w:val="outset" w:color="111111" w:sz="6" w:space="0"/>
              <w:left w:val="single" w:color="auto" w:sz="4"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投标人本地综合服务支撑能力</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5</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在用户项目所在地有固定的售后服务机构：得</w:t>
            </w:r>
            <w:r>
              <w:rPr>
                <w:rFonts w:hint="eastAsia"/>
                <w:color w:val="000000"/>
                <w:sz w:val="21"/>
                <w:szCs w:val="21"/>
              </w:rPr>
              <w:t>5</w:t>
            </w:r>
            <w:r>
              <w:rPr>
                <w:color w:val="000000"/>
                <w:sz w:val="21"/>
                <w:szCs w:val="21"/>
              </w:rPr>
              <w:t>分；否则，得0分。投标人需提供相关证明材料。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82" w:type="pct"/>
            <w:gridSpan w:val="2"/>
            <w:tcBorders>
              <w:top w:val="outset" w:color="111111" w:sz="6" w:space="0"/>
              <w:left w:val="outset" w:color="111111" w:sz="6" w:space="0"/>
              <w:bottom w:val="outset" w:color="111111" w:sz="6" w:space="0"/>
              <w:right w:val="single" w:color="auto" w:sz="4" w:space="0"/>
            </w:tcBorders>
            <w:vAlign w:val="center"/>
          </w:tcPr>
          <w:p>
            <w:pPr>
              <w:jc w:val="center"/>
              <w:rPr>
                <w:rFonts w:ascii="宋体" w:hAnsi="宋体" w:cs="宋体"/>
                <w:color w:val="000000"/>
                <w:sz w:val="21"/>
                <w:szCs w:val="21"/>
              </w:rPr>
            </w:pPr>
            <w:r>
              <w:rPr>
                <w:color w:val="000000"/>
                <w:sz w:val="21"/>
                <w:szCs w:val="21"/>
              </w:rPr>
              <w:t>2</w:t>
            </w:r>
          </w:p>
        </w:tc>
        <w:tc>
          <w:tcPr>
            <w:tcW w:w="871" w:type="pct"/>
            <w:tcBorders>
              <w:top w:val="outset" w:color="111111" w:sz="6" w:space="0"/>
              <w:left w:val="single" w:color="auto" w:sz="4"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201</w:t>
            </w:r>
            <w:r>
              <w:rPr>
                <w:rFonts w:hint="eastAsia"/>
                <w:color w:val="000000"/>
                <w:sz w:val="21"/>
                <w:szCs w:val="21"/>
              </w:rPr>
              <w:t>7</w:t>
            </w:r>
            <w:r>
              <w:rPr>
                <w:color w:val="000000"/>
                <w:sz w:val="21"/>
                <w:szCs w:val="21"/>
              </w:rPr>
              <w:t>年至今（以合同生效时间为准）成功完成的同类项目业绩</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5</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201</w:t>
            </w:r>
            <w:r>
              <w:rPr>
                <w:rFonts w:hint="eastAsia"/>
                <w:color w:val="000000"/>
                <w:sz w:val="21"/>
                <w:szCs w:val="21"/>
              </w:rPr>
              <w:t>7</w:t>
            </w:r>
            <w:r>
              <w:rPr>
                <w:color w:val="000000"/>
                <w:sz w:val="21"/>
                <w:szCs w:val="21"/>
              </w:rPr>
              <w:t>年至今（以合同生效时间为准）完成过类似项目，每个得</w:t>
            </w:r>
            <w:r>
              <w:rPr>
                <w:rFonts w:hint="eastAsia"/>
                <w:color w:val="000000"/>
                <w:sz w:val="21"/>
                <w:szCs w:val="21"/>
              </w:rPr>
              <w:t>1</w:t>
            </w:r>
            <w:r>
              <w:rPr>
                <w:color w:val="000000"/>
                <w:sz w:val="21"/>
                <w:szCs w:val="21"/>
              </w:rPr>
              <w:t>分，最高</w:t>
            </w:r>
            <w:r>
              <w:rPr>
                <w:rFonts w:hint="eastAsia"/>
                <w:color w:val="000000"/>
                <w:sz w:val="21"/>
                <w:szCs w:val="21"/>
              </w:rPr>
              <w:t>5</w:t>
            </w:r>
            <w:r>
              <w:rPr>
                <w:color w:val="000000"/>
                <w:sz w:val="21"/>
                <w:szCs w:val="21"/>
              </w:rPr>
              <w:t>分。 （注：提供合同要点复印件或验收报告复印件。）</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82" w:type="pct"/>
            <w:gridSpan w:val="2"/>
            <w:tcBorders>
              <w:top w:val="outset" w:color="111111" w:sz="6" w:space="0"/>
              <w:left w:val="outset" w:color="111111" w:sz="6" w:space="0"/>
              <w:bottom w:val="outset" w:color="111111" w:sz="6" w:space="0"/>
              <w:right w:val="single" w:color="auto" w:sz="4" w:space="0"/>
            </w:tcBorders>
            <w:vAlign w:val="center"/>
          </w:tcPr>
          <w:p>
            <w:pPr>
              <w:jc w:val="center"/>
              <w:rPr>
                <w:rFonts w:ascii="宋体" w:hAnsi="宋体" w:cs="宋体"/>
                <w:color w:val="000000"/>
                <w:sz w:val="21"/>
                <w:szCs w:val="21"/>
              </w:rPr>
            </w:pPr>
            <w:r>
              <w:rPr>
                <w:rFonts w:hint="eastAsia"/>
                <w:color w:val="000000"/>
                <w:sz w:val="21"/>
                <w:szCs w:val="21"/>
              </w:rPr>
              <w:t>3</w:t>
            </w:r>
          </w:p>
        </w:tc>
        <w:tc>
          <w:tcPr>
            <w:tcW w:w="871" w:type="pct"/>
            <w:tcBorders>
              <w:top w:val="outset" w:color="111111" w:sz="6" w:space="0"/>
              <w:left w:val="single" w:color="auto" w:sz="4"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投标人</w:t>
            </w:r>
            <w:r>
              <w:rPr>
                <w:rFonts w:hint="eastAsia" w:ascii="宋体" w:hAnsi="宋体"/>
                <w:sz w:val="21"/>
                <w:szCs w:val="21"/>
              </w:rPr>
              <w:t>企业信誉和</w:t>
            </w:r>
            <w:r>
              <w:rPr>
                <w:rFonts w:hint="eastAsia" w:ascii="宋体" w:hAnsi="宋体" w:cs="宋体"/>
                <w:sz w:val="21"/>
                <w:szCs w:val="21"/>
              </w:rPr>
              <w:t>管理体系</w:t>
            </w:r>
            <w:r>
              <w:rPr>
                <w:color w:val="000000"/>
                <w:sz w:val="21"/>
                <w:szCs w:val="21"/>
              </w:rPr>
              <w:t>认证</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5</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rFonts w:hint="eastAsia" w:ascii="宋体" w:hAnsi="宋体" w:cs="宋体"/>
                <w:sz w:val="21"/>
                <w:szCs w:val="21"/>
              </w:rPr>
              <w:t>具有有效的3A级企业信用等级证书</w:t>
            </w:r>
            <w:r>
              <w:rPr>
                <w:rFonts w:hint="eastAsia"/>
                <w:color w:val="000000"/>
                <w:sz w:val="21"/>
                <w:szCs w:val="21"/>
              </w:rPr>
              <w:t>；</w:t>
            </w:r>
            <w:r>
              <w:rPr>
                <w:rFonts w:hint="eastAsia" w:ascii="宋体" w:hAnsi="宋体" w:cs="宋体"/>
                <w:bCs/>
                <w:sz w:val="21"/>
                <w:szCs w:val="21"/>
              </w:rPr>
              <w:t>具有纳税信用等级B级</w:t>
            </w:r>
            <w:r>
              <w:rPr>
                <w:color w:val="000000"/>
                <w:sz w:val="21"/>
                <w:szCs w:val="21"/>
              </w:rPr>
              <w:t>；</w:t>
            </w:r>
            <w:r>
              <w:rPr>
                <w:rFonts w:hint="eastAsia" w:ascii="宋体" w:hAnsi="宋体" w:cs="宋体"/>
                <w:sz w:val="21"/>
                <w:szCs w:val="21"/>
              </w:rPr>
              <w:t>具有有效的质量管理体系认证；环境管理体系认证；职业健康安全管理体系认证；每项得1分，最高得5分。</w:t>
            </w:r>
            <w:r>
              <w:rPr>
                <w:color w:val="000000"/>
                <w:sz w:val="21"/>
                <w:szCs w:val="21"/>
              </w:rPr>
              <w:t xml:space="preserve"> 注：投标人需提供上述证书的复印件。</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382" w:type="pct"/>
            <w:gridSpan w:val="2"/>
            <w:tcBorders>
              <w:top w:val="outset" w:color="111111" w:sz="6" w:space="0"/>
              <w:left w:val="outset" w:color="111111" w:sz="6" w:space="0"/>
              <w:bottom w:val="outset" w:color="111111" w:sz="6" w:space="0"/>
              <w:right w:val="single" w:color="auto" w:sz="4" w:space="0"/>
            </w:tcBorders>
            <w:vAlign w:val="center"/>
          </w:tcPr>
          <w:p>
            <w:pPr>
              <w:jc w:val="center"/>
              <w:rPr>
                <w:rFonts w:ascii="宋体" w:hAnsi="宋体" w:cs="宋体"/>
                <w:color w:val="000000"/>
                <w:sz w:val="21"/>
                <w:szCs w:val="21"/>
              </w:rPr>
            </w:pPr>
            <w:r>
              <w:rPr>
                <w:rFonts w:hint="eastAsia"/>
                <w:color w:val="000000"/>
                <w:sz w:val="21"/>
                <w:szCs w:val="21"/>
              </w:rPr>
              <w:t>4</w:t>
            </w:r>
          </w:p>
        </w:tc>
        <w:tc>
          <w:tcPr>
            <w:tcW w:w="871" w:type="pct"/>
            <w:tcBorders>
              <w:top w:val="outset" w:color="111111" w:sz="6" w:space="0"/>
              <w:left w:val="single" w:color="auto" w:sz="4" w:space="0"/>
              <w:bottom w:val="outset" w:color="111111" w:sz="6" w:space="0"/>
              <w:right w:val="outset" w:color="111111" w:sz="6" w:space="0"/>
            </w:tcBorders>
            <w:vAlign w:val="center"/>
          </w:tcPr>
          <w:p>
            <w:pPr>
              <w:rPr>
                <w:color w:val="000000"/>
                <w:sz w:val="21"/>
                <w:szCs w:val="21"/>
              </w:rPr>
            </w:pPr>
            <w:r>
              <w:rPr>
                <w:color w:val="000000"/>
                <w:sz w:val="21"/>
                <w:szCs w:val="21"/>
              </w:rPr>
              <w:t>项目投入的技术人员和服务队伍配置情况</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考查各投标人拟投入的技术人员和服务队伍配置情况，包括管理人员职称、经验、岗位分工、职责、技术队伍管理制度和服务管理经验等情况，优</w:t>
            </w:r>
            <w:r>
              <w:rPr>
                <w:rFonts w:hint="eastAsia"/>
                <w:color w:val="000000"/>
                <w:sz w:val="21"/>
                <w:szCs w:val="21"/>
              </w:rPr>
              <w:t>4-5</w:t>
            </w:r>
            <w:r>
              <w:rPr>
                <w:color w:val="000000"/>
                <w:sz w:val="21"/>
                <w:szCs w:val="21"/>
              </w:rPr>
              <w:t>分，良</w:t>
            </w:r>
            <w:r>
              <w:rPr>
                <w:rFonts w:hint="eastAsia"/>
                <w:color w:val="000000"/>
                <w:sz w:val="21"/>
                <w:szCs w:val="21"/>
              </w:rPr>
              <w:t>2-3</w:t>
            </w:r>
            <w:r>
              <w:rPr>
                <w:color w:val="000000"/>
                <w:sz w:val="21"/>
                <w:szCs w:val="21"/>
              </w:rPr>
              <w:t>分，差0-</w:t>
            </w:r>
            <w:r>
              <w:rPr>
                <w:rFonts w:hint="eastAsia"/>
                <w:color w:val="000000"/>
                <w:sz w:val="21"/>
                <w:szCs w:val="21"/>
              </w:rPr>
              <w:t>1</w:t>
            </w:r>
            <w:r>
              <w:rPr>
                <w:color w:val="000000"/>
                <w:sz w:val="21"/>
                <w:szCs w:val="21"/>
              </w:rPr>
              <w:t xml:space="preserve">分。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3" w:type="pct"/>
            <w:gridSpan w:val="3"/>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color w:val="000000"/>
                <w:sz w:val="21"/>
                <w:szCs w:val="21"/>
              </w:rPr>
              <w:t>合计</w:t>
            </w:r>
          </w:p>
        </w:tc>
        <w:tc>
          <w:tcPr>
            <w:tcW w:w="54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1"/>
                <w:szCs w:val="21"/>
              </w:rPr>
            </w:pPr>
            <w:r>
              <w:rPr>
                <w:rFonts w:hint="eastAsia"/>
                <w:color w:val="000000"/>
                <w:sz w:val="21"/>
                <w:szCs w:val="21"/>
              </w:rPr>
              <w:t>2</w:t>
            </w:r>
            <w:r>
              <w:rPr>
                <w:color w:val="000000"/>
                <w:sz w:val="21"/>
                <w:szCs w:val="21"/>
              </w:rPr>
              <w:t>0分</w:t>
            </w:r>
          </w:p>
        </w:tc>
        <w:tc>
          <w:tcPr>
            <w:tcW w:w="3202"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1"/>
                <w:szCs w:val="21"/>
              </w:rPr>
            </w:pPr>
            <w:r>
              <w:rPr>
                <w:color w:val="000000"/>
                <w:sz w:val="21"/>
                <w:szCs w:val="21"/>
              </w:rPr>
              <w:t> </w:t>
            </w:r>
          </w:p>
        </w:tc>
      </w:tr>
    </w:tbl>
    <w:p>
      <w:pPr>
        <w:spacing w:line="360" w:lineRule="auto"/>
        <w:jc w:val="center"/>
        <w:rPr>
          <w:rFonts w:ascii="宋体" w:hAnsi="宋体"/>
          <w:b/>
          <w:color w:val="000000"/>
          <w:szCs w:val="21"/>
        </w:rPr>
      </w:pPr>
    </w:p>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9"/>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9"/>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资格及技术规格要求和交货日期、地点等</w:t>
      </w:r>
    </w:p>
    <w:p>
      <w:pPr>
        <w:jc w:val="center"/>
        <w:rPr>
          <w:sz w:val="30"/>
          <w:szCs w:val="30"/>
        </w:rPr>
      </w:pPr>
      <w:r>
        <w:rPr>
          <w:rFonts w:hint="eastAsia" w:ascii="Arial" w:hAnsi="Arial" w:cs="Arial"/>
          <w:b/>
          <w:sz w:val="21"/>
          <w:szCs w:val="21"/>
        </w:rPr>
        <w:t xml:space="preserve">   </w:t>
      </w:r>
      <w:r>
        <w:rPr>
          <w:rFonts w:hint="eastAsia" w:ascii="Arial" w:hAnsi="Arial" w:cs="Arial"/>
          <w:b/>
          <w:sz w:val="30"/>
          <w:szCs w:val="30"/>
        </w:rPr>
        <w:t xml:space="preserve"> </w:t>
      </w:r>
      <w:bookmarkStart w:id="0" w:name="OLE_LINK26"/>
      <w:bookmarkStart w:id="1" w:name="OLE_LINK27"/>
      <w:r>
        <w:rPr>
          <w:rFonts w:hint="eastAsia"/>
          <w:sz w:val="30"/>
          <w:szCs w:val="30"/>
        </w:rPr>
        <w:t>新增医学院新教学楼</w:t>
      </w:r>
      <w:r>
        <w:rPr>
          <w:sz w:val="30"/>
          <w:szCs w:val="30"/>
        </w:rPr>
        <w:t>FM</w:t>
      </w:r>
      <w:r>
        <w:rPr>
          <w:rFonts w:hint="eastAsia"/>
          <w:sz w:val="30"/>
          <w:szCs w:val="30"/>
        </w:rPr>
        <w:t>听音系统技术要求</w:t>
      </w:r>
    </w:p>
    <w:p>
      <w:pPr>
        <w:rPr>
          <w:rFonts w:asciiTheme="minorEastAsia" w:hAnsiTheme="minorEastAsia" w:eastAsiaTheme="minorEastAsia"/>
          <w:b/>
          <w:szCs w:val="28"/>
        </w:rPr>
      </w:pPr>
      <w:r>
        <w:rPr>
          <w:rFonts w:hint="eastAsia" w:asciiTheme="minorEastAsia" w:hAnsiTheme="minorEastAsia" w:eastAsiaTheme="minorEastAsia"/>
          <w:b/>
          <w:szCs w:val="28"/>
        </w:rPr>
        <w:t>一、新增FM听音系统要求</w:t>
      </w:r>
    </w:p>
    <w:p>
      <w:pPr>
        <w:autoSpaceDE w:val="0"/>
        <w:autoSpaceDN w:val="0"/>
        <w:adjustRightInd w:val="0"/>
        <w:spacing w:line="360" w:lineRule="auto"/>
        <w:ind w:firstLine="524" w:firstLineChars="20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本次采购对</w:t>
      </w:r>
      <w:r>
        <w:rPr>
          <w:rFonts w:hint="eastAsia" w:cs="ArialNarrow" w:asciiTheme="minorEastAsia" w:hAnsiTheme="minorEastAsia" w:eastAsiaTheme="minorEastAsia"/>
          <w:color w:val="000000"/>
          <w:kern w:val="0"/>
          <w:sz w:val="21"/>
          <w:szCs w:val="21"/>
        </w:rPr>
        <w:t>医学院新教学楼2层202N教室、203N教室，9层南面空地（实验室），10层南面大厅、1006N教室、1011N教室、1013N教室进行新增FM听音</w:t>
      </w:r>
      <w:r>
        <w:rPr>
          <w:rFonts w:hint="eastAsia" w:cs="宋体" w:asciiTheme="minorEastAsia" w:hAnsiTheme="minorEastAsia" w:eastAsiaTheme="minorEastAsia"/>
          <w:color w:val="000000"/>
          <w:kern w:val="0"/>
          <w:sz w:val="21"/>
          <w:szCs w:val="21"/>
        </w:rPr>
        <w:t>系统建设，系统应具有高质量的收听效果、传输稳定，可以同时传送多路信号或一路信号多频点传送。接入原有FM听音系统远程智能控制，系统可以实现点对点、点对面可控。而且更加适合多种类型的听力考试和教学，有利于考试的保密工作，尽可能杜绝一些非法活动在考试过程发生。</w:t>
      </w:r>
    </w:p>
    <w:p>
      <w:pPr>
        <w:spacing w:line="360" w:lineRule="auto"/>
        <w:ind w:firstLine="524" w:firstLineChars="200"/>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系统必须具有如下功能特点：</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1</w:t>
      </w: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FM</w:t>
      </w:r>
      <w:r>
        <w:rPr>
          <w:rFonts w:hint="eastAsia" w:cs="宋体" w:asciiTheme="minorEastAsia" w:hAnsiTheme="minorEastAsia" w:eastAsiaTheme="minorEastAsia"/>
          <w:color w:val="000000"/>
          <w:kern w:val="0"/>
          <w:sz w:val="21"/>
          <w:szCs w:val="21"/>
        </w:rPr>
        <w:t>放大发射的智能终端分布安装在教室，发射功能不受无委会的限制；</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2</w:t>
      </w:r>
      <w:r>
        <w:rPr>
          <w:rFonts w:hint="eastAsia" w:cs="宋体" w:asciiTheme="minorEastAsia" w:hAnsiTheme="minorEastAsia" w:eastAsiaTheme="minorEastAsia"/>
          <w:color w:val="000000"/>
          <w:kern w:val="0"/>
          <w:sz w:val="21"/>
          <w:szCs w:val="21"/>
        </w:rPr>
        <w:t>）在教室内可以实现信号全覆盖，不存在接收死角；</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3</w:t>
      </w:r>
      <w:r>
        <w:rPr>
          <w:rFonts w:hint="eastAsia" w:cs="宋体" w:asciiTheme="minorEastAsia" w:hAnsiTheme="minorEastAsia" w:eastAsiaTheme="minorEastAsia"/>
          <w:color w:val="000000"/>
          <w:kern w:val="0"/>
          <w:sz w:val="21"/>
          <w:szCs w:val="21"/>
        </w:rPr>
        <w:t>）可以防止外界频率干扰，与手机信号屏蔽器一起结合使用，保证考试的安全性；</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4</w:t>
      </w:r>
      <w:r>
        <w:rPr>
          <w:rFonts w:hint="eastAsia" w:cs="宋体" w:asciiTheme="minorEastAsia" w:hAnsiTheme="minorEastAsia" w:eastAsiaTheme="minorEastAsia"/>
          <w:color w:val="000000"/>
          <w:kern w:val="0"/>
          <w:sz w:val="21"/>
          <w:szCs w:val="21"/>
        </w:rPr>
        <w:t>）能够保证每间教室可以高质量、超清楚的接收听力考试音频信号，高稳定的保证收听效果；</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5</w:t>
      </w:r>
      <w:r>
        <w:rPr>
          <w:rFonts w:hint="eastAsia" w:cs="宋体" w:asciiTheme="minorEastAsia" w:hAnsiTheme="minorEastAsia" w:eastAsiaTheme="minorEastAsia"/>
          <w:color w:val="000000"/>
          <w:kern w:val="0"/>
          <w:sz w:val="21"/>
          <w:szCs w:val="21"/>
        </w:rPr>
        <w:t>）每个</w:t>
      </w:r>
      <w:r>
        <w:rPr>
          <w:rFonts w:hint="eastAsia" w:cs="ArialNarrow" w:asciiTheme="minorEastAsia" w:hAnsiTheme="minorEastAsia" w:eastAsiaTheme="minorEastAsia"/>
          <w:color w:val="000000"/>
          <w:kern w:val="0"/>
          <w:sz w:val="21"/>
          <w:szCs w:val="21"/>
        </w:rPr>
        <w:t xml:space="preserve">FM </w:t>
      </w:r>
      <w:r>
        <w:rPr>
          <w:rFonts w:hint="eastAsia" w:cs="宋体" w:asciiTheme="minorEastAsia" w:hAnsiTheme="minorEastAsia" w:eastAsiaTheme="minorEastAsia"/>
          <w:color w:val="000000"/>
          <w:kern w:val="0"/>
          <w:sz w:val="21"/>
          <w:szCs w:val="21"/>
        </w:rPr>
        <w:t>放大发射机的智能控制终端可寻址控制，可实现点对点的控制每个智能终端的发射；</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6</w:t>
      </w:r>
      <w:r>
        <w:rPr>
          <w:rFonts w:hint="eastAsia" w:cs="宋体" w:asciiTheme="minorEastAsia" w:hAnsiTheme="minorEastAsia" w:eastAsiaTheme="minorEastAsia"/>
          <w:color w:val="000000"/>
          <w:kern w:val="0"/>
          <w:sz w:val="21"/>
          <w:szCs w:val="21"/>
        </w:rPr>
        <w:t>）可以对智能终端进行分区组合，可以实现无限分区功能，可以实现分区广播或单点广播。除了满足听力考试需求外，配置</w:t>
      </w:r>
      <w:r>
        <w:rPr>
          <w:rFonts w:hint="eastAsia" w:cs="ArialNarrow" w:asciiTheme="minorEastAsia" w:hAnsiTheme="minorEastAsia" w:eastAsiaTheme="minorEastAsia"/>
          <w:color w:val="000000"/>
          <w:kern w:val="0"/>
          <w:sz w:val="21"/>
          <w:szCs w:val="21"/>
        </w:rPr>
        <w:t xml:space="preserve">FM </w:t>
      </w:r>
      <w:r>
        <w:rPr>
          <w:rFonts w:hint="eastAsia" w:cs="宋体" w:asciiTheme="minorEastAsia" w:hAnsiTheme="minorEastAsia" w:eastAsiaTheme="minorEastAsia"/>
          <w:color w:val="000000"/>
          <w:kern w:val="0"/>
          <w:sz w:val="21"/>
          <w:szCs w:val="21"/>
        </w:rPr>
        <w:t>接收喇叭还可以用于作教学铃声系统使用；</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7</w:t>
      </w:r>
      <w:r>
        <w:rPr>
          <w:rFonts w:hint="eastAsia" w:cs="宋体" w:asciiTheme="minorEastAsia" w:hAnsiTheme="minorEastAsia" w:eastAsiaTheme="minorEastAsia"/>
          <w:color w:val="000000"/>
          <w:kern w:val="0"/>
          <w:sz w:val="21"/>
          <w:szCs w:val="21"/>
        </w:rPr>
        <w:t>）智能终端具有多频点同时发射功能，确保在不同考试教室能同时进行不同的考试任务；</w:t>
      </w:r>
    </w:p>
    <w:p>
      <w:pPr>
        <w:autoSpaceDE w:val="0"/>
        <w:autoSpaceDN w:val="0"/>
        <w:adjustRightInd w:val="0"/>
        <w:spacing w:line="360" w:lineRule="auto"/>
        <w:ind w:firstLine="393" w:firstLineChars="15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w:t>
      </w:r>
      <w:r>
        <w:rPr>
          <w:rFonts w:hint="eastAsia" w:cs="ArialNarrow" w:asciiTheme="minorEastAsia" w:hAnsiTheme="minorEastAsia" w:eastAsiaTheme="minorEastAsia"/>
          <w:color w:val="000000"/>
          <w:kern w:val="0"/>
          <w:sz w:val="21"/>
          <w:szCs w:val="21"/>
        </w:rPr>
        <w:t>8</w:t>
      </w:r>
      <w:r>
        <w:rPr>
          <w:rFonts w:hint="eastAsia" w:cs="宋体" w:asciiTheme="minorEastAsia" w:hAnsiTheme="minorEastAsia" w:eastAsiaTheme="minorEastAsia"/>
          <w:color w:val="000000"/>
          <w:kern w:val="0"/>
          <w:sz w:val="21"/>
          <w:szCs w:val="21"/>
        </w:rPr>
        <w:t>）根据考试安排情况，对智能终端进行控制，避免在考试警界线外能收听考试内容，确保考试的安全性，考试内容的保密性，杜绝场外协助作弊的可能性；</w:t>
      </w:r>
    </w:p>
    <w:p>
      <w:pPr>
        <w:autoSpaceDE w:val="0"/>
        <w:autoSpaceDN w:val="0"/>
        <w:adjustRightInd w:val="0"/>
        <w:spacing w:line="360" w:lineRule="auto"/>
        <w:jc w:val="left"/>
        <w:outlineLvl w:val="0"/>
        <w:rPr>
          <w:rFonts w:cs="Arial" w:asciiTheme="minorEastAsia" w:hAnsiTheme="minorEastAsia" w:eastAsiaTheme="minorEastAsia"/>
          <w:b/>
          <w:bCs/>
          <w:color w:val="000000"/>
          <w:kern w:val="0"/>
          <w:szCs w:val="28"/>
        </w:rPr>
      </w:pPr>
      <w:r>
        <w:rPr>
          <w:rFonts w:hint="eastAsia" w:cs="Arial" w:asciiTheme="minorEastAsia" w:hAnsiTheme="minorEastAsia" w:eastAsiaTheme="minorEastAsia"/>
          <w:b/>
          <w:bCs/>
          <w:color w:val="000000"/>
          <w:kern w:val="0"/>
          <w:szCs w:val="28"/>
        </w:rPr>
        <w:t>二、采购设备及其主要技术参数</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714"/>
        <w:gridCol w:w="4550"/>
        <w:gridCol w:w="83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序号</w:t>
            </w:r>
          </w:p>
        </w:tc>
        <w:tc>
          <w:tcPr>
            <w:tcW w:w="17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设备名称</w:t>
            </w:r>
          </w:p>
        </w:tc>
        <w:tc>
          <w:tcPr>
            <w:tcW w:w="45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主要技术参数</w:t>
            </w:r>
          </w:p>
        </w:tc>
        <w:tc>
          <w:tcPr>
            <w:tcW w:w="8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数量</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FM放大发射终端</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after="100" w:afterAutospacing="1"/>
              <w:contextualSpacing/>
              <w:jc w:val="left"/>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sz w:val="21"/>
                <w:szCs w:val="21"/>
              </w:rPr>
              <w:t>1) ▲智能侦测接收端信号强弱，自动调节信号放大功率；（生产厂商要做出书面承诺，加盖公章）</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2) 使用频率及发射功率：</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3) 使用频率：72.0-108.0 MHz,</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4) 发射功率：≤10mW；</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5) 调制方式：FM</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6) FM调制器频带：20 MHz.</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7) 占用带宽：≤200KHz/CH</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智能控制器</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jc w:val="left"/>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sz w:val="21"/>
                <w:szCs w:val="21"/>
              </w:rPr>
              <w:t>★1.采用最新嵌入式软、硬件设计，结构严谨，使用更高质量的元器件，支持网络远程开、关功能，监控每个终端的每个端口的工作态度和远程复位，具体网络定时开、关功能，可实现自动化排程功能，可实现多级别用户管理和控制。</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2.终端设备为具有负载感知的、网络可控的智能电源管理终端，共可提供8路220V交流电源输出接口(可级联扩展到16路)，每一路最大负载电流为10A，8路最大负载电流为32A，使用本产品，用户可以突破时间、地域的限制，仅需在互联网或局域网内的任意一台电脑、智能手机、智能平板或智能上网终端，通过HTTP协议，即可轻松管理设备的电源开关切换以及电源状态的交互查询，系统方案组建简单灵活，扩展性强；同时具有特设可靠的故障保持功能，能够自动记忆断电前各供电单元的最终状态，待恢复供电后，只有需要供电的电源端口才会输出电力。</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3.参数及规格：</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1)电源控制器输出容量：总容量 220V，30A(输入为4平方独根的塑铜线载流量约是30A，功率约6.5KW左右)；</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xml:space="preserve"> 2)输入输出通道数： 1个输入通道，8个输出通道；</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3)动作间隔时间：0.1S-10S；</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4)控标器外面板指示：工作状态指示灯3个，复位状态恢复键1个；</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5)控标器内面板指示：8通道控制按键1个，8通工作状态指示灯8个；</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6)输入通道电源： AC220-240V/50-60Hz/32A；</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7)开关器件： 继电器250V/10A AC nom；</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8)工作温度： 3-10~50℃；</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9)尺寸 395*286*92 mm；</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10)毛重：6.5kg；</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xml:space="preserve">11)净重：5.2kg； </w:t>
            </w:r>
            <w:r>
              <w:rPr>
                <w:rFonts w:hint="eastAsia" w:asciiTheme="minorEastAsia" w:hAnsiTheme="minorEastAsia" w:eastAsiaTheme="minorEastAsia"/>
                <w:color w:val="000000"/>
                <w:sz w:val="21"/>
                <w:szCs w:val="21"/>
              </w:rPr>
              <w:br w:type="textWrapping"/>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支线放大器</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1、频率范围(MHz)：45～550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2、标称增益(dB)：30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3、增益调节范围(dB)：0～20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4、斜率调节范围(dB)：0～18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5、载波二次互调比(dB)：≥54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6、噪声系数(dB)：≤7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7、反射损耗(dB)：≥12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8、电源电压(V)：～220V±10% </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9、抗雷击能力(KV)：5(10/700μs) </w:t>
            </w:r>
          </w:p>
          <w:p>
            <w:pPr>
              <w:adjustRightInd w:val="0"/>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10、消耗功率(W)：6</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分支分配器</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1、锌合金压铸镀镍外壳；</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2、胶封，屏蔽衰减≥70dB；</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3、屏蔽性能好，插入损耗小；</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4、工作频带5-1000MHz；</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5、75Ω公制F座M10-0.75mm；</w:t>
            </w:r>
          </w:p>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6、外形尺寸：59*49*17mm</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双屏蔽有线电视电缆</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SYWV75-9</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230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双屏蔽有线电视电缆</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SYWV75-5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1000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电源护套线</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BVV3*1.5mm2阻燃/200米卷</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电源线</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BVV 2.5mm2</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530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端接设备箱</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根据现场实际情况定制</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电源插座</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10A250V模块加底盒</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网线</w:t>
            </w:r>
          </w:p>
        </w:tc>
        <w:tc>
          <w:tcPr>
            <w:tcW w:w="4550" w:type="dxa"/>
            <w:tcBorders>
              <w:top w:val="single" w:color="auto" w:sz="4" w:space="0"/>
              <w:left w:val="single" w:color="auto" w:sz="4" w:space="0"/>
              <w:bottom w:val="single" w:color="auto" w:sz="4" w:space="0"/>
              <w:right w:val="single" w:color="auto" w:sz="4" w:space="0"/>
            </w:tcBorders>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六类</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网络远程智能管理系统升级</w:t>
            </w:r>
          </w:p>
        </w:tc>
        <w:tc>
          <w:tcPr>
            <w:tcW w:w="4550" w:type="dxa"/>
            <w:tcBorders>
              <w:top w:val="single" w:color="auto" w:sz="4" w:space="0"/>
              <w:left w:val="single" w:color="auto" w:sz="4" w:space="0"/>
              <w:bottom w:val="single" w:color="auto" w:sz="4" w:space="0"/>
              <w:right w:val="single" w:color="auto" w:sz="4" w:space="0"/>
            </w:tcBorders>
          </w:tcPr>
          <w:p>
            <w:pPr>
              <w:numPr>
                <w:ilvl w:val="0"/>
                <w:numId w:val="10"/>
              </w:num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对教学楼原有智能管理系统进行升级，包含软件及硬件升级</w:t>
            </w:r>
          </w:p>
          <w:p>
            <w:pPr>
              <w:numPr>
                <w:ilvl w:val="0"/>
                <w:numId w:val="10"/>
              </w:num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软件平台需基于SpringMVC+Hibernate+Spring主流框架开发，支持Mysql、Oracle等主流数据库，前端采用H5+CSS3、Bootstrap、EasyUI、VUE等框架组件，响应式布局可支持Pad、手机等不同分辨率的终端，平台访问支持win7以上、ISO7以上、Android5.1以上、LINUX4.0以上等多操作系统访问，适配不同的移动终端品牌和机型；</w:t>
            </w:r>
          </w:p>
          <w:p>
            <w:pPr>
              <w:numPr>
                <w:ilvl w:val="0"/>
                <w:numId w:val="10"/>
              </w:num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▲系统可支持集群、分布式部署架构，通过负载均衡技术，动态分配用户请求到服务器集群，系统部署方式支持公有云、私有云、混合云等多云模式；</w:t>
            </w:r>
          </w:p>
          <w:p>
            <w:pPr>
              <w:numPr>
                <w:ilvl w:val="0"/>
                <w:numId w:val="10"/>
              </w:num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支持实现跨校区、跨楼栋实现应用就近应用节点的分布式部署，满足就近管理原则，快速实现业务响应，提升系统性能，支持统一数据中心、分布式数据库方式存储数据，实现数据的融合共享，打破信息孤岛；</w:t>
            </w:r>
          </w:p>
          <w:p>
            <w:pPr>
              <w:numPr>
                <w:ilvl w:val="0"/>
                <w:numId w:val="10"/>
              </w:num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▲软件平台与设备的通讯支持HTTP、HTTPS、MQTT通讯协议，传输指令通过动态CRC算法和AES128位字符加密，确保访问、控制安全；</w:t>
            </w:r>
          </w:p>
          <w:p>
            <w:pPr>
              <w:numPr>
                <w:ilvl w:val="0"/>
                <w:numId w:val="10"/>
              </w:num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支持电脑、手机、IPAD等多种终瑞方式接入和控制管理，纯B/S架构设计，通过网络控制8路独立的设备。通过网络浏览器，可以从任何地点远程监看或控制你的设备电源工作状态，具体详细的数据库工作记录和日志管理功能；</w:t>
            </w:r>
          </w:p>
          <w:p>
            <w:pPr>
              <w:numPr>
                <w:ilvl w:val="0"/>
                <w:numId w:val="10"/>
              </w:num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具有出色的看门狗技术，使得终端可以自动监测设备并在当设备停止响应的时候自动或手动重启。它可以减少设备的当机时间，而且确保用户在任意地轻松开关设备电源；</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13</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实施安装配件费</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六类跳线4根，4分PVC管500米，6分PVC管300米，PVC弯头200个，4分/6分管码4盒，水晶头10个，膨胀螺丝1盒，钢钉1盒，绝缘胶布10个，接线柱6组，接线端子1盒，焊锡1卷，分线盒10个等。</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实施人工费</w:t>
            </w:r>
          </w:p>
        </w:tc>
        <w:tc>
          <w:tcPr>
            <w:tcW w:w="45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contextualSpacing/>
              <w:jc w:val="left"/>
              <w:rPr>
                <w:rFonts w:cs="宋体" w:asciiTheme="minorEastAsia" w:hAnsiTheme="minorEastAsia" w:eastAsiaTheme="minorEastAsia"/>
                <w:color w:val="000000"/>
                <w:kern w:val="0"/>
                <w:sz w:val="21"/>
                <w:szCs w:val="21"/>
              </w:rPr>
            </w:pP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项</w:t>
            </w:r>
          </w:p>
        </w:tc>
      </w:tr>
      <w:bookmarkEnd w:id="0"/>
      <w:bookmarkEnd w:id="1"/>
    </w:tbl>
    <w:p>
      <w:pPr>
        <w:pStyle w:val="20"/>
        <w:shd w:val="clear" w:color="auto" w:fill="FFFFFF"/>
        <w:spacing w:before="0" w:beforeAutospacing="0" w:after="0" w:afterAutospacing="0"/>
        <w:jc w:val="both"/>
        <w:rPr>
          <w:sz w:val="21"/>
          <w:szCs w:val="21"/>
        </w:rPr>
      </w:pPr>
    </w:p>
    <w:p>
      <w:pPr>
        <w:widowControl/>
        <w:spacing w:line="288" w:lineRule="auto"/>
        <w:jc w:val="left"/>
        <w:rPr>
          <w:rFonts w:cs="宋体" w:asciiTheme="minorEastAsia" w:hAnsiTheme="minorEastAsia" w:eastAsiaTheme="minorEastAsia"/>
          <w:color w:val="000000"/>
          <w:szCs w:val="28"/>
          <w:shd w:val="clear" w:color="auto" w:fill="FFFFFF"/>
        </w:rPr>
      </w:pPr>
      <w:r>
        <w:rPr>
          <w:rFonts w:hint="eastAsia" w:cs="宋体" w:asciiTheme="minorEastAsia" w:hAnsiTheme="minorEastAsia" w:eastAsiaTheme="minorEastAsia"/>
          <w:color w:val="000000"/>
          <w:szCs w:val="28"/>
          <w:shd w:val="clear" w:color="auto" w:fill="FFFFFF"/>
        </w:rPr>
        <w:t>三．付款方式：</w:t>
      </w:r>
    </w:p>
    <w:p>
      <w:pPr>
        <w:widowControl/>
        <w:spacing w:line="288" w:lineRule="auto"/>
        <w:jc w:val="left"/>
        <w:rPr>
          <w:rFonts w:ascii="仿宋_GB2312" w:hAnsi="宋体" w:cs="宋体"/>
          <w:color w:val="000000"/>
          <w:sz w:val="21"/>
          <w:szCs w:val="21"/>
          <w:shd w:val="clear" w:color="auto" w:fill="FFFFFF"/>
        </w:rPr>
      </w:pP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2.整个项目完成并验收合格后凭中标方发票10个工作日内支付100%货款。</w:t>
      </w:r>
    </w:p>
    <w:p>
      <w:pPr>
        <w:framePr w:hSpace="180" w:wrap="around" w:vAnchor="text" w:hAnchor="margin" w:y="605"/>
        <w:rPr>
          <w:rFonts w:ascii="宋体" w:hAnsi="宋体" w:eastAsia="宋体"/>
        </w:rPr>
      </w:pPr>
      <w:r>
        <w:rPr>
          <w:rFonts w:hint="eastAsia"/>
          <w:sz w:val="24"/>
        </w:rPr>
        <w:t xml:space="preserve">   </w:t>
      </w: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11"/>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1"/>
        </w:numPr>
        <w:kinsoku w:val="0"/>
        <w:wordWrap w:val="0"/>
        <w:topLinePunct/>
        <w:spacing w:line="340" w:lineRule="exact"/>
        <w:rPr>
          <w:rFonts w:ascii="仿宋_GB2312" w:hAnsi="宋体"/>
          <w:b/>
          <w:sz w:val="21"/>
        </w:rPr>
      </w:pPr>
      <w:r>
        <w:rPr>
          <w:rFonts w:hint="eastAsia" w:ascii="仿宋_GB2312" w:hAnsi="宋体"/>
          <w:b/>
          <w:sz w:val="21"/>
        </w:rPr>
        <w:t>项目报价</w:t>
      </w:r>
    </w:p>
    <w:p>
      <w:pPr>
        <w:kinsoku w:val="0"/>
        <w:wordWrap w:val="0"/>
        <w:topLinePunct/>
        <w:spacing w:line="340" w:lineRule="exact"/>
        <w:ind w:firstLine="662" w:firstLineChars="253"/>
        <w:rPr>
          <w:rFonts w:ascii="仿宋_GB2312" w:hAnsi="宋体"/>
          <w:b/>
          <w:sz w:val="21"/>
        </w:rPr>
      </w:pP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项目名称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ind w:firstLine="696" w:firstLineChars="300"/>
        <w:rPr>
          <w:rFonts w:ascii="仿宋_GB2312" w:hAnsi="宋体"/>
          <w:sz w:val="18"/>
        </w:rPr>
      </w:pPr>
      <w:r>
        <w:rPr>
          <w:rFonts w:hint="eastAsia" w:ascii="仿宋_GB2312" w:hAnsi="宋体"/>
          <w:sz w:val="18"/>
        </w:rPr>
        <w:t>备注：合同价格为规定地点交货价（包括配件和一切运杂费）</w:t>
      </w:r>
    </w:p>
    <w:p>
      <w:pPr>
        <w:kinsoku w:val="0"/>
        <w:wordWrap w:val="0"/>
        <w:topLinePunct/>
        <w:spacing w:line="340" w:lineRule="exact"/>
        <w:rPr>
          <w:rFonts w:ascii="仿宋_GB2312" w:hAnsi="宋体"/>
          <w:b/>
          <w:sz w:val="21"/>
        </w:rPr>
      </w:pPr>
      <w:r>
        <w:rPr>
          <w:rFonts w:hint="eastAsia" w:ascii="仿宋_GB2312" w:hAnsi="宋体"/>
          <w:b/>
          <w:sz w:val="21"/>
        </w:rPr>
        <w:t>三</w:t>
      </w:r>
      <w:r>
        <w:rPr>
          <w:rFonts w:ascii="仿宋_GB2312" w:hAnsi="宋体"/>
          <w:b/>
          <w:sz w:val="21"/>
        </w:rPr>
        <w:t xml:space="preserve">. </w:t>
      </w:r>
      <w:r>
        <w:rPr>
          <w:rFonts w:hint="eastAsia" w:ascii="仿宋_GB2312" w:hAnsi="宋体"/>
          <w:b/>
          <w:sz w:val="21"/>
        </w:rPr>
        <w:t>设备质量要求及供方对质量负责的条件和期限：</w:t>
      </w:r>
    </w:p>
    <w:p>
      <w:pPr>
        <w:numPr>
          <w:ilvl w:val="0"/>
          <w:numId w:val="12"/>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2"/>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2"/>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2"/>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2"/>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kinsoku w:val="0"/>
        <w:wordWrap w:val="0"/>
        <w:topLinePunct/>
        <w:spacing w:line="340" w:lineRule="exact"/>
        <w:ind w:left="567" w:hanging="567"/>
        <w:rPr>
          <w:rFonts w:ascii="仿宋_GB2312" w:hAnsi="宋体"/>
          <w:b/>
          <w:sz w:val="21"/>
        </w:rPr>
      </w:pPr>
      <w:r>
        <w:rPr>
          <w:rFonts w:hint="eastAsia" w:ascii="仿宋_GB2312" w:hAnsi="宋体"/>
          <w:b/>
          <w:sz w:val="21"/>
        </w:rPr>
        <w:t>四</w:t>
      </w:r>
      <w:r>
        <w:rPr>
          <w:rFonts w:ascii="仿宋_GB2312" w:hAnsi="宋体"/>
          <w:b/>
          <w:sz w:val="21"/>
        </w:rPr>
        <w:t xml:space="preserve">. </w:t>
      </w:r>
      <w:r>
        <w:rPr>
          <w:rFonts w:hint="eastAsia" w:ascii="仿宋_GB2312" w:hAnsi="宋体"/>
          <w:b/>
          <w:sz w:val="21"/>
        </w:rPr>
        <w:t>交货及验收：</w:t>
      </w:r>
    </w:p>
    <w:p>
      <w:pPr>
        <w:numPr>
          <w:ilvl w:val="0"/>
          <w:numId w:val="13"/>
        </w:numPr>
        <w:tabs>
          <w:tab w:val="left" w:pos="0"/>
          <w:tab w:val="clear" w:pos="425"/>
        </w:tabs>
        <w:kinsoku w:val="0"/>
        <w:wordWrap w:val="0"/>
        <w:topLinePunct/>
        <w:spacing w:line="340" w:lineRule="exact"/>
        <w:ind w:left="830" w:hanging="332"/>
        <w:rPr>
          <w:rFonts w:ascii="仿宋_GB2312"/>
          <w:sz w:val="21"/>
        </w:rPr>
      </w:pPr>
      <w:r>
        <w:rPr>
          <w:rFonts w:hint="eastAsia" w:ascii="仿宋_GB2312"/>
          <w:sz w:val="21"/>
        </w:rPr>
        <w:t>竣工时间：合同签定后60天内。</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rPr>
          <w:rFonts w:ascii="仿宋_GB2312" w:hAnsi="宋体"/>
          <w:b/>
          <w:sz w:val="21"/>
        </w:rPr>
      </w:pPr>
      <w:r>
        <w:rPr>
          <w:rFonts w:hint="eastAsia" w:ascii="仿宋_GB2312" w:hAnsi="宋体"/>
          <w:b/>
          <w:sz w:val="21"/>
        </w:rPr>
        <w:t>五</w:t>
      </w:r>
      <w:r>
        <w:rPr>
          <w:rFonts w:ascii="仿宋_GB2312" w:hAnsi="宋体"/>
          <w:b/>
          <w:sz w:val="21"/>
        </w:rPr>
        <w:t xml:space="preserve">. </w:t>
      </w:r>
      <w:r>
        <w:rPr>
          <w:rFonts w:hint="eastAsia" w:ascii="仿宋_GB2312" w:hAnsi="宋体"/>
          <w:b/>
          <w:sz w:val="21"/>
        </w:rPr>
        <w:t>付款：</w:t>
      </w:r>
    </w:p>
    <w:p>
      <w:pPr>
        <w:widowControl/>
        <w:spacing w:line="288" w:lineRule="auto"/>
        <w:jc w:val="left"/>
        <w:rPr>
          <w:rFonts w:ascii="仿宋_GB2312" w:hAnsi="宋体" w:cs="宋体"/>
          <w:color w:val="000000"/>
          <w:sz w:val="21"/>
          <w:szCs w:val="21"/>
          <w:shd w:val="clear" w:color="auto" w:fill="FFFFFF"/>
        </w:rPr>
      </w:pPr>
      <w:r>
        <w:rPr>
          <w:rFonts w:hint="eastAsia" w:ascii="仿宋_GB2312" w:hAnsi="宋体"/>
          <w:b/>
          <w:sz w:val="21"/>
        </w:rPr>
        <w:t xml:space="preserve">    </w:t>
      </w: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 xml:space="preserve">    2.整个项目完成并验收合格后凭中标方发票10个工作日内支付100%货款。</w:t>
      </w:r>
    </w:p>
    <w:p>
      <w:pPr>
        <w:rPr>
          <w:rFonts w:ascii="仿宋_GB2312" w:hAnsi="宋体"/>
          <w:b/>
          <w:sz w:val="21"/>
        </w:rPr>
      </w:pPr>
      <w:r>
        <w:rPr>
          <w:rFonts w:hint="eastAsia" w:ascii="仿宋_GB2312" w:hAnsi="宋体"/>
          <w:b/>
          <w:sz w:val="21"/>
        </w:rPr>
        <w:t>六</w:t>
      </w:r>
      <w:r>
        <w:rPr>
          <w:rFonts w:ascii="仿宋_GB2312" w:hAnsi="宋体"/>
          <w:b/>
          <w:sz w:val="21"/>
        </w:rPr>
        <w:t xml:space="preserve">. </w:t>
      </w:r>
      <w:r>
        <w:rPr>
          <w:rFonts w:hint="eastAsia" w:ascii="仿宋_GB2312" w:hAnsi="宋体"/>
          <w:b/>
          <w:sz w:val="21"/>
        </w:rPr>
        <w:t>违约责任（服务类项目由用户另行指定）：</w:t>
      </w:r>
    </w:p>
    <w:p>
      <w:pPr>
        <w:numPr>
          <w:ilvl w:val="0"/>
          <w:numId w:val="14"/>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w:t>
      </w:r>
      <w:r>
        <w:rPr>
          <w:rFonts w:ascii="仿宋_GB2312" w:hAnsi="宋体"/>
          <w:sz w:val="21"/>
        </w:rPr>
        <w:t>5%</w:t>
      </w:r>
      <w:r>
        <w:rPr>
          <w:rFonts w:hint="eastAsia" w:ascii="仿宋_GB2312" w:hAnsi="宋体"/>
          <w:sz w:val="21"/>
        </w:rPr>
        <w:t>的违约金。</w:t>
      </w:r>
    </w:p>
    <w:p>
      <w:pPr>
        <w:numPr>
          <w:ilvl w:val="0"/>
          <w:numId w:val="14"/>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w:t>
      </w:r>
      <w:r>
        <w:rPr>
          <w:rFonts w:ascii="仿宋_GB2312" w:hAnsi="宋体"/>
          <w:sz w:val="21"/>
        </w:rPr>
        <w:t>5%</w:t>
      </w:r>
      <w:r>
        <w:rPr>
          <w:rFonts w:hint="eastAsia" w:ascii="仿宋_GB2312" w:hAnsi="宋体"/>
          <w:sz w:val="21"/>
        </w:rPr>
        <w:t>的违约金。</w:t>
      </w:r>
    </w:p>
    <w:p>
      <w:pPr>
        <w:numPr>
          <w:ilvl w:val="0"/>
          <w:numId w:val="14"/>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w:t>
      </w:r>
      <w:r>
        <w:rPr>
          <w:rFonts w:ascii="仿宋_GB2312" w:hAnsi="宋体"/>
          <w:sz w:val="21"/>
        </w:rPr>
        <w:t>5%</w:t>
      </w:r>
      <w:r>
        <w:rPr>
          <w:rFonts w:hint="eastAsia" w:ascii="仿宋_GB2312" w:hAnsi="宋体"/>
          <w:sz w:val="21"/>
        </w:rPr>
        <w:t>的违约金。</w:t>
      </w:r>
    </w:p>
    <w:p>
      <w:pPr>
        <w:numPr>
          <w:ilvl w:val="0"/>
          <w:numId w:val="14"/>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w:t>
      </w:r>
      <w:r>
        <w:rPr>
          <w:rFonts w:ascii="仿宋_GB2312" w:hAnsi="宋体"/>
          <w:sz w:val="21"/>
        </w:rPr>
        <w:t>3‰</w:t>
      </w:r>
      <w:r>
        <w:rPr>
          <w:rFonts w:hint="eastAsia" w:ascii="仿宋_GB2312" w:hAnsi="宋体"/>
          <w:sz w:val="21"/>
        </w:rPr>
        <w:t>向对方偿付违约金。逾期交付超过</w:t>
      </w:r>
      <w:r>
        <w:rPr>
          <w:rFonts w:ascii="仿宋_GB2312" w:hAnsi="宋体"/>
          <w:sz w:val="21"/>
        </w:rPr>
        <w:t>15</w:t>
      </w:r>
      <w:r>
        <w:rPr>
          <w:rFonts w:hint="eastAsia" w:ascii="仿宋_GB2312" w:hAnsi="宋体"/>
          <w:sz w:val="21"/>
        </w:rPr>
        <w:t>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4"/>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w:t>
      </w:r>
      <w:r>
        <w:rPr>
          <w:rFonts w:ascii="仿宋_GB2312" w:hAnsi="宋体"/>
          <w:sz w:val="21"/>
        </w:rPr>
        <w:t>3‰</w:t>
      </w:r>
      <w:r>
        <w:rPr>
          <w:rFonts w:hint="eastAsia" w:ascii="仿宋_GB2312" w:hAnsi="宋体"/>
          <w:sz w:val="21"/>
        </w:rPr>
        <w:t>向供方偿付违约金。</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szCs w:val="21"/>
        </w:rPr>
      </w:pPr>
      <w:r>
        <w:rPr>
          <w:rFonts w:hint="eastAsia" w:ascii="仿宋_GB2312" w:hAnsi="宋体"/>
          <w:sz w:val="21"/>
          <w:szCs w:val="21"/>
        </w:rPr>
        <w:t xml:space="preserve">                </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甲方:(盖章)汕头大学医学院     乙方：（盖章）</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代表：                        代表：</w:t>
      </w:r>
    </w:p>
    <w:p>
      <w:pPr>
        <w:rPr>
          <w:rFonts w:ascii="仿宋_GB2312"/>
          <w:sz w:val="21"/>
          <w:szCs w:val="21"/>
        </w:rPr>
      </w:pPr>
      <w:r>
        <w:rPr>
          <w:rFonts w:hint="eastAsia" w:ascii="仿宋_GB2312" w:hAnsi="宋体"/>
          <w:sz w:val="21"/>
          <w:szCs w:val="21"/>
        </w:rPr>
        <w:t>签订时间：                    签订时间：</w:t>
      </w: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sectPr>
      <w:headerReference r:id="rId3" w:type="default"/>
      <w:footerReference r:id="rId4" w:type="default"/>
      <w:footerReference r:id="rId5" w:type="even"/>
      <w:pgSz w:w="11907" w:h="16840"/>
      <w:pgMar w:top="1021" w:right="1134" w:bottom="1021" w:left="1134" w:header="851" w:footer="992" w:gutter="0"/>
      <w:pgNumType w:start="0"/>
      <w:cols w:space="425"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Narrow">
    <w:altName w:val="Arial"/>
    <w:panose1 w:val="00000000000000000000"/>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1</w:t>
    </w:r>
    <w:r>
      <w:rPr>
        <w:rStyle w:val="25"/>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346C4D7A"/>
    <w:multiLevelType w:val="multilevel"/>
    <w:tmpl w:val="346C4D7A"/>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5">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6">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7">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8">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D840209"/>
    <w:multiLevelType w:val="singleLevel"/>
    <w:tmpl w:val="5D840209"/>
    <w:lvl w:ilvl="0" w:tentative="0">
      <w:start w:val="4"/>
      <w:numFmt w:val="chineseCounting"/>
      <w:suff w:val="nothing"/>
      <w:lvlText w:val="%1、"/>
      <w:lvlJc w:val="left"/>
      <w:rPr>
        <w:rFonts w:hint="eastAsia"/>
      </w:rPr>
    </w:lvl>
  </w:abstractNum>
  <w:abstractNum w:abstractNumId="10">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2">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3">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4">
    <w:nsid w:val="7E2A564C"/>
    <w:multiLevelType w:val="singleLevel"/>
    <w:tmpl w:val="7E2A564C"/>
    <w:lvl w:ilvl="0" w:tentative="0">
      <w:start w:val="1"/>
      <w:numFmt w:val="decimal"/>
      <w:lvlText w:val="%1."/>
      <w:lvlJc w:val="left"/>
      <w:pPr>
        <w:tabs>
          <w:tab w:val="left" w:pos="851"/>
        </w:tabs>
        <w:ind w:left="851" w:hanging="425"/>
      </w:pPr>
      <w:rPr>
        <w:rFonts w:hint="eastAsia"/>
      </w:rPr>
    </w:lvl>
  </w:abstractNum>
  <w:num w:numId="1">
    <w:abstractNumId w:val="4"/>
  </w:num>
  <w:num w:numId="2">
    <w:abstractNumId w:val="2"/>
  </w:num>
  <w:num w:numId="3">
    <w:abstractNumId w:val="13"/>
  </w:num>
  <w:num w:numId="4">
    <w:abstractNumId w:val="6"/>
  </w:num>
  <w:num w:numId="5">
    <w:abstractNumId w:val="0"/>
  </w:num>
  <w:num w:numId="6">
    <w:abstractNumId w:val="5"/>
  </w:num>
  <w:num w:numId="7">
    <w:abstractNumId w:val="9"/>
  </w:num>
  <w:num w:numId="8">
    <w:abstractNumId w:val="1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hideSpellingErrors/>
  <w:hideGrammaticalErrors/>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781"/>
    <w:rsid w:val="0000204A"/>
    <w:rsid w:val="00004020"/>
    <w:rsid w:val="00005041"/>
    <w:rsid w:val="000059AA"/>
    <w:rsid w:val="0001407A"/>
    <w:rsid w:val="00021081"/>
    <w:rsid w:val="000224C3"/>
    <w:rsid w:val="000231B0"/>
    <w:rsid w:val="00024209"/>
    <w:rsid w:val="00025FD5"/>
    <w:rsid w:val="00026985"/>
    <w:rsid w:val="00034FA8"/>
    <w:rsid w:val="000364E5"/>
    <w:rsid w:val="00041FA2"/>
    <w:rsid w:val="00044606"/>
    <w:rsid w:val="00051179"/>
    <w:rsid w:val="00066F22"/>
    <w:rsid w:val="00070D89"/>
    <w:rsid w:val="00071AA3"/>
    <w:rsid w:val="00071C62"/>
    <w:rsid w:val="00075CAF"/>
    <w:rsid w:val="00076A72"/>
    <w:rsid w:val="000770C6"/>
    <w:rsid w:val="0008093C"/>
    <w:rsid w:val="000840BC"/>
    <w:rsid w:val="00084B04"/>
    <w:rsid w:val="000915D9"/>
    <w:rsid w:val="000A015E"/>
    <w:rsid w:val="000A2EDC"/>
    <w:rsid w:val="000A477C"/>
    <w:rsid w:val="000A77AB"/>
    <w:rsid w:val="000B6AED"/>
    <w:rsid w:val="000C0DEC"/>
    <w:rsid w:val="000C16D3"/>
    <w:rsid w:val="000C3941"/>
    <w:rsid w:val="000C3B61"/>
    <w:rsid w:val="000C7F51"/>
    <w:rsid w:val="000D0638"/>
    <w:rsid w:val="000D4468"/>
    <w:rsid w:val="000D470E"/>
    <w:rsid w:val="000E0A87"/>
    <w:rsid w:val="000F1FE5"/>
    <w:rsid w:val="000F383B"/>
    <w:rsid w:val="001066A2"/>
    <w:rsid w:val="00110AB1"/>
    <w:rsid w:val="001127F5"/>
    <w:rsid w:val="00112B75"/>
    <w:rsid w:val="001218F4"/>
    <w:rsid w:val="001242FE"/>
    <w:rsid w:val="00133325"/>
    <w:rsid w:val="001342EA"/>
    <w:rsid w:val="001369AB"/>
    <w:rsid w:val="0014112B"/>
    <w:rsid w:val="00141FFF"/>
    <w:rsid w:val="001443B7"/>
    <w:rsid w:val="00147107"/>
    <w:rsid w:val="00164C72"/>
    <w:rsid w:val="001656D0"/>
    <w:rsid w:val="0017027B"/>
    <w:rsid w:val="001706C2"/>
    <w:rsid w:val="001757AA"/>
    <w:rsid w:val="001823E3"/>
    <w:rsid w:val="0019133A"/>
    <w:rsid w:val="001A3305"/>
    <w:rsid w:val="001A3A62"/>
    <w:rsid w:val="001A55B7"/>
    <w:rsid w:val="001A64DC"/>
    <w:rsid w:val="001A684F"/>
    <w:rsid w:val="001A733C"/>
    <w:rsid w:val="001B1A25"/>
    <w:rsid w:val="001B256E"/>
    <w:rsid w:val="001B2D88"/>
    <w:rsid w:val="001B36A4"/>
    <w:rsid w:val="001B4AAD"/>
    <w:rsid w:val="001B6D46"/>
    <w:rsid w:val="001C06F8"/>
    <w:rsid w:val="001C5BD0"/>
    <w:rsid w:val="001C600D"/>
    <w:rsid w:val="001C6FE3"/>
    <w:rsid w:val="001D277C"/>
    <w:rsid w:val="001D3DA9"/>
    <w:rsid w:val="001D581E"/>
    <w:rsid w:val="001E4034"/>
    <w:rsid w:val="001E5CF1"/>
    <w:rsid w:val="001E610D"/>
    <w:rsid w:val="001E6289"/>
    <w:rsid w:val="001F0C7A"/>
    <w:rsid w:val="001F7EAA"/>
    <w:rsid w:val="0020285D"/>
    <w:rsid w:val="002077D4"/>
    <w:rsid w:val="00213925"/>
    <w:rsid w:val="00213E67"/>
    <w:rsid w:val="00224A9B"/>
    <w:rsid w:val="00234C70"/>
    <w:rsid w:val="002363C0"/>
    <w:rsid w:val="00251FCB"/>
    <w:rsid w:val="0025483C"/>
    <w:rsid w:val="00262EA9"/>
    <w:rsid w:val="002643A4"/>
    <w:rsid w:val="002719DF"/>
    <w:rsid w:val="00273904"/>
    <w:rsid w:val="00276E06"/>
    <w:rsid w:val="00277403"/>
    <w:rsid w:val="00283F3C"/>
    <w:rsid w:val="00285904"/>
    <w:rsid w:val="00285BD4"/>
    <w:rsid w:val="00286DFB"/>
    <w:rsid w:val="0029552F"/>
    <w:rsid w:val="002A165C"/>
    <w:rsid w:val="002A4782"/>
    <w:rsid w:val="002A5244"/>
    <w:rsid w:val="002A565D"/>
    <w:rsid w:val="002A5C3F"/>
    <w:rsid w:val="002B0E09"/>
    <w:rsid w:val="002B240A"/>
    <w:rsid w:val="002B5510"/>
    <w:rsid w:val="002C6E6A"/>
    <w:rsid w:val="002C7F85"/>
    <w:rsid w:val="002D1AE8"/>
    <w:rsid w:val="002D49F5"/>
    <w:rsid w:val="002D4F3E"/>
    <w:rsid w:val="002F32B6"/>
    <w:rsid w:val="002F51B5"/>
    <w:rsid w:val="002F6C3F"/>
    <w:rsid w:val="00301EDE"/>
    <w:rsid w:val="003042C1"/>
    <w:rsid w:val="00306AC9"/>
    <w:rsid w:val="0030762D"/>
    <w:rsid w:val="0031207A"/>
    <w:rsid w:val="00312E44"/>
    <w:rsid w:val="003139DA"/>
    <w:rsid w:val="003164AC"/>
    <w:rsid w:val="00321D03"/>
    <w:rsid w:val="00344B76"/>
    <w:rsid w:val="00361561"/>
    <w:rsid w:val="00364C94"/>
    <w:rsid w:val="003665E8"/>
    <w:rsid w:val="00367CCA"/>
    <w:rsid w:val="00370198"/>
    <w:rsid w:val="003707A2"/>
    <w:rsid w:val="00370A1A"/>
    <w:rsid w:val="00384A71"/>
    <w:rsid w:val="003859ED"/>
    <w:rsid w:val="00387A87"/>
    <w:rsid w:val="0039041F"/>
    <w:rsid w:val="00390807"/>
    <w:rsid w:val="00393B54"/>
    <w:rsid w:val="003948E6"/>
    <w:rsid w:val="00397CF9"/>
    <w:rsid w:val="003A027D"/>
    <w:rsid w:val="003A028C"/>
    <w:rsid w:val="003A1B09"/>
    <w:rsid w:val="003A26D8"/>
    <w:rsid w:val="003A3F70"/>
    <w:rsid w:val="003A41E7"/>
    <w:rsid w:val="003A492D"/>
    <w:rsid w:val="003A7B28"/>
    <w:rsid w:val="003B1238"/>
    <w:rsid w:val="003B472C"/>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16E9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560E0"/>
    <w:rsid w:val="0046041C"/>
    <w:rsid w:val="004605AF"/>
    <w:rsid w:val="00464B10"/>
    <w:rsid w:val="00474F8D"/>
    <w:rsid w:val="00476225"/>
    <w:rsid w:val="0048192E"/>
    <w:rsid w:val="00483252"/>
    <w:rsid w:val="00483D43"/>
    <w:rsid w:val="00485CF4"/>
    <w:rsid w:val="00487E57"/>
    <w:rsid w:val="0049387D"/>
    <w:rsid w:val="00493E3B"/>
    <w:rsid w:val="004966EF"/>
    <w:rsid w:val="00497654"/>
    <w:rsid w:val="00497859"/>
    <w:rsid w:val="004A7DE2"/>
    <w:rsid w:val="004B38E5"/>
    <w:rsid w:val="004B638C"/>
    <w:rsid w:val="004C1AF5"/>
    <w:rsid w:val="004C435A"/>
    <w:rsid w:val="004D035D"/>
    <w:rsid w:val="004D2F20"/>
    <w:rsid w:val="004D7ED7"/>
    <w:rsid w:val="004F1E00"/>
    <w:rsid w:val="004F2B8D"/>
    <w:rsid w:val="004F361B"/>
    <w:rsid w:val="00501D28"/>
    <w:rsid w:val="00502280"/>
    <w:rsid w:val="005072B0"/>
    <w:rsid w:val="00510527"/>
    <w:rsid w:val="00511A8D"/>
    <w:rsid w:val="0052093E"/>
    <w:rsid w:val="00524335"/>
    <w:rsid w:val="00531F1C"/>
    <w:rsid w:val="0053453F"/>
    <w:rsid w:val="00544C3B"/>
    <w:rsid w:val="005459AB"/>
    <w:rsid w:val="00547A85"/>
    <w:rsid w:val="005506A5"/>
    <w:rsid w:val="00550E7D"/>
    <w:rsid w:val="005513FB"/>
    <w:rsid w:val="00551500"/>
    <w:rsid w:val="00557CBB"/>
    <w:rsid w:val="00560062"/>
    <w:rsid w:val="00570682"/>
    <w:rsid w:val="00573CF8"/>
    <w:rsid w:val="0057407B"/>
    <w:rsid w:val="00575479"/>
    <w:rsid w:val="00576E99"/>
    <w:rsid w:val="00583525"/>
    <w:rsid w:val="00590573"/>
    <w:rsid w:val="00590B41"/>
    <w:rsid w:val="00593ECB"/>
    <w:rsid w:val="00594A03"/>
    <w:rsid w:val="00597C83"/>
    <w:rsid w:val="005A27E5"/>
    <w:rsid w:val="005A2815"/>
    <w:rsid w:val="005A58F4"/>
    <w:rsid w:val="005A5D53"/>
    <w:rsid w:val="005B2632"/>
    <w:rsid w:val="005B3071"/>
    <w:rsid w:val="005B4D42"/>
    <w:rsid w:val="005C17A4"/>
    <w:rsid w:val="005C347F"/>
    <w:rsid w:val="005D0306"/>
    <w:rsid w:val="005D14F6"/>
    <w:rsid w:val="005D182A"/>
    <w:rsid w:val="005D3FE5"/>
    <w:rsid w:val="005D707B"/>
    <w:rsid w:val="005D79E3"/>
    <w:rsid w:val="005E06E4"/>
    <w:rsid w:val="005E381E"/>
    <w:rsid w:val="005E3A7D"/>
    <w:rsid w:val="005E4AB3"/>
    <w:rsid w:val="005E4B95"/>
    <w:rsid w:val="005F0421"/>
    <w:rsid w:val="005F3426"/>
    <w:rsid w:val="005F370A"/>
    <w:rsid w:val="00600FD0"/>
    <w:rsid w:val="00612E0C"/>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B7C"/>
    <w:rsid w:val="006711BB"/>
    <w:rsid w:val="00675CF1"/>
    <w:rsid w:val="006763EE"/>
    <w:rsid w:val="006766D1"/>
    <w:rsid w:val="006804DF"/>
    <w:rsid w:val="006A2D1B"/>
    <w:rsid w:val="006A63FE"/>
    <w:rsid w:val="006A756B"/>
    <w:rsid w:val="006B193E"/>
    <w:rsid w:val="006B429B"/>
    <w:rsid w:val="006B52C6"/>
    <w:rsid w:val="006C038A"/>
    <w:rsid w:val="006C1872"/>
    <w:rsid w:val="006C1C37"/>
    <w:rsid w:val="006C7671"/>
    <w:rsid w:val="006D13B6"/>
    <w:rsid w:val="006D3111"/>
    <w:rsid w:val="006D3B89"/>
    <w:rsid w:val="006D4B5D"/>
    <w:rsid w:val="006D654D"/>
    <w:rsid w:val="006D7267"/>
    <w:rsid w:val="006E757E"/>
    <w:rsid w:val="006F2493"/>
    <w:rsid w:val="006F3FC3"/>
    <w:rsid w:val="006F554D"/>
    <w:rsid w:val="006F7B31"/>
    <w:rsid w:val="00701668"/>
    <w:rsid w:val="00706A88"/>
    <w:rsid w:val="00706DF5"/>
    <w:rsid w:val="007139EC"/>
    <w:rsid w:val="00713EF4"/>
    <w:rsid w:val="00713FE6"/>
    <w:rsid w:val="00715088"/>
    <w:rsid w:val="00715526"/>
    <w:rsid w:val="00715550"/>
    <w:rsid w:val="00720DCA"/>
    <w:rsid w:val="00724C1C"/>
    <w:rsid w:val="00726C7B"/>
    <w:rsid w:val="007274E1"/>
    <w:rsid w:val="007371C9"/>
    <w:rsid w:val="00750827"/>
    <w:rsid w:val="00752970"/>
    <w:rsid w:val="007537CC"/>
    <w:rsid w:val="00753D53"/>
    <w:rsid w:val="007548A8"/>
    <w:rsid w:val="00766B63"/>
    <w:rsid w:val="00771F91"/>
    <w:rsid w:val="007721A7"/>
    <w:rsid w:val="00775777"/>
    <w:rsid w:val="007763BA"/>
    <w:rsid w:val="00777BF4"/>
    <w:rsid w:val="00777C6E"/>
    <w:rsid w:val="00783F50"/>
    <w:rsid w:val="0078401C"/>
    <w:rsid w:val="007842EC"/>
    <w:rsid w:val="0078487E"/>
    <w:rsid w:val="00785609"/>
    <w:rsid w:val="00786D80"/>
    <w:rsid w:val="0079124E"/>
    <w:rsid w:val="00793B82"/>
    <w:rsid w:val="007A0389"/>
    <w:rsid w:val="007A2052"/>
    <w:rsid w:val="007A367B"/>
    <w:rsid w:val="007A5207"/>
    <w:rsid w:val="007A7A03"/>
    <w:rsid w:val="007B6849"/>
    <w:rsid w:val="007C032B"/>
    <w:rsid w:val="007C12C5"/>
    <w:rsid w:val="007C4D09"/>
    <w:rsid w:val="007C7791"/>
    <w:rsid w:val="007C7B5F"/>
    <w:rsid w:val="007D1D44"/>
    <w:rsid w:val="007D6608"/>
    <w:rsid w:val="007D6E55"/>
    <w:rsid w:val="007D7AA4"/>
    <w:rsid w:val="007E0C40"/>
    <w:rsid w:val="007E0EE4"/>
    <w:rsid w:val="007E2D7D"/>
    <w:rsid w:val="007E6054"/>
    <w:rsid w:val="007E782D"/>
    <w:rsid w:val="007F07C7"/>
    <w:rsid w:val="007F5DDD"/>
    <w:rsid w:val="007F5F99"/>
    <w:rsid w:val="00800E0C"/>
    <w:rsid w:val="00801DD9"/>
    <w:rsid w:val="008050A3"/>
    <w:rsid w:val="0080514E"/>
    <w:rsid w:val="008104AF"/>
    <w:rsid w:val="00812D6A"/>
    <w:rsid w:val="00822FC8"/>
    <w:rsid w:val="00823EE5"/>
    <w:rsid w:val="008271E1"/>
    <w:rsid w:val="00830881"/>
    <w:rsid w:val="008356E1"/>
    <w:rsid w:val="008377A0"/>
    <w:rsid w:val="00844E4E"/>
    <w:rsid w:val="0084618A"/>
    <w:rsid w:val="008501B9"/>
    <w:rsid w:val="008503D9"/>
    <w:rsid w:val="00864302"/>
    <w:rsid w:val="00874260"/>
    <w:rsid w:val="00882C94"/>
    <w:rsid w:val="008841DD"/>
    <w:rsid w:val="00885DAF"/>
    <w:rsid w:val="008870D2"/>
    <w:rsid w:val="00887F8B"/>
    <w:rsid w:val="00890BB0"/>
    <w:rsid w:val="008976A8"/>
    <w:rsid w:val="008A1586"/>
    <w:rsid w:val="008A29F0"/>
    <w:rsid w:val="008B3399"/>
    <w:rsid w:val="008C1D5E"/>
    <w:rsid w:val="008C797F"/>
    <w:rsid w:val="008D297D"/>
    <w:rsid w:val="008D2C4D"/>
    <w:rsid w:val="008D3D23"/>
    <w:rsid w:val="008E3F55"/>
    <w:rsid w:val="008F5468"/>
    <w:rsid w:val="0090162D"/>
    <w:rsid w:val="0090206E"/>
    <w:rsid w:val="00907A41"/>
    <w:rsid w:val="00912E99"/>
    <w:rsid w:val="00913781"/>
    <w:rsid w:val="00921907"/>
    <w:rsid w:val="00922E6F"/>
    <w:rsid w:val="00923FAA"/>
    <w:rsid w:val="009250E3"/>
    <w:rsid w:val="00937153"/>
    <w:rsid w:val="00940140"/>
    <w:rsid w:val="009422A2"/>
    <w:rsid w:val="00946608"/>
    <w:rsid w:val="00953904"/>
    <w:rsid w:val="00953FAE"/>
    <w:rsid w:val="00955826"/>
    <w:rsid w:val="00956C39"/>
    <w:rsid w:val="009654E5"/>
    <w:rsid w:val="00966CAE"/>
    <w:rsid w:val="009673D3"/>
    <w:rsid w:val="009708C3"/>
    <w:rsid w:val="0098147F"/>
    <w:rsid w:val="0098167B"/>
    <w:rsid w:val="0098798F"/>
    <w:rsid w:val="00987FED"/>
    <w:rsid w:val="00995365"/>
    <w:rsid w:val="00997A5B"/>
    <w:rsid w:val="009A09EA"/>
    <w:rsid w:val="009A2173"/>
    <w:rsid w:val="009A25EA"/>
    <w:rsid w:val="009A7699"/>
    <w:rsid w:val="009A7B23"/>
    <w:rsid w:val="009B3C2B"/>
    <w:rsid w:val="009C0E05"/>
    <w:rsid w:val="009C1D7D"/>
    <w:rsid w:val="009C25EA"/>
    <w:rsid w:val="009C448A"/>
    <w:rsid w:val="009C54A3"/>
    <w:rsid w:val="009C54F2"/>
    <w:rsid w:val="009D3CBA"/>
    <w:rsid w:val="009D5F3D"/>
    <w:rsid w:val="009D6303"/>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78B5"/>
    <w:rsid w:val="00A33330"/>
    <w:rsid w:val="00A34B0C"/>
    <w:rsid w:val="00A34C3C"/>
    <w:rsid w:val="00A35675"/>
    <w:rsid w:val="00A3659C"/>
    <w:rsid w:val="00A3679E"/>
    <w:rsid w:val="00A3746F"/>
    <w:rsid w:val="00A441B3"/>
    <w:rsid w:val="00A45AA2"/>
    <w:rsid w:val="00A45B2B"/>
    <w:rsid w:val="00A47EA0"/>
    <w:rsid w:val="00A5011F"/>
    <w:rsid w:val="00A5098B"/>
    <w:rsid w:val="00A51DA4"/>
    <w:rsid w:val="00A520B3"/>
    <w:rsid w:val="00A53627"/>
    <w:rsid w:val="00A55C61"/>
    <w:rsid w:val="00A62C79"/>
    <w:rsid w:val="00A64781"/>
    <w:rsid w:val="00A6649B"/>
    <w:rsid w:val="00A759FB"/>
    <w:rsid w:val="00A76383"/>
    <w:rsid w:val="00A77F6D"/>
    <w:rsid w:val="00A80062"/>
    <w:rsid w:val="00A80C3E"/>
    <w:rsid w:val="00A8109B"/>
    <w:rsid w:val="00A816BC"/>
    <w:rsid w:val="00A83FFA"/>
    <w:rsid w:val="00A91508"/>
    <w:rsid w:val="00A91DA7"/>
    <w:rsid w:val="00A94CF9"/>
    <w:rsid w:val="00AA08AC"/>
    <w:rsid w:val="00AA377F"/>
    <w:rsid w:val="00AA489E"/>
    <w:rsid w:val="00AA4A15"/>
    <w:rsid w:val="00AA5873"/>
    <w:rsid w:val="00AB3CF8"/>
    <w:rsid w:val="00AB721A"/>
    <w:rsid w:val="00AC2909"/>
    <w:rsid w:val="00AC5155"/>
    <w:rsid w:val="00AD07F8"/>
    <w:rsid w:val="00AD294E"/>
    <w:rsid w:val="00AD3E2C"/>
    <w:rsid w:val="00AD74B5"/>
    <w:rsid w:val="00AE1E63"/>
    <w:rsid w:val="00AE7CC9"/>
    <w:rsid w:val="00AF42EA"/>
    <w:rsid w:val="00B00CE9"/>
    <w:rsid w:val="00B0145F"/>
    <w:rsid w:val="00B01DAE"/>
    <w:rsid w:val="00B0233B"/>
    <w:rsid w:val="00B02641"/>
    <w:rsid w:val="00B06CED"/>
    <w:rsid w:val="00B07CBA"/>
    <w:rsid w:val="00B1259F"/>
    <w:rsid w:val="00B132F8"/>
    <w:rsid w:val="00B17088"/>
    <w:rsid w:val="00B206EE"/>
    <w:rsid w:val="00B20D4E"/>
    <w:rsid w:val="00B21A7D"/>
    <w:rsid w:val="00B21C0C"/>
    <w:rsid w:val="00B32A33"/>
    <w:rsid w:val="00B36115"/>
    <w:rsid w:val="00B36427"/>
    <w:rsid w:val="00B43476"/>
    <w:rsid w:val="00B434D1"/>
    <w:rsid w:val="00B47071"/>
    <w:rsid w:val="00B506D1"/>
    <w:rsid w:val="00B51983"/>
    <w:rsid w:val="00B51B01"/>
    <w:rsid w:val="00B52A71"/>
    <w:rsid w:val="00B54370"/>
    <w:rsid w:val="00B557E8"/>
    <w:rsid w:val="00B558B7"/>
    <w:rsid w:val="00B5600D"/>
    <w:rsid w:val="00B56D06"/>
    <w:rsid w:val="00B61194"/>
    <w:rsid w:val="00B6156F"/>
    <w:rsid w:val="00B72ADD"/>
    <w:rsid w:val="00B77C24"/>
    <w:rsid w:val="00B87660"/>
    <w:rsid w:val="00B92C98"/>
    <w:rsid w:val="00BA14C4"/>
    <w:rsid w:val="00BA2814"/>
    <w:rsid w:val="00BA5D01"/>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6A99"/>
    <w:rsid w:val="00C277BF"/>
    <w:rsid w:val="00C27F5A"/>
    <w:rsid w:val="00C30447"/>
    <w:rsid w:val="00C30FFE"/>
    <w:rsid w:val="00C319BA"/>
    <w:rsid w:val="00C32411"/>
    <w:rsid w:val="00C36586"/>
    <w:rsid w:val="00C40077"/>
    <w:rsid w:val="00C4287B"/>
    <w:rsid w:val="00C42899"/>
    <w:rsid w:val="00C435FA"/>
    <w:rsid w:val="00C43DBC"/>
    <w:rsid w:val="00C476F5"/>
    <w:rsid w:val="00C47CCD"/>
    <w:rsid w:val="00C5272F"/>
    <w:rsid w:val="00C53E8F"/>
    <w:rsid w:val="00C551DC"/>
    <w:rsid w:val="00C610FE"/>
    <w:rsid w:val="00C72541"/>
    <w:rsid w:val="00C75C45"/>
    <w:rsid w:val="00C866F5"/>
    <w:rsid w:val="00C87892"/>
    <w:rsid w:val="00C91DD3"/>
    <w:rsid w:val="00C92360"/>
    <w:rsid w:val="00C94B0C"/>
    <w:rsid w:val="00C94FB2"/>
    <w:rsid w:val="00C959D5"/>
    <w:rsid w:val="00C95A27"/>
    <w:rsid w:val="00C97339"/>
    <w:rsid w:val="00C97E96"/>
    <w:rsid w:val="00CA216C"/>
    <w:rsid w:val="00CA6DD1"/>
    <w:rsid w:val="00CA7A68"/>
    <w:rsid w:val="00CB0CEF"/>
    <w:rsid w:val="00CB1C27"/>
    <w:rsid w:val="00CB5DBA"/>
    <w:rsid w:val="00CC0B7B"/>
    <w:rsid w:val="00CC52E4"/>
    <w:rsid w:val="00CC7A80"/>
    <w:rsid w:val="00CD177D"/>
    <w:rsid w:val="00CD3221"/>
    <w:rsid w:val="00CD45E5"/>
    <w:rsid w:val="00CD659D"/>
    <w:rsid w:val="00CD78CF"/>
    <w:rsid w:val="00CE10A8"/>
    <w:rsid w:val="00CE17B8"/>
    <w:rsid w:val="00CE1854"/>
    <w:rsid w:val="00CE2E27"/>
    <w:rsid w:val="00CE30B3"/>
    <w:rsid w:val="00CE31C5"/>
    <w:rsid w:val="00CE46C2"/>
    <w:rsid w:val="00CF2197"/>
    <w:rsid w:val="00CF396D"/>
    <w:rsid w:val="00D002AC"/>
    <w:rsid w:val="00D02106"/>
    <w:rsid w:val="00D03655"/>
    <w:rsid w:val="00D03F79"/>
    <w:rsid w:val="00D11A94"/>
    <w:rsid w:val="00D12092"/>
    <w:rsid w:val="00D12521"/>
    <w:rsid w:val="00D17650"/>
    <w:rsid w:val="00D20AEA"/>
    <w:rsid w:val="00D26318"/>
    <w:rsid w:val="00D2662C"/>
    <w:rsid w:val="00D31A1F"/>
    <w:rsid w:val="00D321BE"/>
    <w:rsid w:val="00D32723"/>
    <w:rsid w:val="00D367F1"/>
    <w:rsid w:val="00D37F09"/>
    <w:rsid w:val="00D4228C"/>
    <w:rsid w:val="00D44B42"/>
    <w:rsid w:val="00D47CA9"/>
    <w:rsid w:val="00D536BF"/>
    <w:rsid w:val="00D5590C"/>
    <w:rsid w:val="00D56A29"/>
    <w:rsid w:val="00D57375"/>
    <w:rsid w:val="00D57605"/>
    <w:rsid w:val="00D643BD"/>
    <w:rsid w:val="00D66A71"/>
    <w:rsid w:val="00D6763B"/>
    <w:rsid w:val="00D679B2"/>
    <w:rsid w:val="00D83636"/>
    <w:rsid w:val="00D85567"/>
    <w:rsid w:val="00D85FA3"/>
    <w:rsid w:val="00D8790B"/>
    <w:rsid w:val="00D94BFF"/>
    <w:rsid w:val="00D959B5"/>
    <w:rsid w:val="00D97F13"/>
    <w:rsid w:val="00DA0868"/>
    <w:rsid w:val="00DA1B09"/>
    <w:rsid w:val="00DA7DA4"/>
    <w:rsid w:val="00DB20A0"/>
    <w:rsid w:val="00DB3EA6"/>
    <w:rsid w:val="00DB6CC2"/>
    <w:rsid w:val="00DC1AF8"/>
    <w:rsid w:val="00DC2B04"/>
    <w:rsid w:val="00DC2C01"/>
    <w:rsid w:val="00DC6AAA"/>
    <w:rsid w:val="00DD4DA5"/>
    <w:rsid w:val="00DD7453"/>
    <w:rsid w:val="00DE42D5"/>
    <w:rsid w:val="00DE5604"/>
    <w:rsid w:val="00DE5FA5"/>
    <w:rsid w:val="00E015A2"/>
    <w:rsid w:val="00E10169"/>
    <w:rsid w:val="00E10452"/>
    <w:rsid w:val="00E137EE"/>
    <w:rsid w:val="00E16E07"/>
    <w:rsid w:val="00E21024"/>
    <w:rsid w:val="00E22AEB"/>
    <w:rsid w:val="00E24BA6"/>
    <w:rsid w:val="00E308D3"/>
    <w:rsid w:val="00E35A25"/>
    <w:rsid w:val="00E371FC"/>
    <w:rsid w:val="00E375A3"/>
    <w:rsid w:val="00E37DA9"/>
    <w:rsid w:val="00E41C0F"/>
    <w:rsid w:val="00E41F33"/>
    <w:rsid w:val="00E431CD"/>
    <w:rsid w:val="00E470CF"/>
    <w:rsid w:val="00E5487C"/>
    <w:rsid w:val="00E6707E"/>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E07"/>
    <w:rsid w:val="00EB254F"/>
    <w:rsid w:val="00EC2378"/>
    <w:rsid w:val="00EC393F"/>
    <w:rsid w:val="00EC693B"/>
    <w:rsid w:val="00ED3BF1"/>
    <w:rsid w:val="00ED50DD"/>
    <w:rsid w:val="00ED5DA5"/>
    <w:rsid w:val="00EF0C99"/>
    <w:rsid w:val="00F030AC"/>
    <w:rsid w:val="00F043A6"/>
    <w:rsid w:val="00F04673"/>
    <w:rsid w:val="00F049A1"/>
    <w:rsid w:val="00F171F4"/>
    <w:rsid w:val="00F17BE0"/>
    <w:rsid w:val="00F2043C"/>
    <w:rsid w:val="00F22587"/>
    <w:rsid w:val="00F24623"/>
    <w:rsid w:val="00F24E2B"/>
    <w:rsid w:val="00F3037A"/>
    <w:rsid w:val="00F474D5"/>
    <w:rsid w:val="00F56705"/>
    <w:rsid w:val="00F6247F"/>
    <w:rsid w:val="00F64B50"/>
    <w:rsid w:val="00F651EC"/>
    <w:rsid w:val="00F6526A"/>
    <w:rsid w:val="00F6657D"/>
    <w:rsid w:val="00F665F6"/>
    <w:rsid w:val="00F67CF6"/>
    <w:rsid w:val="00F75E1D"/>
    <w:rsid w:val="00F766BF"/>
    <w:rsid w:val="00F95645"/>
    <w:rsid w:val="00F964F4"/>
    <w:rsid w:val="00F96E4F"/>
    <w:rsid w:val="00F97CF7"/>
    <w:rsid w:val="00F97F20"/>
    <w:rsid w:val="00FA02A9"/>
    <w:rsid w:val="00FA5108"/>
    <w:rsid w:val="00FB2C8C"/>
    <w:rsid w:val="00FB4617"/>
    <w:rsid w:val="00FB598E"/>
    <w:rsid w:val="00FD56F9"/>
    <w:rsid w:val="00FE4C78"/>
    <w:rsid w:val="00FE50F6"/>
    <w:rsid w:val="00FE7DC3"/>
    <w:rsid w:val="00FE7E5D"/>
    <w:rsid w:val="00FF10DB"/>
    <w:rsid w:val="00FF1FB7"/>
    <w:rsid w:val="00FF299B"/>
    <w:rsid w:val="00FF717A"/>
    <w:rsid w:val="6C721A8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footer"/>
    <w:basedOn w:val="1"/>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qFormat/>
    <w:uiPriority w:val="0"/>
    <w:pPr>
      <w:ind w:firstLine="777"/>
    </w:pPr>
    <w:rPr>
      <w:rFonts w:ascii="楷体_GB2312" w:hAnsi="Arial Narrow" w:eastAsia="楷体_GB2312"/>
    </w:rPr>
  </w:style>
  <w:style w:type="paragraph" w:styleId="18">
    <w:name w:val="Body Text 2"/>
    <w:basedOn w:val="1"/>
    <w:qFormat/>
    <w:uiPriority w:val="0"/>
    <w:rPr>
      <w:rFonts w:ascii="Arial Narrow" w:hAnsi="Arial Narrow" w:eastAsia="楷体_GB2312"/>
      <w:sz w:val="21"/>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Emphasis"/>
    <w:basedOn w:val="23"/>
    <w:qFormat/>
    <w:uiPriority w:val="0"/>
    <w:rPr>
      <w:color w:val="CC0033"/>
    </w:rPr>
  </w:style>
  <w:style w:type="character" w:styleId="28">
    <w:name w:val="Hyperlink"/>
    <w:basedOn w:val="23"/>
    <w:uiPriority w:val="0"/>
    <w:rPr>
      <w:color w:val="0000FF"/>
      <w:u w:val="single"/>
    </w:rPr>
  </w:style>
  <w:style w:type="character" w:styleId="29">
    <w:name w:val="annotation reference"/>
    <w:basedOn w:val="23"/>
    <w:semiHidden/>
    <w:qFormat/>
    <w:uiPriority w:val="0"/>
    <w:rPr>
      <w:sz w:val="21"/>
    </w:rPr>
  </w:style>
  <w:style w:type="paragraph" w:customStyle="1" w:styleId="30">
    <w:name w:val="font5"/>
    <w:basedOn w:val="1"/>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3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32">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33">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3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6">
    <w:name w:val="xl2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8">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9">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0">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41">
    <w:name w:val="font10"/>
    <w:basedOn w:val="1"/>
    <w:uiPriority w:val="0"/>
    <w:pPr>
      <w:widowControl/>
      <w:spacing w:before="100" w:beforeAutospacing="1" w:after="100" w:afterAutospacing="1"/>
      <w:jc w:val="left"/>
    </w:pPr>
    <w:rPr>
      <w:rFonts w:hint="eastAsia" w:ascii="宋体" w:hAnsi="宋体" w:eastAsia="宋体"/>
      <w:kern w:val="0"/>
      <w:sz w:val="20"/>
    </w:rPr>
  </w:style>
  <w:style w:type="paragraph" w:customStyle="1" w:styleId="42">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43">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4">
    <w:name w:val="xl34"/>
    <w:basedOn w:val="1"/>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46">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47">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8">
    <w:name w:val="xl38"/>
    <w:basedOn w:val="1"/>
    <w:uiPriority w:val="0"/>
    <w:pPr>
      <w:widowControl/>
      <w:spacing w:before="100" w:beforeAutospacing="1" w:after="100" w:afterAutospacing="1"/>
      <w:jc w:val="left"/>
      <w:textAlignment w:val="top"/>
    </w:pPr>
    <w:rPr>
      <w:rFonts w:eastAsia="宋体"/>
      <w:color w:val="003366"/>
      <w:kern w:val="0"/>
      <w:sz w:val="20"/>
    </w:rPr>
  </w:style>
  <w:style w:type="paragraph" w:customStyle="1" w:styleId="49">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0">
    <w:name w:val="xl40"/>
    <w:basedOn w:val="1"/>
    <w:uiPriority w:val="0"/>
    <w:pPr>
      <w:widowControl/>
      <w:spacing w:before="100" w:beforeAutospacing="1" w:after="100" w:afterAutospacing="1"/>
      <w:jc w:val="center"/>
      <w:textAlignment w:val="top"/>
    </w:pPr>
    <w:rPr>
      <w:rFonts w:eastAsia="宋体"/>
      <w:kern w:val="0"/>
      <w:sz w:val="18"/>
      <w:szCs w:val="18"/>
    </w:rPr>
  </w:style>
  <w:style w:type="paragraph" w:customStyle="1" w:styleId="51">
    <w:name w:val="xl41"/>
    <w:basedOn w:val="1"/>
    <w:uiPriority w:val="0"/>
    <w:pPr>
      <w:widowControl/>
      <w:spacing w:before="100" w:beforeAutospacing="1" w:after="100" w:afterAutospacing="1"/>
      <w:jc w:val="left"/>
      <w:textAlignment w:val="top"/>
    </w:pPr>
    <w:rPr>
      <w:rFonts w:eastAsia="宋体"/>
      <w:kern w:val="0"/>
      <w:sz w:val="20"/>
    </w:rPr>
  </w:style>
  <w:style w:type="paragraph" w:customStyle="1" w:styleId="52">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4">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55">
    <w:name w:val="xl45"/>
    <w:basedOn w:val="1"/>
    <w:uiPriority w:val="0"/>
    <w:pPr>
      <w:widowControl/>
      <w:spacing w:before="100" w:beforeAutospacing="1" w:after="100" w:afterAutospacing="1"/>
      <w:jc w:val="left"/>
      <w:textAlignment w:val="top"/>
    </w:pPr>
    <w:rPr>
      <w:rFonts w:eastAsia="宋体"/>
      <w:kern w:val="0"/>
      <w:sz w:val="20"/>
    </w:rPr>
  </w:style>
  <w:style w:type="paragraph" w:customStyle="1" w:styleId="56">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7">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60">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61">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2">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63">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4">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6">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7">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69">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2">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73">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74">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7">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8">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9">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character" w:customStyle="1" w:styleId="80">
    <w:name w:val="f141"/>
    <w:basedOn w:val="23"/>
    <w:qFormat/>
    <w:uiPriority w:val="0"/>
    <w:rPr>
      <w:b/>
      <w:bCs/>
      <w:sz w:val="21"/>
      <w:szCs w:val="21"/>
    </w:rPr>
  </w:style>
  <w:style w:type="character" w:customStyle="1" w:styleId="81">
    <w:name w:val="style4"/>
    <w:basedOn w:val="23"/>
    <w:qFormat/>
    <w:uiPriority w:val="0"/>
  </w:style>
  <w:style w:type="character" w:customStyle="1" w:styleId="82">
    <w:name w:val="hei12b"/>
    <w:basedOn w:val="23"/>
    <w:qFormat/>
    <w:uiPriority w:val="0"/>
  </w:style>
  <w:style w:type="paragraph" w:customStyle="1" w:styleId="83">
    <w:name w:val="Char Char Char Char"/>
    <w:basedOn w:val="1"/>
    <w:qFormat/>
    <w:uiPriority w:val="0"/>
    <w:rPr>
      <w:rFonts w:eastAsia="宋体"/>
      <w:sz w:val="21"/>
    </w:rPr>
  </w:style>
  <w:style w:type="character" w:customStyle="1" w:styleId="84">
    <w:name w:val="style36"/>
    <w:basedOn w:val="23"/>
    <w:qFormat/>
    <w:uiPriority w:val="0"/>
  </w:style>
  <w:style w:type="character" w:customStyle="1" w:styleId="85">
    <w:name w:val="font141"/>
    <w:basedOn w:val="23"/>
    <w:qFormat/>
    <w:uiPriority w:val="0"/>
  </w:style>
  <w:style w:type="character" w:customStyle="1" w:styleId="86">
    <w:name w:val="style31"/>
    <w:basedOn w:val="23"/>
    <w:qFormat/>
    <w:uiPriority w:val="0"/>
    <w:rPr>
      <w:b/>
      <w:bCs/>
      <w:color w:val="A16601"/>
    </w:rPr>
  </w:style>
  <w:style w:type="character" w:customStyle="1" w:styleId="87">
    <w:name w:val="search_highlight2"/>
    <w:basedOn w:val="23"/>
    <w:uiPriority w:val="0"/>
    <w:rPr>
      <w:rFonts w:hint="default" w:ascii="Arial" w:hAnsi="Arial" w:cs="Arial"/>
      <w:shd w:val="clear" w:color="auto" w:fill="FFFFB0"/>
    </w:rPr>
  </w:style>
  <w:style w:type="character" w:customStyle="1" w:styleId="88">
    <w:name w:val="dct-tt"/>
    <w:basedOn w:val="23"/>
    <w:uiPriority w:val="0"/>
    <w:rPr>
      <w:rFonts w:hint="default" w:ascii="Arial" w:hAnsi="Arial" w:cs="Arial"/>
    </w:rPr>
  </w:style>
  <w:style w:type="paragraph" w:customStyle="1" w:styleId="89">
    <w:name w:val="Char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0">
    <w:name w:val="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1">
    <w:name w:val="List Paragraph1"/>
    <w:basedOn w:val="1"/>
    <w:uiPriority w:val="0"/>
    <w:pPr>
      <w:ind w:firstLine="420" w:firstLineChars="200"/>
    </w:pPr>
    <w:rPr>
      <w:rFonts w:ascii="Calibri" w:hAnsi="Calibri" w:eastAsia="宋体" w:cs="Calibri"/>
      <w:sz w:val="21"/>
      <w:szCs w:val="21"/>
    </w:rPr>
  </w:style>
  <w:style w:type="paragraph" w:customStyle="1" w:styleId="92">
    <w:name w:val="列出段落1"/>
    <w:basedOn w:val="1"/>
    <w:uiPriority w:val="0"/>
    <w:pPr>
      <w:ind w:firstLine="420" w:firstLineChars="200"/>
    </w:pPr>
    <w:rPr>
      <w:rFonts w:ascii="Calibri" w:hAnsi="Calibri" w:eastAsia="宋体" w:cs="Calibri"/>
      <w:sz w:val="21"/>
      <w:szCs w:val="21"/>
    </w:rPr>
  </w:style>
  <w:style w:type="paragraph" w:styleId="93">
    <w:name w:val="List Paragraph"/>
    <w:basedOn w:val="1"/>
    <w:qFormat/>
    <w:uiPriority w:val="34"/>
    <w:pPr>
      <w:widowControl/>
      <w:adjustRightInd w:val="0"/>
      <w:snapToGrid w:val="0"/>
      <w:spacing w:after="200"/>
      <w:ind w:firstLine="420" w:firstLineChars="200"/>
      <w:jc w:val="left"/>
    </w:pPr>
    <w:rPr>
      <w:rFonts w:ascii="Tahoma" w:hAnsi="Tahoma" w:eastAsia="等线"/>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15</Pages>
  <Words>1282</Words>
  <Characters>7313</Characters>
  <Lines>60</Lines>
  <Paragraphs>17</Paragraphs>
  <TotalTime>0</TotalTime>
  <ScaleCrop>false</ScaleCrop>
  <LinksUpToDate>false</LinksUpToDate>
  <CharactersWithSpaces>8578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2020-07-07T02:46:00Z</dcterms:created>
  <dc:creator>许慰玲</dc:creator>
  <cp:lastModifiedBy>WPS_1483428513</cp:lastModifiedBy>
  <cp:lastPrinted>2020-07-07T02:47:00Z</cp:lastPrinted>
  <dcterms:modified xsi:type="dcterms:W3CDTF">2020-09-18T04:46:31Z</dcterms:modified>
  <dc:title>广东省政府采购中心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