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汕头大学医学院技术服务招标项目</w:t>
      </w:r>
    </w:p>
    <w:p>
      <w:pPr>
        <w:kinsoku w:val="0"/>
        <w:wordWrap w:val="0"/>
        <w:topLinePunct/>
        <w:rPr>
          <w:rFonts w:ascii="宋体" w:eastAsia="宋体"/>
        </w:rPr>
      </w:pP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default" w:ascii="宋体" w:hAnsi="宋体" w:eastAsia="宋体"/>
          <w:sz w:val="36"/>
          <w:lang w:val="en-US" w:eastAsia="zh-CN"/>
        </w:rPr>
      </w:pPr>
      <w:r>
        <w:rPr>
          <w:rFonts w:hint="eastAsia" w:ascii="宋体" w:hAnsi="宋体" w:eastAsia="宋体"/>
          <w:sz w:val="36"/>
        </w:rPr>
        <w:t>招标编号：设2023-7-</w:t>
      </w:r>
      <w:r>
        <w:rPr>
          <w:rFonts w:hint="eastAsia" w:ascii="宋体" w:hAnsi="宋体" w:eastAsia="宋体"/>
          <w:sz w:val="36"/>
          <w:lang w:val="en-US" w:eastAsia="zh-CN"/>
        </w:rPr>
        <w:t>10</w:t>
      </w:r>
    </w:p>
    <w:p>
      <w:pPr>
        <w:kinsoku w:val="0"/>
        <w:wordWrap w:val="0"/>
        <w:topLinePunct/>
        <w:ind w:left="3180" w:leftChars="428" w:hanging="1760" w:hangingChars="500"/>
        <w:rPr>
          <w:rFonts w:hint="default" w:ascii="宋体" w:hAnsi="Arial Narrow" w:eastAsia="仿宋_GB2312"/>
          <w:b/>
          <w:sz w:val="30"/>
          <w:szCs w:val="30"/>
          <w:lang w:val="en-US" w:eastAsia="zh-CN"/>
        </w:rPr>
      </w:pPr>
      <w:r>
        <w:rPr>
          <w:rFonts w:hint="eastAsia" w:ascii="宋体" w:hAnsi="宋体" w:eastAsia="宋体"/>
          <w:sz w:val="30"/>
          <w:szCs w:val="30"/>
        </w:rPr>
        <w:t>项目名称：</w:t>
      </w:r>
      <w:r>
        <w:rPr>
          <w:rFonts w:hint="eastAsia" w:ascii="宋体" w:hAnsi="Arial Narrow"/>
          <w:b/>
          <w:sz w:val="30"/>
          <w:szCs w:val="30"/>
        </w:rPr>
        <w:t>汕头大学医学院单细胞测序联合</w:t>
      </w:r>
      <w:r>
        <w:rPr>
          <w:rFonts w:hint="eastAsia" w:ascii="宋体" w:hAnsi="Arial Narrow"/>
          <w:b/>
          <w:sz w:val="30"/>
          <w:szCs w:val="30"/>
          <w:lang w:val="zh-CN"/>
        </w:rPr>
        <w:t>蛋白质组学</w:t>
      </w:r>
      <w:r>
        <w:rPr>
          <w:rFonts w:hint="eastAsia" w:ascii="宋体" w:hAnsi="Arial Narrow"/>
          <w:b/>
          <w:sz w:val="30"/>
          <w:szCs w:val="30"/>
        </w:rPr>
        <w:t>招标项目202307</w:t>
      </w:r>
      <w:r>
        <w:rPr>
          <w:rFonts w:hint="eastAsia" w:ascii="宋体" w:hAnsi="Arial Narrow"/>
          <w:b/>
          <w:sz w:val="30"/>
          <w:szCs w:val="30"/>
          <w:lang w:val="en-US" w:eastAsia="zh-CN"/>
        </w:rPr>
        <w:t>10</w:t>
      </w:r>
    </w:p>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jc w:val="center"/>
        <w:rPr>
          <w:rFonts w:ascii="宋体" w:hAnsi="宋体" w:eastAsia="宋体"/>
          <w:sz w:val="36"/>
        </w:rPr>
      </w:pPr>
    </w:p>
    <w:p>
      <w:pPr>
        <w:kinsoku w:val="0"/>
        <w:wordWrap w:val="0"/>
        <w:topLinePunct/>
        <w:jc w:val="center"/>
        <w:rPr>
          <w:rFonts w:ascii="宋体" w:hAnsi="宋体" w:eastAsia="宋体"/>
          <w:sz w:val="36"/>
        </w:rPr>
      </w:pPr>
      <w: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jc w:val="center"/>
        <w:rPr>
          <w:rFonts w:hint="default" w:ascii="宋体" w:hAnsi="宋体" w:eastAsia="宋体"/>
          <w:sz w:val="44"/>
          <w:lang w:val="en-US" w:eastAsia="zh-CN"/>
        </w:rPr>
      </w:pPr>
      <w:r>
        <w:rPr>
          <w:rFonts w:hint="eastAsia" w:ascii="宋体" w:hAnsi="宋体" w:eastAsia="宋体"/>
          <w:sz w:val="44"/>
        </w:rPr>
        <w:t>2023．7.</w:t>
      </w:r>
      <w:r>
        <w:rPr>
          <w:rFonts w:hint="eastAsia" w:ascii="宋体" w:hAnsi="宋体" w:eastAsia="宋体"/>
          <w:sz w:val="44"/>
          <w:lang w:val="en-US" w:eastAsia="zh-CN"/>
        </w:rPr>
        <w:t>10</w:t>
      </w: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ascii="宋体" w:hAnsi="Arial Narrow" w:eastAsia="宋体"/>
        </w:rPr>
      </w:pPr>
      <w:r>
        <w:rPr>
          <w:rFonts w:hint="eastAsia" w:ascii="宋体" w:hAnsi="Arial Narrow" w:eastAsia="宋体"/>
        </w:rPr>
        <w:t>投标人须知</w:t>
      </w:r>
    </w:p>
    <w:p>
      <w:pPr>
        <w:numPr>
          <w:ilvl w:val="0"/>
          <w:numId w:val="3"/>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ascii="宋体" w:hAnsi="Arial Narrow" w:eastAsia="宋体"/>
        </w:rPr>
      </w:pPr>
      <w:r>
        <w:rPr>
          <w:rFonts w:hint="eastAsia" w:ascii="宋体" w:hAnsi="Arial Narrow" w:eastAsia="宋体"/>
        </w:rPr>
        <w:t>评（议）标原则</w:t>
      </w:r>
    </w:p>
    <w:p>
      <w:pPr>
        <w:numPr>
          <w:ilvl w:val="0"/>
          <w:numId w:val="3"/>
        </w:numPr>
        <w:kinsoku w:val="0"/>
        <w:wordWrap w:val="0"/>
        <w:topLinePunct/>
        <w:rPr>
          <w:rFonts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技术规格要求和交货日期等</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项目内容数量</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主要技术指标、技术服务要求、时间</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技术服务质量及售后服务要求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5"/>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numPr>
          <w:ilvl w:val="0"/>
          <w:numId w:val="5"/>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投标人必须在规定时间内把标书送达,经审查资格合格后,方可投标。</w:t>
      </w:r>
    </w:p>
    <w:p>
      <w:pPr>
        <w:numPr>
          <w:ilvl w:val="0"/>
          <w:numId w:val="5"/>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5"/>
        </w:numPr>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5"/>
        </w:numPr>
        <w:kinsoku w:val="0"/>
        <w:wordWrap w:val="0"/>
        <w:topLinePunct/>
        <w:ind w:firstLine="73"/>
        <w:rPr>
          <w:rFonts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kinsoku w:val="0"/>
        <w:wordWrap w:val="0"/>
        <w:topLinePunct/>
        <w:rPr>
          <w:rFonts w:ascii="宋体" w:hAnsi="Arial Narrow"/>
          <w:b/>
          <w:sz w:val="21"/>
          <w:szCs w:val="21"/>
        </w:rPr>
      </w:pPr>
      <w:r>
        <w:rPr>
          <w:rFonts w:hint="eastAsia" w:ascii="宋体" w:hAnsi="Arial Narrow"/>
          <w:b/>
          <w:sz w:val="21"/>
          <w:szCs w:val="21"/>
        </w:rPr>
        <w:t>汕头大学医学院单细胞测序联合</w:t>
      </w:r>
      <w:r>
        <w:rPr>
          <w:rFonts w:hint="eastAsia" w:ascii="宋体" w:hAnsi="Arial Narrow"/>
          <w:b/>
          <w:sz w:val="21"/>
          <w:szCs w:val="21"/>
          <w:lang w:val="zh-CN"/>
        </w:rPr>
        <w:t>蛋白质组学</w:t>
      </w:r>
      <w:r>
        <w:rPr>
          <w:rFonts w:hint="eastAsia" w:ascii="宋体" w:hAnsi="Arial Narrow"/>
          <w:b/>
          <w:sz w:val="21"/>
          <w:szCs w:val="21"/>
        </w:rPr>
        <w:t>招标项目</w:t>
      </w: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tabs>
          <w:tab w:val="left" w:pos="0"/>
        </w:tabs>
        <w:kinsoku w:val="0"/>
        <w:wordWrap w:val="0"/>
        <w:topLinePunct/>
        <w:rPr>
          <w:rFonts w:ascii="宋体" w:hAnsi="Arial Narrow" w:eastAsia="宋体"/>
          <w:sz w:val="18"/>
        </w:rPr>
      </w:pPr>
      <w:r>
        <w:rPr>
          <w:rFonts w:hint="eastAsia" w:ascii="宋体" w:hAnsi="Arial Narrow" w:eastAsia="宋体"/>
          <w:sz w:val="18"/>
        </w:rPr>
        <w:t>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numPr>
          <w:ilvl w:val="0"/>
          <w:numId w:val="6"/>
        </w:numPr>
        <w:kinsoku w:val="0"/>
        <w:wordWrap w:val="0"/>
        <w:topLinePunct/>
        <w:ind w:firstLine="73"/>
        <w:rPr>
          <w:rFonts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ascii="宋体" w:hAnsi="Arial Narrow" w:eastAsia="宋体"/>
          <w:b/>
          <w:bCs/>
          <w:i/>
          <w:iCs/>
          <w:sz w:val="24"/>
        </w:rPr>
      </w:pPr>
    </w:p>
    <w:p>
      <w:pPr>
        <w:kinsoku w:val="0"/>
        <w:wordWrap w:val="0"/>
        <w:topLinePunct/>
        <w:ind w:firstLine="780"/>
        <w:rPr>
          <w:rFonts w:ascii="宋体" w:hAnsi="Arial Narrow" w:eastAsia="宋体"/>
          <w:b/>
          <w:bCs/>
          <w:i/>
          <w:iCs/>
          <w:sz w:val="24"/>
        </w:rPr>
      </w:pPr>
      <w:r>
        <w:rPr>
          <w:rFonts w:hint="eastAsia" w:ascii="宋体" w:hAnsi="Arial Narrow" w:eastAsia="宋体"/>
          <w:b/>
          <w:bCs/>
          <w:i/>
          <w:iCs/>
          <w:sz w:val="24"/>
        </w:rPr>
        <w:t>投标截止时间：2023年7月</w:t>
      </w:r>
      <w:r>
        <w:rPr>
          <w:rFonts w:hint="eastAsia" w:ascii="宋体" w:hAnsi="Arial Narrow" w:eastAsia="宋体"/>
          <w:b/>
          <w:bCs/>
          <w:i/>
          <w:iCs/>
          <w:sz w:val="24"/>
          <w:lang w:val="en-US" w:eastAsia="zh-CN"/>
        </w:rPr>
        <w:t>18</w:t>
      </w:r>
      <w:bookmarkStart w:id="0" w:name="_GoBack"/>
      <w:bookmarkEnd w:id="0"/>
      <w:r>
        <w:rPr>
          <w:rFonts w:hint="eastAsia" w:ascii="宋体" w:hAnsi="Arial Narrow" w:eastAsia="宋体"/>
          <w:b/>
          <w:bCs/>
          <w:i/>
          <w:iCs/>
          <w:sz w:val="24"/>
        </w:rPr>
        <w:t xml:space="preserve"> 日上午9</w:t>
      </w:r>
      <w:r>
        <w:rPr>
          <w:rFonts w:ascii="宋体" w:hAnsi="Arial Narrow" w:eastAsia="宋体"/>
          <w:b/>
          <w:bCs/>
          <w:i/>
          <w:iCs/>
          <w:sz w:val="24"/>
        </w:rPr>
        <w:t>:</w:t>
      </w:r>
      <w:r>
        <w:rPr>
          <w:rFonts w:hint="eastAsia" w:ascii="宋体" w:hAnsi="Arial Narrow" w:eastAsia="宋体"/>
          <w:b/>
          <w:bCs/>
          <w:i/>
          <w:iCs/>
          <w:sz w:val="24"/>
        </w:rPr>
        <w:t>3</w:t>
      </w:r>
      <w:r>
        <w:rPr>
          <w:rFonts w:ascii="宋体" w:hAnsi="Arial Narrow" w:eastAsia="宋体"/>
          <w:b/>
          <w:bCs/>
          <w:i/>
          <w:iCs/>
          <w:sz w:val="24"/>
        </w:rPr>
        <w:t>0</w:t>
      </w:r>
      <w:r>
        <w:rPr>
          <w:rFonts w:hint="eastAsia" w:ascii="宋体" w:hAnsi="Arial Narrow" w:eastAsia="宋体"/>
          <w:b/>
          <w:bCs/>
          <w:i/>
          <w:iCs/>
          <w:sz w:val="24"/>
        </w:rPr>
        <w:t>(北京时间)</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pStyle w:val="17"/>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1.争取最优的性能价格比，不一定接受最低报价，不接受不符合招标书要求的投标书。</w:t>
      </w:r>
    </w:p>
    <w:p>
      <w:pPr>
        <w:pStyle w:val="17"/>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2.在同样服务同等报价情况下优先选择有出具技术实力、科研实力证明资料的且最优秀投标人。</w:t>
      </w:r>
    </w:p>
    <w:p>
      <w:pPr>
        <w:pStyle w:val="17"/>
        <w:tabs>
          <w:tab w:val="left" w:pos="-166"/>
        </w:tabs>
        <w:kinsoku w:val="0"/>
        <w:wordWrap w:val="0"/>
        <w:topLinePunct/>
        <w:ind w:left="498" w:leftChars="150" w:firstLine="440" w:firstLineChars="190"/>
        <w:rPr>
          <w:rFonts w:ascii="宋体" w:eastAsia="宋体"/>
          <w:sz w:val="18"/>
        </w:rPr>
      </w:pPr>
    </w:p>
    <w:p>
      <w:pPr>
        <w:pStyle w:val="17"/>
        <w:tabs>
          <w:tab w:val="left" w:pos="-166"/>
        </w:tabs>
        <w:kinsoku w:val="0"/>
        <w:wordWrap w:val="0"/>
        <w:topLinePunct/>
        <w:ind w:left="498" w:leftChars="150" w:firstLine="440" w:firstLineChars="190"/>
        <w:rPr>
          <w:rFonts w:ascii="宋体" w:eastAsia="宋体"/>
          <w:sz w:val="18"/>
        </w:rPr>
      </w:pP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ascii="宋体" w:hAnsi="Arial Narrow" w:eastAsia="宋体"/>
          <w:b/>
          <w:sz w:val="32"/>
        </w:rPr>
      </w:pPr>
      <w:r>
        <w:rPr>
          <w:rFonts w:hint="eastAsia" w:ascii="宋体" w:hAnsi="Arial Narrow" w:eastAsia="宋体"/>
          <w:b/>
          <w:sz w:val="32"/>
        </w:rPr>
        <w:t>第二部分  技术服务内容、技术指标要求等</w:t>
      </w:r>
    </w:p>
    <w:p>
      <w:pPr>
        <w:kinsoku w:val="0"/>
        <w:topLinePunct/>
        <w:rPr>
          <w:rFonts w:ascii="宋体" w:hAnsi="Arial Narrow" w:eastAsia="宋体"/>
          <w:bCs/>
          <w:sz w:val="24"/>
          <w:szCs w:val="24"/>
        </w:rPr>
      </w:pPr>
      <w:r>
        <w:rPr>
          <w:rFonts w:hint="eastAsia" w:ascii="宋体" w:hAnsi="Arial Narrow" w:eastAsia="宋体"/>
          <w:bCs/>
          <w:sz w:val="24"/>
          <w:szCs w:val="24"/>
        </w:rPr>
        <w:t>一．项目名称：单细胞测序联合</w:t>
      </w:r>
      <w:r>
        <w:rPr>
          <w:rFonts w:hint="eastAsia" w:ascii="宋体" w:hAnsi="Arial Narrow" w:eastAsia="宋体"/>
          <w:bCs/>
          <w:sz w:val="24"/>
          <w:szCs w:val="24"/>
          <w:lang w:val="zh-CN"/>
        </w:rPr>
        <w:t>蛋白质组学</w:t>
      </w:r>
      <w:r>
        <w:rPr>
          <w:rFonts w:hint="eastAsia" w:ascii="宋体" w:hAnsi="Arial Narrow" w:eastAsia="宋体"/>
          <w:bCs/>
          <w:sz w:val="24"/>
          <w:szCs w:val="24"/>
        </w:rPr>
        <w:t xml:space="preserve">招标项目 </w:t>
      </w:r>
    </w:p>
    <w:p>
      <w:pPr>
        <w:kinsoku w:val="0"/>
        <w:topLinePunct/>
        <w:ind w:firstLine="584" w:firstLineChars="200"/>
        <w:rPr>
          <w:rFonts w:ascii="宋体" w:hAnsi="Arial Narrow" w:eastAsia="宋体"/>
          <w:bCs/>
          <w:sz w:val="24"/>
          <w:szCs w:val="24"/>
        </w:rPr>
      </w:pPr>
      <w:r>
        <w:rPr>
          <w:rFonts w:hint="eastAsia" w:ascii="宋体" w:hAnsi="Arial Narrow" w:eastAsia="宋体"/>
          <w:bCs/>
          <w:sz w:val="24"/>
          <w:szCs w:val="24"/>
        </w:rPr>
        <w:t>预算：352000元</w:t>
      </w:r>
    </w:p>
    <w:p>
      <w:pPr>
        <w:autoSpaceDE w:val="0"/>
        <w:autoSpaceDN w:val="0"/>
        <w:spacing w:line="360" w:lineRule="auto"/>
        <w:rPr>
          <w:rFonts w:eastAsia="宋体"/>
          <w:b/>
          <w:bCs/>
          <w:sz w:val="24"/>
          <w:szCs w:val="24"/>
          <w:lang w:val="zh-CN"/>
        </w:rPr>
      </w:pPr>
      <w:r>
        <w:rPr>
          <w:rFonts w:eastAsia="宋体"/>
          <w:b/>
          <w:bCs/>
          <w:sz w:val="24"/>
          <w:szCs w:val="24"/>
          <w:lang w:val="zh-CN"/>
        </w:rPr>
        <w:t>二、采购内容：</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2"/>
        <w:gridCol w:w="1173"/>
        <w:gridCol w:w="2054"/>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pct"/>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eastAsia="宋体"/>
                <w:b/>
                <w:sz w:val="24"/>
                <w:szCs w:val="24"/>
                <w:lang w:val="zh-CN"/>
              </w:rPr>
            </w:pPr>
            <w:r>
              <w:rPr>
                <w:rFonts w:eastAsia="宋体"/>
                <w:b/>
                <w:sz w:val="24"/>
                <w:szCs w:val="24"/>
                <w:lang w:val="zh-CN"/>
              </w:rPr>
              <w:t>检测类别</w:t>
            </w:r>
          </w:p>
        </w:tc>
        <w:tc>
          <w:tcPr>
            <w:tcW w:w="582"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eastAsia="宋体"/>
                <w:b/>
                <w:sz w:val="24"/>
                <w:szCs w:val="24"/>
                <w:lang w:val="zh-CN"/>
              </w:rPr>
            </w:pPr>
            <w:r>
              <w:rPr>
                <w:rFonts w:eastAsia="宋体"/>
                <w:b/>
                <w:sz w:val="24"/>
                <w:szCs w:val="24"/>
                <w:lang w:val="zh-CN"/>
              </w:rPr>
              <w:t>数量</w:t>
            </w:r>
          </w:p>
        </w:tc>
        <w:tc>
          <w:tcPr>
            <w:tcW w:w="1019" w:type="pct"/>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eastAsia="宋体"/>
                <w:b/>
                <w:sz w:val="24"/>
                <w:szCs w:val="24"/>
                <w:lang w:val="zh-CN"/>
              </w:rPr>
            </w:pPr>
            <w:r>
              <w:rPr>
                <w:rFonts w:eastAsia="宋体"/>
                <w:b/>
                <w:sz w:val="24"/>
                <w:szCs w:val="24"/>
                <w:lang w:val="zh-CN"/>
              </w:rPr>
              <w:t>单位</w:t>
            </w:r>
          </w:p>
        </w:tc>
        <w:tc>
          <w:tcPr>
            <w:tcW w:w="1240"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eastAsia="宋体"/>
                <w:b/>
                <w:sz w:val="24"/>
                <w:szCs w:val="24"/>
                <w:lang w:val="zh-CN"/>
              </w:rPr>
            </w:pPr>
            <w:r>
              <w:rPr>
                <w:rFonts w:eastAsia="宋体"/>
                <w:b/>
                <w:sz w:val="24"/>
                <w:szCs w:val="24"/>
                <w:lang w:val="zh-CN"/>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5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eastAsia="宋体"/>
                <w:sz w:val="24"/>
                <w:szCs w:val="24"/>
                <w:lang w:val="zh-CN"/>
              </w:rPr>
            </w:pPr>
            <w:r>
              <w:rPr>
                <w:rFonts w:eastAsia="宋体"/>
                <w:sz w:val="24"/>
                <w:szCs w:val="24"/>
              </w:rPr>
              <w:t>单细胞转录组测序</w:t>
            </w:r>
          </w:p>
        </w:tc>
        <w:tc>
          <w:tcPr>
            <w:tcW w:w="582"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eastAsia="宋体"/>
                <w:sz w:val="24"/>
                <w:szCs w:val="24"/>
                <w:lang w:val="zh-CN"/>
              </w:rPr>
            </w:pPr>
            <w:r>
              <w:rPr>
                <w:rFonts w:eastAsia="宋体"/>
                <w:sz w:val="24"/>
                <w:szCs w:val="24"/>
                <w:lang w:val="zh-CN"/>
              </w:rPr>
              <w:t>16</w:t>
            </w:r>
          </w:p>
        </w:tc>
        <w:tc>
          <w:tcPr>
            <w:tcW w:w="101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eastAsia="宋体"/>
                <w:sz w:val="24"/>
                <w:szCs w:val="24"/>
                <w:lang w:val="zh-CN"/>
              </w:rPr>
            </w:pPr>
            <w:r>
              <w:rPr>
                <w:rFonts w:hint="eastAsia" w:eastAsia="宋体"/>
                <w:sz w:val="24"/>
                <w:szCs w:val="24"/>
                <w:lang w:val="zh-CN"/>
              </w:rPr>
              <w:t>2</w:t>
            </w:r>
            <w:r>
              <w:rPr>
                <w:rFonts w:eastAsia="宋体"/>
                <w:sz w:val="24"/>
                <w:szCs w:val="24"/>
                <w:lang w:val="zh-CN"/>
              </w:rPr>
              <w:t>0000</w:t>
            </w:r>
            <w:r>
              <w:rPr>
                <w:rFonts w:hint="eastAsia" w:eastAsia="宋体"/>
                <w:sz w:val="24"/>
                <w:szCs w:val="24"/>
                <w:lang w:val="zh-CN"/>
              </w:rPr>
              <w:t>元/</w:t>
            </w:r>
            <w:r>
              <w:rPr>
                <w:rFonts w:eastAsia="宋体"/>
                <w:sz w:val="24"/>
                <w:szCs w:val="24"/>
                <w:lang w:val="zh-CN"/>
              </w:rPr>
              <w:t>人份</w:t>
            </w:r>
          </w:p>
        </w:tc>
        <w:tc>
          <w:tcPr>
            <w:tcW w:w="1240" w:type="pct"/>
            <w:vMerge w:val="restart"/>
            <w:tcBorders>
              <w:left w:val="single" w:color="auto" w:sz="4" w:space="0"/>
              <w:right w:val="single" w:color="auto" w:sz="4" w:space="0"/>
            </w:tcBorders>
            <w:vAlign w:val="center"/>
          </w:tcPr>
          <w:p>
            <w:pPr>
              <w:autoSpaceDE w:val="0"/>
              <w:autoSpaceDN w:val="0"/>
              <w:spacing w:line="360" w:lineRule="auto"/>
              <w:jc w:val="center"/>
              <w:rPr>
                <w:rFonts w:eastAsia="宋体"/>
                <w:sz w:val="24"/>
                <w:szCs w:val="24"/>
                <w:lang w:val="zh-CN"/>
              </w:rPr>
            </w:pPr>
            <w:r>
              <w:rPr>
                <w:rFonts w:eastAsia="宋体"/>
                <w:sz w:val="24"/>
                <w:szCs w:val="24"/>
                <w:lang w:val="zh-CN"/>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5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eastAsia="宋体"/>
                <w:sz w:val="24"/>
                <w:szCs w:val="24"/>
                <w:lang w:val="zh-CN"/>
              </w:rPr>
            </w:pPr>
            <w:r>
              <w:rPr>
                <w:rFonts w:eastAsia="宋体"/>
                <w:sz w:val="24"/>
                <w:szCs w:val="24"/>
                <w:lang w:val="zh-CN"/>
              </w:rPr>
              <w:t>蛋白组学label free</w:t>
            </w:r>
          </w:p>
        </w:tc>
        <w:tc>
          <w:tcPr>
            <w:tcW w:w="582"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eastAsia="宋体"/>
                <w:sz w:val="24"/>
                <w:szCs w:val="24"/>
                <w:lang w:val="zh-CN"/>
              </w:rPr>
            </w:pPr>
            <w:r>
              <w:rPr>
                <w:rFonts w:eastAsia="宋体"/>
                <w:sz w:val="24"/>
                <w:szCs w:val="24"/>
                <w:lang w:val="zh-CN"/>
              </w:rPr>
              <w:t>16</w:t>
            </w:r>
          </w:p>
        </w:tc>
        <w:tc>
          <w:tcPr>
            <w:tcW w:w="101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eastAsia="宋体"/>
                <w:sz w:val="24"/>
                <w:szCs w:val="24"/>
                <w:lang w:val="zh-CN"/>
              </w:rPr>
            </w:pPr>
            <w:r>
              <w:rPr>
                <w:rFonts w:hint="eastAsia" w:eastAsia="宋体"/>
                <w:sz w:val="24"/>
                <w:szCs w:val="24"/>
                <w:lang w:val="zh-CN"/>
              </w:rPr>
              <w:t>2</w:t>
            </w:r>
            <w:r>
              <w:rPr>
                <w:rFonts w:eastAsia="宋体"/>
                <w:sz w:val="24"/>
                <w:szCs w:val="24"/>
                <w:lang w:val="zh-CN"/>
              </w:rPr>
              <w:t>000</w:t>
            </w:r>
            <w:r>
              <w:rPr>
                <w:rFonts w:hint="eastAsia" w:eastAsia="宋体"/>
                <w:sz w:val="24"/>
                <w:szCs w:val="24"/>
                <w:lang w:val="zh-CN"/>
              </w:rPr>
              <w:t>元/</w:t>
            </w:r>
            <w:r>
              <w:rPr>
                <w:rFonts w:eastAsia="宋体"/>
                <w:sz w:val="24"/>
                <w:szCs w:val="24"/>
                <w:lang w:val="zh-CN"/>
              </w:rPr>
              <w:t>人份</w:t>
            </w:r>
          </w:p>
        </w:tc>
        <w:tc>
          <w:tcPr>
            <w:tcW w:w="1240" w:type="pct"/>
            <w:vMerge w:val="continue"/>
            <w:tcBorders>
              <w:left w:val="single" w:color="auto" w:sz="4" w:space="0"/>
              <w:right w:val="single" w:color="auto" w:sz="4" w:space="0"/>
            </w:tcBorders>
            <w:vAlign w:val="center"/>
          </w:tcPr>
          <w:p>
            <w:pPr>
              <w:autoSpaceDE w:val="0"/>
              <w:autoSpaceDN w:val="0"/>
              <w:spacing w:line="360" w:lineRule="auto"/>
              <w:jc w:val="center"/>
              <w:rPr>
                <w:rFonts w:eastAsia="宋体"/>
                <w:sz w:val="24"/>
                <w:szCs w:val="24"/>
                <w:lang w:val="zh-CN"/>
              </w:rPr>
            </w:pPr>
          </w:p>
        </w:tc>
      </w:tr>
    </w:tbl>
    <w:p>
      <w:pPr>
        <w:spacing w:line="360" w:lineRule="auto"/>
        <w:rPr>
          <w:rFonts w:eastAsia="宋体"/>
          <w:sz w:val="24"/>
          <w:szCs w:val="24"/>
        </w:rPr>
      </w:pPr>
    </w:p>
    <w:p>
      <w:pPr>
        <w:autoSpaceDE w:val="0"/>
        <w:autoSpaceDN w:val="0"/>
        <w:spacing w:line="360" w:lineRule="auto"/>
        <w:rPr>
          <w:rFonts w:eastAsia="宋体"/>
          <w:b/>
          <w:bCs/>
          <w:sz w:val="24"/>
          <w:szCs w:val="24"/>
          <w:lang w:val="zh-CN"/>
        </w:rPr>
      </w:pPr>
      <w:r>
        <w:rPr>
          <w:rFonts w:eastAsia="宋体"/>
          <w:b/>
          <w:bCs/>
          <w:sz w:val="24"/>
          <w:szCs w:val="24"/>
          <w:lang w:val="zh-CN"/>
        </w:rPr>
        <w:t>三、服务要求：</w:t>
      </w:r>
    </w:p>
    <w:p>
      <w:pPr>
        <w:spacing w:line="360" w:lineRule="auto"/>
        <w:rPr>
          <w:rFonts w:eastAsia="宋体"/>
          <w:sz w:val="24"/>
          <w:szCs w:val="24"/>
        </w:rPr>
      </w:pPr>
      <w:r>
        <w:rPr>
          <w:rFonts w:eastAsia="宋体"/>
          <w:sz w:val="24"/>
          <w:szCs w:val="24"/>
        </w:rPr>
        <w:t>技术目标：</w:t>
      </w:r>
    </w:p>
    <w:p>
      <w:pPr>
        <w:pStyle w:val="86"/>
        <w:numPr>
          <w:ilvl w:val="0"/>
          <w:numId w:val="9"/>
        </w:numPr>
        <w:spacing w:line="360" w:lineRule="auto"/>
        <w:ind w:firstLineChars="0"/>
        <w:rPr>
          <w:rFonts w:eastAsia="宋体"/>
          <w:sz w:val="24"/>
        </w:rPr>
      </w:pPr>
      <w:r>
        <w:rPr>
          <w:rFonts w:eastAsia="宋体"/>
          <w:sz w:val="24"/>
        </w:rPr>
        <w:t>完成16例人源样本单细胞转录组测序服务；</w:t>
      </w:r>
    </w:p>
    <w:p>
      <w:pPr>
        <w:pStyle w:val="86"/>
        <w:numPr>
          <w:ilvl w:val="0"/>
          <w:numId w:val="9"/>
        </w:numPr>
        <w:spacing w:line="360" w:lineRule="auto"/>
        <w:ind w:firstLineChars="0"/>
        <w:rPr>
          <w:rFonts w:eastAsia="宋体"/>
          <w:sz w:val="24"/>
        </w:rPr>
      </w:pPr>
      <w:r>
        <w:rPr>
          <w:rFonts w:eastAsia="宋体"/>
          <w:sz w:val="24"/>
        </w:rPr>
        <w:t>完成16例人源样本</w:t>
      </w:r>
      <w:r>
        <w:rPr>
          <w:rFonts w:eastAsia="宋体"/>
          <w:sz w:val="24"/>
          <w:lang w:val="zh-CN"/>
        </w:rPr>
        <w:t>蛋白组学label free检测</w:t>
      </w:r>
      <w:r>
        <w:rPr>
          <w:rFonts w:eastAsia="宋体"/>
          <w:sz w:val="24"/>
        </w:rPr>
        <w:t>服务</w:t>
      </w:r>
    </w:p>
    <w:p>
      <w:pPr>
        <w:spacing w:line="360" w:lineRule="auto"/>
        <w:rPr>
          <w:rFonts w:eastAsia="宋体"/>
          <w:b/>
          <w:bCs/>
          <w:sz w:val="24"/>
          <w:szCs w:val="24"/>
        </w:rPr>
      </w:pPr>
    </w:p>
    <w:p>
      <w:pPr>
        <w:pStyle w:val="86"/>
        <w:numPr>
          <w:ilvl w:val="0"/>
          <w:numId w:val="10"/>
        </w:numPr>
        <w:spacing w:line="360" w:lineRule="auto"/>
        <w:ind w:firstLineChars="0"/>
        <w:rPr>
          <w:rFonts w:eastAsia="宋体"/>
          <w:b/>
          <w:bCs/>
          <w:sz w:val="24"/>
        </w:rPr>
      </w:pPr>
      <w:r>
        <w:rPr>
          <w:rFonts w:eastAsia="宋体"/>
          <w:b/>
          <w:bCs/>
          <w:sz w:val="24"/>
        </w:rPr>
        <w:t>单细胞转录组测序</w:t>
      </w:r>
    </w:p>
    <w:p>
      <w:pPr>
        <w:spacing w:line="360" w:lineRule="auto"/>
        <w:ind w:firstLine="584" w:firstLineChars="200"/>
        <w:rPr>
          <w:rFonts w:eastAsia="宋体"/>
          <w:sz w:val="24"/>
          <w:szCs w:val="24"/>
        </w:rPr>
      </w:pPr>
      <w:r>
        <w:rPr>
          <w:rFonts w:eastAsia="宋体"/>
          <w:sz w:val="24"/>
          <w:szCs w:val="24"/>
        </w:rPr>
        <w:t>单细胞转录组测序(Single Cell RNA Sequencing)是在单细胞水平对mRNA 进行全转录组扩增及高通量测序的一项新技术，其能够以高通量和单分子分辨率研究单个细胞表达谱，成功解决细胞分子机制研究中常见的细胞异质性、细胞量少而无法进行常规高通量测序等难题。</w:t>
      </w:r>
    </w:p>
    <w:p>
      <w:pPr>
        <w:pStyle w:val="86"/>
        <w:numPr>
          <w:ilvl w:val="1"/>
          <w:numId w:val="10"/>
        </w:numPr>
        <w:spacing w:line="360" w:lineRule="auto"/>
        <w:ind w:firstLineChars="0"/>
        <w:rPr>
          <w:rFonts w:eastAsia="宋体"/>
          <w:b/>
          <w:bCs/>
          <w:sz w:val="24"/>
        </w:rPr>
      </w:pPr>
      <w:r>
        <w:rPr>
          <w:rFonts w:eastAsia="宋体"/>
          <w:b/>
          <w:bCs/>
          <w:sz w:val="24"/>
        </w:rPr>
        <w:t>实验流程</w:t>
      </w:r>
    </w:p>
    <w:p>
      <w:pPr>
        <w:pStyle w:val="86"/>
        <w:numPr>
          <w:ilvl w:val="2"/>
          <w:numId w:val="10"/>
        </w:numPr>
        <w:spacing w:line="360" w:lineRule="auto"/>
        <w:ind w:firstLineChars="0"/>
        <w:rPr>
          <w:rFonts w:eastAsia="宋体"/>
          <w:b/>
          <w:bCs/>
          <w:sz w:val="24"/>
        </w:rPr>
      </w:pPr>
      <w:r>
        <w:rPr>
          <w:rFonts w:eastAsia="宋体"/>
          <w:b/>
          <w:bCs/>
          <w:sz w:val="24"/>
        </w:rPr>
        <w:t>文库制备</w:t>
      </w:r>
    </w:p>
    <w:p>
      <w:pPr>
        <w:spacing w:line="360" w:lineRule="auto"/>
        <w:ind w:firstLine="584" w:firstLineChars="200"/>
        <w:rPr>
          <w:rFonts w:eastAsia="宋体"/>
          <w:sz w:val="24"/>
          <w:szCs w:val="24"/>
        </w:rPr>
      </w:pPr>
      <w:r>
        <w:rPr>
          <w:rFonts w:eastAsia="宋体"/>
          <w:sz w:val="24"/>
          <w:szCs w:val="24"/>
        </w:rPr>
        <w:t xml:space="preserve">利用制备好的单细胞悬浮液，通过微流控芯片技术，制备单细胞体系。将带有barcode、 形成 Next GEM(Next Gel Bead in Emulsion)的独立反应体系。Next GEMs 形成后，细胞裂解，并完成反转录，形成 cDNA 序列。接着破碎油滴，经 PCR 扩增并纯化后UMI(Unique Molecular Index)、引物及酶的凝胶珠(Gel Beads)与单细胞混合，并被油滴包裹，进行 cDNA 的文库构建。通过文库上的 barcode 可以识别序列的细胞来源，而通过文库上的 UMI 可以识别序列的转录本来源。 </w:t>
      </w:r>
    </w:p>
    <w:p>
      <w:pPr>
        <w:pStyle w:val="86"/>
        <w:numPr>
          <w:ilvl w:val="2"/>
          <w:numId w:val="10"/>
        </w:numPr>
        <w:spacing w:line="360" w:lineRule="auto"/>
        <w:ind w:firstLineChars="0"/>
        <w:rPr>
          <w:rFonts w:eastAsia="宋体"/>
          <w:b/>
          <w:bCs/>
          <w:sz w:val="24"/>
        </w:rPr>
      </w:pPr>
      <w:r>
        <w:rPr>
          <w:rFonts w:eastAsia="宋体"/>
          <w:b/>
          <w:bCs/>
          <w:sz w:val="24"/>
        </w:rPr>
        <w:t>库检</w:t>
      </w:r>
    </w:p>
    <w:p>
      <w:pPr>
        <w:spacing w:line="360" w:lineRule="auto"/>
        <w:ind w:firstLine="584" w:firstLineChars="200"/>
        <w:rPr>
          <w:rFonts w:eastAsia="宋体"/>
          <w:sz w:val="24"/>
          <w:szCs w:val="24"/>
        </w:rPr>
      </w:pPr>
      <w:r>
        <w:rPr>
          <w:rFonts w:eastAsia="宋体"/>
          <w:sz w:val="24"/>
          <w:szCs w:val="24"/>
        </w:rPr>
        <w:t>文库制备完成后，利用 Agilent 2100 Bioanalyzer 对文库大小进行测定，用 Qubit3.0 对文库浓度进行测定，以保证文库质量。</w:t>
      </w:r>
    </w:p>
    <w:p>
      <w:pPr>
        <w:pStyle w:val="86"/>
        <w:numPr>
          <w:ilvl w:val="2"/>
          <w:numId w:val="10"/>
        </w:numPr>
        <w:spacing w:line="360" w:lineRule="auto"/>
        <w:ind w:firstLineChars="0"/>
        <w:rPr>
          <w:rFonts w:eastAsia="宋体"/>
          <w:b/>
          <w:bCs/>
          <w:sz w:val="24"/>
        </w:rPr>
      </w:pPr>
      <w:r>
        <w:rPr>
          <w:rFonts w:eastAsia="宋体"/>
          <w:b/>
          <w:bCs/>
          <w:sz w:val="24"/>
        </w:rPr>
        <w:t>上机测序</w:t>
      </w:r>
    </w:p>
    <w:p>
      <w:pPr>
        <w:spacing w:line="360" w:lineRule="auto"/>
        <w:ind w:firstLine="584" w:firstLineChars="200"/>
        <w:rPr>
          <w:rFonts w:eastAsia="宋体"/>
          <w:sz w:val="24"/>
          <w:szCs w:val="24"/>
        </w:rPr>
      </w:pPr>
      <w:r>
        <w:rPr>
          <w:rFonts w:eastAsia="宋体"/>
          <w:sz w:val="24"/>
          <w:szCs w:val="24"/>
        </w:rPr>
        <w:t xml:space="preserve">库检合格后，用 Illumina Hiseq 或 NovaSeq 测序平台对文库进行 PE150 测序。由于 10X Genomics single cell RNAseq(scRNA)建库方式的特殊性，测序数据中 Read1 是 cell barcodes 和 UMI 序列信息，Read2 是 RNA 序列信息。 </w:t>
      </w:r>
    </w:p>
    <w:p>
      <w:pPr>
        <w:pStyle w:val="86"/>
        <w:numPr>
          <w:ilvl w:val="1"/>
          <w:numId w:val="10"/>
        </w:numPr>
        <w:spacing w:line="360" w:lineRule="auto"/>
        <w:ind w:firstLineChars="0"/>
        <w:rPr>
          <w:rFonts w:eastAsia="宋体"/>
          <w:b/>
          <w:bCs/>
          <w:sz w:val="24"/>
        </w:rPr>
      </w:pPr>
      <w:r>
        <w:rPr>
          <w:rFonts w:eastAsia="宋体"/>
          <w:b/>
          <w:bCs/>
          <w:sz w:val="24"/>
        </w:rPr>
        <w:t>生物信息分析流程</w:t>
      </w:r>
    </w:p>
    <w:p>
      <w:pPr>
        <w:spacing w:line="360" w:lineRule="auto"/>
        <w:ind w:firstLine="584" w:firstLineChars="200"/>
        <w:rPr>
          <w:rFonts w:eastAsia="宋体"/>
          <w:sz w:val="24"/>
          <w:szCs w:val="24"/>
        </w:rPr>
      </w:pPr>
      <w:r>
        <w:rPr>
          <w:rFonts w:eastAsia="宋体"/>
          <w:sz w:val="24"/>
          <w:szCs w:val="24"/>
        </w:rPr>
        <w:t xml:space="preserve">10X Genomics 单细胞转录组测序信息分析流程主要分为两部分: </w:t>
      </w:r>
    </w:p>
    <w:p>
      <w:pPr>
        <w:spacing w:line="360" w:lineRule="auto"/>
        <w:ind w:firstLine="584" w:firstLineChars="200"/>
        <w:rPr>
          <w:rFonts w:eastAsia="宋体"/>
          <w:sz w:val="24"/>
          <w:szCs w:val="24"/>
        </w:rPr>
      </w:pPr>
      <w:r>
        <w:rPr>
          <w:rFonts w:eastAsia="宋体"/>
          <w:sz w:val="24"/>
          <w:szCs w:val="24"/>
        </w:rPr>
        <w:t xml:space="preserve">1) 测序数据质控：对原始下机序列(Raw Reads)进行质控，包括:评估测序数据质量以及计算序列长度分布等。 </w:t>
      </w:r>
    </w:p>
    <w:p>
      <w:pPr>
        <w:spacing w:line="360" w:lineRule="auto"/>
        <w:ind w:firstLine="584" w:firstLineChars="200"/>
        <w:rPr>
          <w:rFonts w:eastAsia="宋体"/>
          <w:sz w:val="24"/>
          <w:szCs w:val="24"/>
        </w:rPr>
      </w:pPr>
      <w:r>
        <w:rPr>
          <w:rFonts w:eastAsia="宋体"/>
          <w:sz w:val="24"/>
          <w:szCs w:val="24"/>
        </w:rPr>
        <w:t xml:space="preserve">2) Cell Ranger 基因表达定量与细胞群体分类：使用 10X 官方分析软件 Cell Ranger 对细胞进行基因的表达定量及细胞群体分类。基 因表达定量主要是通过 UMI 信息对单细胞中的基因表达进行定量及分析，细胞群体主要利 用 Cell barcode 来进行分类。根据表达量差异来对单细胞群体进行划分，寻找群体间差异表达的基因。 </w:t>
      </w:r>
    </w:p>
    <w:p>
      <w:pPr>
        <w:pStyle w:val="86"/>
        <w:numPr>
          <w:ilvl w:val="1"/>
          <w:numId w:val="10"/>
        </w:numPr>
        <w:spacing w:line="360" w:lineRule="auto"/>
        <w:ind w:firstLineChars="0"/>
        <w:rPr>
          <w:rFonts w:eastAsia="宋体"/>
          <w:b/>
          <w:bCs/>
          <w:sz w:val="24"/>
        </w:rPr>
      </w:pPr>
      <w:r>
        <w:rPr>
          <w:rFonts w:eastAsia="宋体"/>
          <w:b/>
          <w:bCs/>
          <w:sz w:val="24"/>
        </w:rPr>
        <w:t>分析结果流程</w:t>
      </w:r>
    </w:p>
    <w:p>
      <w:pPr>
        <w:spacing w:line="360" w:lineRule="auto"/>
        <w:rPr>
          <w:rFonts w:eastAsia="宋体"/>
          <w:b/>
          <w:bCs/>
          <w:sz w:val="24"/>
          <w:szCs w:val="24"/>
        </w:rPr>
      </w:pPr>
      <w:r>
        <w:rPr>
          <w:rFonts w:eastAsia="宋体"/>
          <w:b/>
          <w:bCs/>
          <w:sz w:val="24"/>
          <w:szCs w:val="24"/>
        </w:rPr>
        <w:t>1.3.1 原始数据质量控制</w:t>
      </w:r>
    </w:p>
    <w:p>
      <w:pPr>
        <w:spacing w:line="360" w:lineRule="auto"/>
        <w:ind w:firstLine="584" w:firstLineChars="200"/>
        <w:rPr>
          <w:rFonts w:eastAsia="宋体"/>
          <w:sz w:val="24"/>
          <w:szCs w:val="24"/>
        </w:rPr>
      </w:pPr>
      <w:r>
        <w:rPr>
          <w:rFonts w:eastAsia="宋体"/>
          <w:sz w:val="24"/>
          <w:szCs w:val="24"/>
        </w:rPr>
        <w:t>利用 FastQC(v0.11.9)(Andrews, 2010) 软件对高通量测序平台的原始数据进行质量检测。通过快速浏览原始数据的质控结果可以判断数据是否存在质量问题，以筛选到高质量数据做进一步分析。FastQC 提供的结果包括以下几个方面: 1)  基本的统计信息</w:t>
      </w:r>
    </w:p>
    <w:p>
      <w:pPr>
        <w:spacing w:line="360" w:lineRule="auto"/>
        <w:rPr>
          <w:rFonts w:eastAsia="宋体"/>
          <w:sz w:val="24"/>
          <w:szCs w:val="24"/>
        </w:rPr>
      </w:pPr>
      <w:r>
        <w:rPr>
          <w:rFonts w:eastAsia="宋体"/>
          <w:sz w:val="24"/>
          <w:szCs w:val="24"/>
        </w:rPr>
        <w:t xml:space="preserve">2)  碱基在 reads 每个位置的质量分布情况 </w:t>
      </w:r>
    </w:p>
    <w:p>
      <w:pPr>
        <w:spacing w:line="360" w:lineRule="auto"/>
        <w:rPr>
          <w:rFonts w:eastAsia="宋体"/>
          <w:sz w:val="24"/>
          <w:szCs w:val="24"/>
        </w:rPr>
      </w:pPr>
      <w:r>
        <w:rPr>
          <w:rFonts w:eastAsia="宋体"/>
          <w:sz w:val="24"/>
          <w:szCs w:val="24"/>
        </w:rPr>
        <w:t xml:space="preserve">3)  ATCG 的比例分布 </w:t>
      </w:r>
    </w:p>
    <w:p>
      <w:pPr>
        <w:spacing w:line="360" w:lineRule="auto"/>
        <w:rPr>
          <w:rFonts w:eastAsia="宋体"/>
          <w:sz w:val="24"/>
          <w:szCs w:val="24"/>
        </w:rPr>
      </w:pPr>
      <w:r>
        <w:rPr>
          <w:rFonts w:eastAsia="宋体"/>
          <w:sz w:val="24"/>
          <w:szCs w:val="24"/>
        </w:rPr>
        <w:t xml:space="preserve">4)  GC 含量的分布 </w:t>
      </w:r>
    </w:p>
    <w:p>
      <w:pPr>
        <w:spacing w:line="360" w:lineRule="auto"/>
        <w:rPr>
          <w:rFonts w:eastAsia="宋体"/>
          <w:sz w:val="24"/>
          <w:szCs w:val="24"/>
        </w:rPr>
      </w:pPr>
      <w:r>
        <w:rPr>
          <w:rFonts w:eastAsia="宋体"/>
          <w:sz w:val="24"/>
          <w:szCs w:val="24"/>
        </w:rPr>
        <w:t xml:space="preserve">5)  测序读长的分布 </w:t>
      </w:r>
    </w:p>
    <w:p>
      <w:pPr>
        <w:spacing w:line="360" w:lineRule="auto"/>
        <w:rPr>
          <w:rFonts w:eastAsia="宋体"/>
          <w:sz w:val="24"/>
          <w:szCs w:val="24"/>
        </w:rPr>
      </w:pPr>
      <w:r>
        <w:rPr>
          <w:rFonts w:eastAsia="宋体"/>
          <w:sz w:val="24"/>
          <w:szCs w:val="24"/>
        </w:rPr>
        <w:t xml:space="preserve">6)  重复水平的评估 </w:t>
      </w:r>
    </w:p>
    <w:p>
      <w:pPr>
        <w:spacing w:line="360" w:lineRule="auto"/>
        <w:rPr>
          <w:rFonts w:eastAsia="宋体"/>
          <w:sz w:val="24"/>
          <w:szCs w:val="24"/>
        </w:rPr>
      </w:pPr>
      <w:r>
        <w:rPr>
          <w:rFonts w:eastAsia="宋体"/>
          <w:sz w:val="24"/>
          <w:szCs w:val="24"/>
        </w:rPr>
        <w:t xml:space="preserve">7)  接头序列的比例情况 </w:t>
      </w:r>
    </w:p>
    <w:p>
      <w:pPr>
        <w:spacing w:line="360" w:lineRule="auto"/>
        <w:rPr>
          <w:rFonts w:eastAsia="宋体"/>
          <w:b/>
          <w:bCs/>
          <w:sz w:val="24"/>
          <w:szCs w:val="24"/>
        </w:rPr>
      </w:pPr>
      <w:r>
        <w:rPr>
          <w:rFonts w:eastAsia="宋体"/>
          <w:b/>
          <w:bCs/>
          <w:sz w:val="24"/>
          <w:szCs w:val="24"/>
        </w:rPr>
        <w:t xml:space="preserve">1.3.2 Cell Ranger数据统计与分析 </w:t>
      </w:r>
    </w:p>
    <w:p>
      <w:pPr>
        <w:spacing w:line="360" w:lineRule="auto"/>
        <w:ind w:firstLine="584" w:firstLineChars="200"/>
        <w:rPr>
          <w:rFonts w:eastAsia="宋体"/>
          <w:b/>
          <w:bCs/>
          <w:sz w:val="24"/>
          <w:szCs w:val="24"/>
        </w:rPr>
      </w:pPr>
      <w:r>
        <w:rPr>
          <w:rFonts w:eastAsia="宋体"/>
          <w:sz w:val="24"/>
          <w:szCs w:val="24"/>
        </w:rPr>
        <w:t>Cell Ranger 为 10X Genomic 官方提供的专门用于 10X scRNA 数据分析的软件包。提供的结果包括以下几个方面:</w:t>
      </w:r>
    </w:p>
    <w:p>
      <w:pPr>
        <w:spacing w:line="360" w:lineRule="auto"/>
        <w:rPr>
          <w:rFonts w:eastAsia="宋体"/>
          <w:sz w:val="24"/>
          <w:szCs w:val="24"/>
        </w:rPr>
      </w:pPr>
      <w:r>
        <w:rPr>
          <w:rFonts w:eastAsia="宋体"/>
          <w:sz w:val="24"/>
          <w:szCs w:val="24"/>
        </w:rPr>
        <w:t>1） 序列比对</w:t>
      </w:r>
    </w:p>
    <w:p>
      <w:pPr>
        <w:spacing w:line="360" w:lineRule="auto"/>
        <w:rPr>
          <w:rFonts w:eastAsia="宋体"/>
          <w:sz w:val="24"/>
          <w:szCs w:val="24"/>
        </w:rPr>
      </w:pPr>
      <w:r>
        <w:rPr>
          <w:rFonts w:eastAsia="宋体"/>
          <w:sz w:val="24"/>
          <w:szCs w:val="24"/>
        </w:rPr>
        <w:t>2） 基因表达定量</w:t>
      </w:r>
    </w:p>
    <w:p>
      <w:pPr>
        <w:spacing w:line="360" w:lineRule="auto"/>
        <w:rPr>
          <w:rFonts w:eastAsia="宋体"/>
          <w:sz w:val="24"/>
          <w:szCs w:val="24"/>
        </w:rPr>
      </w:pPr>
      <w:r>
        <w:rPr>
          <w:rFonts w:eastAsia="宋体"/>
          <w:sz w:val="24"/>
          <w:szCs w:val="24"/>
        </w:rPr>
        <w:t>3） 细胞数目检测</w:t>
      </w:r>
    </w:p>
    <w:p>
      <w:pPr>
        <w:spacing w:line="360" w:lineRule="auto"/>
        <w:rPr>
          <w:rFonts w:eastAsia="宋体"/>
          <w:sz w:val="24"/>
          <w:szCs w:val="24"/>
        </w:rPr>
      </w:pPr>
      <w:r>
        <w:rPr>
          <w:rFonts w:eastAsia="宋体"/>
          <w:sz w:val="24"/>
          <w:szCs w:val="24"/>
        </w:rPr>
        <w:t>4） 细胞聚类</w:t>
      </w:r>
    </w:p>
    <w:p>
      <w:pPr>
        <w:spacing w:line="360" w:lineRule="auto"/>
        <w:rPr>
          <w:rFonts w:eastAsia="宋体"/>
          <w:b/>
          <w:bCs/>
          <w:sz w:val="24"/>
          <w:szCs w:val="24"/>
        </w:rPr>
      </w:pPr>
      <w:r>
        <w:rPr>
          <w:rFonts w:eastAsia="宋体"/>
          <w:b/>
          <w:bCs/>
          <w:sz w:val="24"/>
          <w:szCs w:val="24"/>
        </w:rPr>
        <w:t>1.3.3 细胞质量评估与过滤</w:t>
      </w:r>
    </w:p>
    <w:p>
      <w:pPr>
        <w:spacing w:line="360" w:lineRule="auto"/>
        <w:ind w:firstLine="584" w:firstLineChars="200"/>
        <w:rPr>
          <w:rFonts w:eastAsia="宋体"/>
          <w:b/>
          <w:bCs/>
          <w:sz w:val="24"/>
          <w:szCs w:val="24"/>
        </w:rPr>
      </w:pPr>
      <w:r>
        <w:rPr>
          <w:rFonts w:eastAsia="宋体"/>
          <w:sz w:val="24"/>
          <w:szCs w:val="24"/>
        </w:rPr>
        <w:t xml:space="preserve">CellRanger 生成表达矩阵之后，我 们还需要在其初步质控的基础上进一步质控过滤，根据每个细胞中表达的基因数(nGene)、 UMI数(nUMI) 和线粒体基因表达量、核糖体基因表达量等信息，去除异常值，以保证后续分析结果的可靠性以及准确性。 </w:t>
      </w:r>
    </w:p>
    <w:p>
      <w:pPr>
        <w:spacing w:line="360" w:lineRule="auto"/>
        <w:rPr>
          <w:rFonts w:eastAsia="宋体"/>
          <w:b/>
          <w:bCs/>
          <w:sz w:val="24"/>
          <w:szCs w:val="24"/>
        </w:rPr>
      </w:pPr>
      <w:r>
        <w:rPr>
          <w:rFonts w:eastAsia="宋体"/>
          <w:b/>
          <w:bCs/>
          <w:sz w:val="24"/>
          <w:szCs w:val="24"/>
        </w:rPr>
        <w:t>1.3.4 降维聚类分析</w:t>
      </w:r>
    </w:p>
    <w:p>
      <w:pPr>
        <w:spacing w:line="360" w:lineRule="auto"/>
        <w:ind w:firstLine="584" w:firstLineChars="200"/>
        <w:rPr>
          <w:rFonts w:eastAsia="宋体"/>
          <w:sz w:val="24"/>
          <w:szCs w:val="24"/>
        </w:rPr>
      </w:pPr>
      <w:r>
        <w:rPr>
          <w:rFonts w:eastAsia="宋体"/>
          <w:sz w:val="24"/>
          <w:szCs w:val="24"/>
        </w:rPr>
        <w:t>Seurat 默认采用"LogNormalize" 全局缩放的归一化方法，通过总表达值对每个细胞的基因表达值归一化，并将其乘以缩放因子(默认为10,000)，最后 进行 log 转化。Seurat 提供多种降维方法包括 PCA、t-SNE 及 UMAP。</w:t>
      </w:r>
    </w:p>
    <w:p>
      <w:pPr>
        <w:pStyle w:val="95"/>
        <w:spacing w:line="360" w:lineRule="auto"/>
        <w:ind w:firstLine="0" w:firstLineChars="0"/>
        <w:rPr>
          <w:rFonts w:ascii="宋体" w:hAnsi="宋体" w:eastAsia="宋体"/>
          <w:szCs w:val="21"/>
        </w:rPr>
      </w:pPr>
      <w:r>
        <w:rPr>
          <w:rFonts w:eastAsia="宋体"/>
          <w:b/>
          <w:bCs/>
          <w:sz w:val="24"/>
        </w:rPr>
        <w:t>1.3.5</w:t>
      </w:r>
      <w:r>
        <w:rPr>
          <w:rFonts w:hint="eastAsia" w:eastAsia="宋体"/>
          <w:sz w:val="24"/>
        </w:rPr>
        <w:t>其他个性化、高级分析，以及甲方要求的个性化分析（甲方满意为止）</w:t>
      </w:r>
    </w:p>
    <w:p>
      <w:pPr>
        <w:spacing w:line="360" w:lineRule="auto"/>
        <w:rPr>
          <w:rFonts w:eastAsia="宋体"/>
          <w:b/>
          <w:bCs/>
          <w:sz w:val="24"/>
          <w:szCs w:val="24"/>
        </w:rPr>
      </w:pPr>
    </w:p>
    <w:p>
      <w:pPr>
        <w:pStyle w:val="86"/>
        <w:numPr>
          <w:ilvl w:val="0"/>
          <w:numId w:val="10"/>
        </w:numPr>
        <w:spacing w:line="360" w:lineRule="auto"/>
        <w:ind w:firstLineChars="0"/>
        <w:rPr>
          <w:rFonts w:eastAsia="宋体"/>
          <w:b/>
          <w:bCs/>
          <w:sz w:val="24"/>
        </w:rPr>
      </w:pPr>
      <w:r>
        <w:rPr>
          <w:rFonts w:eastAsia="宋体"/>
          <w:b/>
          <w:bCs/>
          <w:sz w:val="24"/>
        </w:rPr>
        <w:t>蛋白组学 label-free检测</w:t>
      </w:r>
    </w:p>
    <w:p>
      <w:pPr>
        <w:spacing w:line="360" w:lineRule="auto"/>
        <w:ind w:firstLine="584" w:firstLineChars="200"/>
        <w:rPr>
          <w:rFonts w:eastAsia="宋体"/>
          <w:b/>
          <w:bCs/>
          <w:sz w:val="24"/>
          <w:szCs w:val="24"/>
        </w:rPr>
      </w:pPr>
      <w:r>
        <w:rPr>
          <w:rFonts w:eastAsia="宋体"/>
          <w:sz w:val="24"/>
          <w:szCs w:val="24"/>
        </w:rPr>
        <w:t xml:space="preserve">基于蛋白质谱检测平台的蛋白质组学数据分析主要分为常规数据分析和高级数据分析，其中常规数据分析包含筛选出差异蛋白，对差异蛋白展开一系列生物信息学分析，除此之外，我们还可以针对客户需求，定制高级数据分析如多组学关联分析，发表文章的图个性化设计等。 </w:t>
      </w:r>
    </w:p>
    <w:p>
      <w:pPr>
        <w:pStyle w:val="86"/>
        <w:numPr>
          <w:ilvl w:val="1"/>
          <w:numId w:val="10"/>
        </w:numPr>
        <w:spacing w:line="360" w:lineRule="auto"/>
        <w:ind w:firstLineChars="0"/>
        <w:rPr>
          <w:rFonts w:eastAsia="宋体"/>
          <w:b/>
          <w:bCs/>
          <w:sz w:val="24"/>
        </w:rPr>
      </w:pPr>
      <w:r>
        <w:rPr>
          <w:rFonts w:eastAsia="宋体"/>
          <w:b/>
          <w:bCs/>
          <w:sz w:val="24"/>
        </w:rPr>
        <w:t>数据分析信息</w:t>
      </w:r>
    </w:p>
    <w:p>
      <w:pPr>
        <w:pStyle w:val="86"/>
        <w:spacing w:line="360" w:lineRule="auto"/>
        <w:ind w:firstLine="0" w:firstLineChars="0"/>
        <w:rPr>
          <w:rFonts w:eastAsia="宋体"/>
          <w:b/>
          <w:bCs/>
          <w:sz w:val="24"/>
        </w:rPr>
      </w:pPr>
      <w:r>
        <w:rPr>
          <w:rFonts w:hint="eastAsia" w:eastAsia="宋体"/>
          <w:b/>
          <w:bCs/>
          <w:sz w:val="24"/>
        </w:rPr>
        <w:t>2</w:t>
      </w:r>
      <w:r>
        <w:rPr>
          <w:rFonts w:eastAsia="宋体"/>
          <w:b/>
          <w:bCs/>
          <w:sz w:val="24"/>
        </w:rPr>
        <w:t>.1.1基础分析:</w:t>
      </w:r>
      <w:r>
        <w:rPr>
          <w:rFonts w:eastAsia="宋体"/>
          <w:sz w:val="24"/>
        </w:rPr>
        <w:t xml:space="preserve"> </w:t>
      </w:r>
    </w:p>
    <w:p>
      <w:pPr>
        <w:pStyle w:val="86"/>
        <w:spacing w:line="360" w:lineRule="auto"/>
        <w:ind w:left="720" w:firstLine="0" w:firstLineChars="0"/>
        <w:rPr>
          <w:rFonts w:eastAsia="宋体"/>
          <w:sz w:val="24"/>
        </w:rPr>
      </w:pPr>
      <w:r>
        <w:rPr>
          <w:rFonts w:eastAsia="宋体"/>
          <w:sz w:val="24"/>
        </w:rPr>
        <w:t>数据预处理；</w:t>
      </w:r>
    </w:p>
    <w:p>
      <w:pPr>
        <w:pStyle w:val="86"/>
        <w:spacing w:line="360" w:lineRule="auto"/>
        <w:ind w:left="720" w:firstLine="0" w:firstLineChars="0"/>
        <w:rPr>
          <w:rFonts w:eastAsia="宋体"/>
          <w:sz w:val="24"/>
        </w:rPr>
      </w:pPr>
      <w:r>
        <w:rPr>
          <w:rFonts w:eastAsia="宋体"/>
          <w:sz w:val="24"/>
        </w:rPr>
        <w:t xml:space="preserve">差异表达蛋白筛选(Differentially Expressed Proteins) </w:t>
      </w:r>
    </w:p>
    <w:p>
      <w:pPr>
        <w:pStyle w:val="86"/>
        <w:spacing w:line="360" w:lineRule="auto"/>
        <w:ind w:firstLine="0" w:firstLineChars="0"/>
        <w:rPr>
          <w:rFonts w:eastAsia="宋体"/>
          <w:b/>
          <w:bCs/>
          <w:sz w:val="24"/>
        </w:rPr>
      </w:pPr>
      <w:r>
        <w:rPr>
          <w:rFonts w:hint="eastAsia" w:eastAsia="宋体"/>
          <w:b/>
          <w:bCs/>
          <w:sz w:val="24"/>
        </w:rPr>
        <w:t>2</w:t>
      </w:r>
      <w:r>
        <w:rPr>
          <w:rFonts w:eastAsia="宋体"/>
          <w:b/>
          <w:bCs/>
          <w:sz w:val="24"/>
        </w:rPr>
        <w:t xml:space="preserve">.1.2常规数据分析: </w:t>
      </w:r>
    </w:p>
    <w:p>
      <w:pPr>
        <w:pStyle w:val="86"/>
        <w:spacing w:line="360" w:lineRule="auto"/>
        <w:ind w:left="720" w:firstLine="0" w:firstLineChars="0"/>
        <w:rPr>
          <w:rFonts w:eastAsia="宋体"/>
          <w:sz w:val="24"/>
        </w:rPr>
      </w:pPr>
      <w:r>
        <w:rPr>
          <w:rFonts w:eastAsia="宋体"/>
          <w:sz w:val="24"/>
        </w:rPr>
        <w:t>主成分分析(Principal Component Analysis) ；</w:t>
      </w:r>
    </w:p>
    <w:p>
      <w:pPr>
        <w:pStyle w:val="86"/>
        <w:spacing w:line="360" w:lineRule="auto"/>
        <w:ind w:left="720" w:firstLine="0" w:firstLineChars="0"/>
        <w:rPr>
          <w:rFonts w:eastAsia="宋体"/>
          <w:sz w:val="24"/>
        </w:rPr>
      </w:pPr>
      <w:r>
        <w:rPr>
          <w:rFonts w:eastAsia="宋体"/>
          <w:sz w:val="24"/>
        </w:rPr>
        <w:t>所有蛋白组间比较结果的火山图分析(Volcano analysis) ；</w:t>
      </w:r>
    </w:p>
    <w:p>
      <w:pPr>
        <w:pStyle w:val="86"/>
        <w:spacing w:line="360" w:lineRule="auto"/>
        <w:ind w:left="720" w:firstLine="0" w:firstLineChars="0"/>
        <w:rPr>
          <w:rFonts w:eastAsia="宋体"/>
          <w:sz w:val="24"/>
        </w:rPr>
      </w:pPr>
      <w:r>
        <w:rPr>
          <w:rFonts w:eastAsia="宋体"/>
          <w:sz w:val="24"/>
        </w:rPr>
        <w:t>层次聚类分析(Hierarchical Clustering Analysis) ；</w:t>
      </w:r>
    </w:p>
    <w:p>
      <w:pPr>
        <w:pStyle w:val="86"/>
        <w:spacing w:line="360" w:lineRule="auto"/>
        <w:ind w:left="720" w:firstLine="0" w:firstLineChars="0"/>
        <w:rPr>
          <w:rFonts w:eastAsia="宋体"/>
          <w:sz w:val="24"/>
        </w:rPr>
      </w:pPr>
      <w:r>
        <w:rPr>
          <w:rFonts w:eastAsia="宋体"/>
          <w:sz w:val="24"/>
        </w:rPr>
        <w:t>COG注释分析(COG Analysis)；</w:t>
      </w:r>
    </w:p>
    <w:p>
      <w:pPr>
        <w:pStyle w:val="86"/>
        <w:spacing w:line="360" w:lineRule="auto"/>
        <w:ind w:left="720" w:firstLine="0" w:firstLineChars="0"/>
        <w:rPr>
          <w:rFonts w:eastAsia="宋体"/>
          <w:sz w:val="24"/>
        </w:rPr>
      </w:pPr>
      <w:r>
        <w:rPr>
          <w:rFonts w:eastAsia="宋体"/>
          <w:sz w:val="24"/>
        </w:rPr>
        <w:t>亚细胞定位分析(Subcellular Location Analysis)；</w:t>
      </w:r>
    </w:p>
    <w:p>
      <w:pPr>
        <w:pStyle w:val="86"/>
        <w:spacing w:line="360" w:lineRule="auto"/>
        <w:ind w:left="720" w:firstLine="0" w:firstLineChars="0"/>
        <w:rPr>
          <w:rFonts w:eastAsia="宋体"/>
          <w:sz w:val="24"/>
        </w:rPr>
      </w:pPr>
      <w:r>
        <w:rPr>
          <w:rFonts w:eastAsia="宋体"/>
          <w:sz w:val="24"/>
        </w:rPr>
        <w:t>GO注释富集分析(GO Annotation Enrichment Analysis) ；</w:t>
      </w:r>
    </w:p>
    <w:p>
      <w:pPr>
        <w:pStyle w:val="86"/>
        <w:spacing w:line="360" w:lineRule="auto"/>
        <w:ind w:left="720" w:firstLine="0" w:firstLineChars="0"/>
        <w:rPr>
          <w:rFonts w:eastAsia="宋体"/>
          <w:sz w:val="24"/>
        </w:rPr>
      </w:pPr>
      <w:r>
        <w:rPr>
          <w:rFonts w:eastAsia="宋体"/>
          <w:sz w:val="24"/>
        </w:rPr>
        <w:t xml:space="preserve">KEGG注释富集分析(KEGG Annotation Enrichment Analysis)； </w:t>
      </w:r>
    </w:p>
    <w:p>
      <w:pPr>
        <w:pStyle w:val="86"/>
        <w:spacing w:line="360" w:lineRule="auto"/>
        <w:ind w:left="720" w:firstLine="0" w:firstLineChars="0"/>
        <w:rPr>
          <w:rFonts w:eastAsia="宋体"/>
          <w:sz w:val="24"/>
        </w:rPr>
      </w:pPr>
      <w:r>
        <w:rPr>
          <w:rFonts w:eastAsia="宋体"/>
          <w:sz w:val="24"/>
        </w:rPr>
        <w:t xml:space="preserve">PPI网络构建分析(Protein-Protein Interaction Network Analysis) </w:t>
      </w:r>
    </w:p>
    <w:p>
      <w:pPr>
        <w:spacing w:line="360" w:lineRule="auto"/>
        <w:rPr>
          <w:rFonts w:eastAsia="宋体"/>
          <w:sz w:val="24"/>
          <w:szCs w:val="24"/>
        </w:rPr>
      </w:pPr>
      <w:r>
        <w:rPr>
          <w:rFonts w:hint="eastAsia" w:eastAsia="宋体"/>
          <w:b/>
          <w:bCs/>
          <w:sz w:val="24"/>
          <w:szCs w:val="24"/>
        </w:rPr>
        <w:t>2</w:t>
      </w:r>
      <w:r>
        <w:rPr>
          <w:rFonts w:eastAsia="宋体"/>
          <w:b/>
          <w:bCs/>
          <w:sz w:val="24"/>
          <w:szCs w:val="24"/>
        </w:rPr>
        <w:t>.1.3</w:t>
      </w:r>
      <w:r>
        <w:rPr>
          <w:rFonts w:hint="eastAsia" w:eastAsia="宋体"/>
          <w:sz w:val="24"/>
          <w:szCs w:val="24"/>
        </w:rPr>
        <w:t>其他个性化、高级分析，以及甲方要求的个性化分析（甲方满意为止）</w:t>
      </w:r>
    </w:p>
    <w:p>
      <w:pPr>
        <w:spacing w:line="360" w:lineRule="auto"/>
        <w:rPr>
          <w:rFonts w:hint="eastAsia" w:eastAsia="宋体"/>
          <w:b/>
          <w:bCs/>
          <w:sz w:val="24"/>
          <w:szCs w:val="24"/>
        </w:rPr>
      </w:pPr>
    </w:p>
    <w:p>
      <w:pPr>
        <w:spacing w:line="360" w:lineRule="auto"/>
        <w:rPr>
          <w:rFonts w:eastAsia="宋体"/>
          <w:b/>
          <w:bCs/>
          <w:sz w:val="24"/>
          <w:szCs w:val="24"/>
        </w:rPr>
      </w:pPr>
      <w:r>
        <w:rPr>
          <w:rFonts w:hint="eastAsia" w:eastAsia="宋体"/>
          <w:b/>
          <w:bCs/>
          <w:sz w:val="24"/>
          <w:szCs w:val="24"/>
        </w:rPr>
        <w:t>3</w:t>
      </w:r>
      <w:r>
        <w:rPr>
          <w:rFonts w:eastAsia="宋体"/>
          <w:b/>
          <w:bCs/>
          <w:sz w:val="24"/>
          <w:szCs w:val="24"/>
        </w:rPr>
        <w:t xml:space="preserve">. </w:t>
      </w:r>
      <w:r>
        <w:rPr>
          <w:rFonts w:hint="eastAsia" w:eastAsia="宋体"/>
          <w:b/>
          <w:bCs/>
          <w:sz w:val="24"/>
          <w:szCs w:val="24"/>
        </w:rPr>
        <w:t>技术质量及售后服务要求</w:t>
      </w:r>
    </w:p>
    <w:p>
      <w:pPr>
        <w:spacing w:line="360" w:lineRule="auto"/>
        <w:rPr>
          <w:rFonts w:eastAsia="宋体"/>
          <w:b/>
          <w:bCs/>
          <w:sz w:val="24"/>
          <w:szCs w:val="24"/>
        </w:rPr>
      </w:pPr>
      <w:r>
        <w:rPr>
          <w:rFonts w:hint="eastAsia" w:eastAsia="宋体"/>
          <w:b/>
          <w:bCs/>
          <w:sz w:val="24"/>
          <w:szCs w:val="24"/>
        </w:rPr>
        <w:t>3</w:t>
      </w:r>
      <w:r>
        <w:rPr>
          <w:rFonts w:eastAsia="宋体"/>
          <w:b/>
          <w:bCs/>
          <w:sz w:val="24"/>
          <w:szCs w:val="24"/>
        </w:rPr>
        <w:t>.1</w:t>
      </w:r>
      <w:r>
        <w:rPr>
          <w:rFonts w:hint="eastAsia" w:eastAsia="宋体"/>
          <w:b/>
          <w:bCs/>
          <w:sz w:val="24"/>
          <w:szCs w:val="24"/>
        </w:rPr>
        <w:t xml:space="preserve"> </w:t>
      </w:r>
      <w:r>
        <w:rPr>
          <w:rFonts w:eastAsia="宋体"/>
          <w:b/>
          <w:bCs/>
          <w:sz w:val="24"/>
          <w:szCs w:val="24"/>
        </w:rPr>
        <w:t>技术质量要求</w:t>
      </w:r>
    </w:p>
    <w:p>
      <w:pPr>
        <w:spacing w:line="360" w:lineRule="auto"/>
        <w:rPr>
          <w:rFonts w:eastAsia="宋体"/>
          <w:sz w:val="24"/>
          <w:szCs w:val="24"/>
        </w:rPr>
      </w:pPr>
      <w:r>
        <w:rPr>
          <w:rFonts w:hint="eastAsia" w:eastAsia="宋体"/>
          <w:sz w:val="24"/>
          <w:szCs w:val="24"/>
        </w:rPr>
        <w:t>转录组指标：</w:t>
      </w:r>
      <w:r>
        <w:rPr>
          <w:rFonts w:eastAsia="宋体"/>
          <w:sz w:val="24"/>
          <w:szCs w:val="24"/>
        </w:rPr>
        <w:t>文库质检合格后，测序Q20&gt;90%，Q30&gt;85%，每个文库数据产出不低</w:t>
      </w:r>
      <w:r>
        <w:rPr>
          <w:rFonts w:hint="eastAsia" w:eastAsia="宋体"/>
          <w:sz w:val="24"/>
          <w:szCs w:val="24"/>
        </w:rPr>
        <w:t>于目标数据量的</w:t>
      </w:r>
      <w:r>
        <w:rPr>
          <w:rFonts w:eastAsia="宋体"/>
          <w:sz w:val="24"/>
          <w:szCs w:val="24"/>
        </w:rPr>
        <w:t>98%。每个样本的目标采集、可供分析的数据量不少于6G的</w:t>
      </w:r>
      <w:r>
        <w:rPr>
          <w:rFonts w:hint="eastAsia" w:eastAsia="宋体"/>
          <w:sz w:val="24"/>
          <w:szCs w:val="24"/>
        </w:rPr>
        <w:t>raw</w:t>
      </w:r>
      <w:r>
        <w:rPr>
          <w:rFonts w:eastAsia="宋体"/>
          <w:sz w:val="24"/>
          <w:szCs w:val="24"/>
        </w:rPr>
        <w:t xml:space="preserve"> </w:t>
      </w:r>
      <w:r>
        <w:rPr>
          <w:rFonts w:hint="eastAsia" w:eastAsia="宋体"/>
          <w:sz w:val="24"/>
          <w:szCs w:val="24"/>
        </w:rPr>
        <w:t>data</w:t>
      </w:r>
      <w:r>
        <w:rPr>
          <w:rFonts w:eastAsia="宋体"/>
          <w:sz w:val="24"/>
          <w:szCs w:val="24"/>
        </w:rPr>
        <w:t>.</w:t>
      </w:r>
    </w:p>
    <w:p>
      <w:pPr>
        <w:spacing w:line="360" w:lineRule="auto"/>
        <w:rPr>
          <w:rFonts w:eastAsia="宋体"/>
          <w:sz w:val="24"/>
          <w:szCs w:val="24"/>
        </w:rPr>
      </w:pPr>
      <w:r>
        <w:rPr>
          <w:rFonts w:hint="eastAsia" w:eastAsia="宋体"/>
          <w:sz w:val="24"/>
          <w:szCs w:val="24"/>
        </w:rPr>
        <w:t>蛋白质组指标：</w:t>
      </w:r>
      <w:r>
        <w:rPr>
          <w:rFonts w:eastAsia="宋体"/>
          <w:sz w:val="24"/>
          <w:szCs w:val="24"/>
        </w:rPr>
        <w:t>DDA建库合格后，样品进行</w:t>
      </w:r>
      <w:r>
        <w:rPr>
          <w:rFonts w:hint="eastAsia" w:eastAsia="宋体"/>
          <w:sz w:val="24"/>
          <w:szCs w:val="24"/>
        </w:rPr>
        <w:t>label</w:t>
      </w:r>
      <w:r>
        <w:rPr>
          <w:rFonts w:eastAsia="宋体"/>
          <w:sz w:val="24"/>
          <w:szCs w:val="24"/>
        </w:rPr>
        <w:t xml:space="preserve"> </w:t>
      </w:r>
      <w:r>
        <w:rPr>
          <w:rFonts w:hint="eastAsia" w:eastAsia="宋体"/>
          <w:sz w:val="24"/>
          <w:szCs w:val="24"/>
        </w:rPr>
        <w:t>free</w:t>
      </w:r>
      <w:r>
        <w:rPr>
          <w:rFonts w:eastAsia="宋体"/>
          <w:sz w:val="24"/>
          <w:szCs w:val="24"/>
        </w:rPr>
        <w:t>检测分析，数据质控:</w:t>
      </w:r>
      <w:r>
        <w:rPr>
          <w:rFonts w:hint="eastAsia" w:eastAsia="宋体"/>
          <w:sz w:val="24"/>
          <w:szCs w:val="24"/>
        </w:rPr>
        <w:t>C</w:t>
      </w:r>
      <w:r>
        <w:rPr>
          <w:rFonts w:eastAsia="宋体"/>
          <w:sz w:val="24"/>
          <w:szCs w:val="24"/>
        </w:rPr>
        <w:t>V&gt;0.9;可</w:t>
      </w:r>
      <w:r>
        <w:rPr>
          <w:rFonts w:hint="eastAsia" w:eastAsia="宋体"/>
          <w:sz w:val="24"/>
          <w:szCs w:val="24"/>
        </w:rPr>
        <w:t>供分析的蛋白质鉴定结果要达到</w:t>
      </w:r>
      <w:r>
        <w:rPr>
          <w:rFonts w:eastAsia="宋体"/>
          <w:sz w:val="24"/>
          <w:szCs w:val="24"/>
        </w:rPr>
        <w:t>5000个。</w:t>
      </w:r>
    </w:p>
    <w:p>
      <w:pPr>
        <w:spacing w:line="360" w:lineRule="auto"/>
        <w:rPr>
          <w:rFonts w:eastAsia="宋体"/>
          <w:b/>
          <w:bCs/>
          <w:sz w:val="24"/>
          <w:szCs w:val="24"/>
        </w:rPr>
      </w:pPr>
    </w:p>
    <w:p>
      <w:pPr>
        <w:spacing w:line="360" w:lineRule="auto"/>
        <w:rPr>
          <w:rFonts w:eastAsia="宋体"/>
          <w:b/>
          <w:bCs/>
          <w:sz w:val="24"/>
          <w:szCs w:val="24"/>
        </w:rPr>
      </w:pPr>
      <w:r>
        <w:rPr>
          <w:rFonts w:eastAsia="宋体"/>
          <w:b/>
          <w:bCs/>
          <w:sz w:val="24"/>
          <w:szCs w:val="24"/>
        </w:rPr>
        <w:t>3.2售后服务要求:</w:t>
      </w:r>
    </w:p>
    <w:p>
      <w:pPr>
        <w:spacing w:line="360" w:lineRule="auto"/>
        <w:rPr>
          <w:rFonts w:eastAsia="宋体"/>
          <w:sz w:val="24"/>
          <w:szCs w:val="24"/>
        </w:rPr>
      </w:pPr>
      <w:r>
        <w:rPr>
          <w:rFonts w:eastAsia="宋体"/>
          <w:b/>
          <w:bCs/>
          <w:sz w:val="24"/>
          <w:szCs w:val="24"/>
        </w:rPr>
        <w:t>3.2.1</w:t>
      </w:r>
      <w:r>
        <w:rPr>
          <w:rFonts w:eastAsia="宋体"/>
          <w:sz w:val="24"/>
          <w:szCs w:val="24"/>
        </w:rPr>
        <w:t>每例实验需提供明细实验步骤和结果，包括所有测序原始数据，个性化生物信息</w:t>
      </w:r>
      <w:r>
        <w:rPr>
          <w:rFonts w:hint="eastAsia" w:eastAsia="宋体"/>
          <w:sz w:val="24"/>
          <w:szCs w:val="24"/>
        </w:rPr>
        <w:t>学数据分析</w:t>
      </w:r>
      <w:r>
        <w:rPr>
          <w:rFonts w:eastAsia="宋体"/>
          <w:sz w:val="24"/>
          <w:szCs w:val="24"/>
        </w:rPr>
        <w:t>;</w:t>
      </w:r>
    </w:p>
    <w:p>
      <w:pPr>
        <w:spacing w:line="360" w:lineRule="auto"/>
        <w:rPr>
          <w:rFonts w:eastAsia="宋体"/>
          <w:b/>
          <w:bCs/>
          <w:sz w:val="24"/>
          <w:szCs w:val="24"/>
        </w:rPr>
      </w:pPr>
      <w:r>
        <w:rPr>
          <w:rFonts w:eastAsia="宋体"/>
          <w:b/>
          <w:bCs/>
          <w:sz w:val="24"/>
          <w:szCs w:val="24"/>
        </w:rPr>
        <w:t>3.2.2</w:t>
      </w:r>
      <w:r>
        <w:rPr>
          <w:rFonts w:eastAsia="宋体"/>
          <w:sz w:val="24"/>
          <w:szCs w:val="24"/>
        </w:rPr>
        <w:t>如因供应商原因导致项目失败，如服务或产品质量不合格等，供应商承担全部责</w:t>
      </w:r>
      <w:r>
        <w:rPr>
          <w:rFonts w:hint="eastAsia" w:eastAsia="宋体"/>
          <w:sz w:val="24"/>
          <w:szCs w:val="24"/>
        </w:rPr>
        <w:t>任并退还付款。</w:t>
      </w:r>
    </w:p>
    <w:p>
      <w:pPr>
        <w:spacing w:line="360" w:lineRule="auto"/>
        <w:rPr>
          <w:rFonts w:eastAsia="宋体"/>
          <w:sz w:val="24"/>
          <w:szCs w:val="24"/>
        </w:rPr>
      </w:pPr>
      <w:r>
        <w:rPr>
          <w:rFonts w:eastAsia="宋体"/>
          <w:b/>
          <w:bCs/>
          <w:sz w:val="24"/>
          <w:szCs w:val="24"/>
        </w:rPr>
        <w:t>3.2.3项目周期:</w:t>
      </w:r>
      <w:r>
        <w:rPr>
          <w:rFonts w:eastAsia="宋体"/>
          <w:sz w:val="24"/>
          <w:szCs w:val="24"/>
        </w:rPr>
        <w:t>转录组项目核酸提取、库检、检测、建库、上机与分析不超过45个自</w:t>
      </w:r>
      <w:r>
        <w:rPr>
          <w:rFonts w:hint="eastAsia" w:eastAsia="宋体"/>
          <w:sz w:val="24"/>
          <w:szCs w:val="24"/>
        </w:rPr>
        <w:t>然日</w:t>
      </w:r>
      <w:r>
        <w:rPr>
          <w:rFonts w:eastAsia="宋体"/>
          <w:sz w:val="24"/>
          <w:szCs w:val="24"/>
        </w:rPr>
        <w:t>;蛋白质组项目蛋白提取、多肽、搜库、上机与分析不超过45个自然日。</w:t>
      </w:r>
    </w:p>
    <w:p>
      <w:pPr>
        <w:spacing w:line="360" w:lineRule="auto"/>
        <w:rPr>
          <w:rFonts w:eastAsia="宋体"/>
          <w:b/>
          <w:bCs/>
          <w:sz w:val="24"/>
          <w:szCs w:val="24"/>
        </w:rPr>
      </w:pPr>
      <w:r>
        <w:rPr>
          <w:rFonts w:eastAsia="宋体"/>
          <w:b/>
          <w:bCs/>
          <w:sz w:val="24"/>
          <w:szCs w:val="24"/>
        </w:rPr>
        <w:t>3.2.4数据存贮周期</w:t>
      </w:r>
      <w:r>
        <w:rPr>
          <w:rFonts w:eastAsia="宋体"/>
          <w:sz w:val="24"/>
          <w:szCs w:val="24"/>
        </w:rPr>
        <w:t>:不少于6个月。</w:t>
      </w:r>
    </w:p>
    <w:p>
      <w:pPr>
        <w:spacing w:line="360" w:lineRule="auto"/>
        <w:rPr>
          <w:rFonts w:eastAsia="宋体"/>
          <w:sz w:val="24"/>
          <w:szCs w:val="24"/>
        </w:rPr>
      </w:pPr>
      <w:r>
        <w:rPr>
          <w:rFonts w:eastAsia="宋体"/>
          <w:b/>
          <w:bCs/>
          <w:sz w:val="24"/>
          <w:szCs w:val="24"/>
        </w:rPr>
        <w:t>3.2.5保密内容:</w:t>
      </w:r>
      <w:r>
        <w:rPr>
          <w:rFonts w:eastAsia="宋体"/>
          <w:sz w:val="24"/>
          <w:szCs w:val="24"/>
        </w:rPr>
        <w:t>原始资料、技术路线、实验报告及与实验有关的资料结果、服务价格，</w:t>
      </w:r>
      <w:r>
        <w:rPr>
          <w:rFonts w:hint="eastAsia" w:eastAsia="宋体"/>
          <w:sz w:val="24"/>
          <w:szCs w:val="24"/>
        </w:rPr>
        <w:t>以及甲方及甲方工作人员因履行本合同而了解、知悉的乙方商业秘密与技术秘密。保密期限</w:t>
      </w:r>
      <w:r>
        <w:rPr>
          <w:rFonts w:eastAsia="宋体"/>
          <w:sz w:val="24"/>
          <w:szCs w:val="24"/>
        </w:rPr>
        <w:t>:自合同生效日起永久保密。</w:t>
      </w:r>
    </w:p>
    <w:p>
      <w:pPr>
        <w:ind w:left="438" w:leftChars="132"/>
        <w:rPr>
          <w:rFonts w:ascii="宋体" w:hAnsi="宋体" w:eastAsia="宋体"/>
          <w:b/>
          <w:sz w:val="21"/>
          <w:szCs w:val="21"/>
        </w:rPr>
      </w:pPr>
      <w:r>
        <w:rPr>
          <w:rFonts w:hint="eastAsia"/>
          <w:szCs w:val="28"/>
        </w:rPr>
        <w:t xml:space="preserve">    </w:t>
      </w:r>
      <w:r>
        <w:rPr>
          <w:rFonts w:hint="eastAsia"/>
          <w:sz w:val="21"/>
          <w:szCs w:val="21"/>
        </w:rPr>
        <w:t xml:space="preserve"> </w:t>
      </w:r>
    </w:p>
    <w:p>
      <w:pPr>
        <w:framePr w:hSpace="180" w:wrap="around" w:vAnchor="text" w:hAnchor="margin" w:y="605"/>
        <w:rPr>
          <w:rFonts w:ascii="宋体" w:hAnsi="宋体" w:eastAsia="宋体"/>
        </w:rPr>
      </w:pPr>
      <w:r>
        <w:rPr>
          <w:rFonts w:hint="eastAsia"/>
          <w:sz w:val="24"/>
        </w:rPr>
        <w:t xml:space="preserve">   </w:t>
      </w:r>
    </w:p>
    <w:p>
      <w:pPr>
        <w:ind w:left="438" w:leftChars="132"/>
        <w:rPr>
          <w:rFonts w:ascii="宋体" w:hAnsi="宋体" w:eastAsia="宋体"/>
          <w:b/>
          <w:sz w:val="21"/>
          <w:szCs w:val="21"/>
        </w:rPr>
      </w:pPr>
      <w:r>
        <w:rPr>
          <w:rFonts w:hint="eastAsia"/>
          <w:szCs w:val="28"/>
        </w:rPr>
        <w:t xml:space="preserve">    </w:t>
      </w:r>
      <w:r>
        <w:rPr>
          <w:rFonts w:hint="eastAsia"/>
          <w:sz w:val="21"/>
          <w:szCs w:val="21"/>
        </w:rPr>
        <w:t xml:space="preserve"> </w:t>
      </w:r>
    </w:p>
    <w:p>
      <w:pPr>
        <w:framePr w:hSpace="180" w:wrap="around" w:vAnchor="text" w:hAnchor="margin" w:y="605"/>
        <w:rPr>
          <w:rFonts w:ascii="宋体" w:hAnsi="宋体" w:eastAsia="宋体"/>
        </w:rPr>
      </w:pPr>
      <w:r>
        <w:rPr>
          <w:rFonts w:hint="eastAsia"/>
          <w:sz w:val="24"/>
        </w:rPr>
        <w:t xml:space="preserve">   </w:t>
      </w:r>
    </w:p>
    <w:p>
      <w:pPr>
        <w:kinsoku w:val="0"/>
        <w:wordWrap w:val="0"/>
        <w:topLinePunct/>
        <w:spacing w:line="340" w:lineRule="exact"/>
        <w:jc w:val="center"/>
        <w:rPr>
          <w:rFonts w:ascii="宋体" w:hAnsi="宋体" w:eastAsia="宋体"/>
          <w:b/>
          <w:sz w:val="32"/>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r>
        <w:rPr>
          <w:rFonts w:hint="eastAsia" w:ascii="仿宋_GB2312" w:hAnsi="宋体"/>
          <w:sz w:val="24"/>
        </w:rPr>
        <w:t>需</w:t>
      </w:r>
      <w:r>
        <w:rPr>
          <w:rFonts w:ascii="仿宋_GB2312" w:hAnsi="宋体"/>
          <w:sz w:val="24"/>
        </w:rPr>
        <w:t xml:space="preserve">  </w:t>
      </w:r>
      <w:r>
        <w:rPr>
          <w:rFonts w:hint="eastAsia" w:ascii="仿宋_GB2312" w:hAnsi="宋体"/>
          <w:sz w:val="24"/>
        </w:rPr>
        <w:t>方（甲方）：</w:t>
      </w:r>
      <w:r>
        <w:rPr>
          <w:rFonts w:ascii="仿宋_GB2312" w:hAnsi="宋体"/>
          <w:sz w:val="24"/>
        </w:rPr>
        <w:t xml:space="preserve">                       </w:t>
      </w:r>
      <w:r>
        <w:rPr>
          <w:rFonts w:hint="eastAsia" w:ascii="仿宋_GB2312" w:hAnsi="宋体"/>
          <w:sz w:val="24"/>
        </w:rPr>
        <w:t>签订时间：</w:t>
      </w:r>
    </w:p>
    <w:p>
      <w:pPr>
        <w:kinsoku w:val="0"/>
        <w:wordWrap w:val="0"/>
        <w:topLinePunct/>
        <w:spacing w:line="340" w:lineRule="exact"/>
        <w:rPr>
          <w:rFonts w:ascii="仿宋_GB2312" w:hAnsi="宋体"/>
          <w:sz w:val="24"/>
        </w:rPr>
      </w:pPr>
      <w:r>
        <w:rPr>
          <w:rFonts w:hint="eastAsia" w:ascii="仿宋_GB2312" w:hAnsi="宋体"/>
          <w:sz w:val="24"/>
        </w:rPr>
        <w:t>供</w:t>
      </w:r>
      <w:r>
        <w:rPr>
          <w:rFonts w:ascii="仿宋_GB2312" w:hAnsi="宋体"/>
          <w:sz w:val="24"/>
        </w:rPr>
        <w:t xml:space="preserve">  </w:t>
      </w:r>
      <w:r>
        <w:rPr>
          <w:rFonts w:hint="eastAsia" w:ascii="仿宋_GB2312" w:hAnsi="宋体"/>
          <w:sz w:val="24"/>
        </w:rPr>
        <w:t xml:space="preserve">方（乙方）：  </w:t>
      </w:r>
      <w:r>
        <w:rPr>
          <w:rFonts w:ascii="仿宋_GB2312" w:hAnsi="宋体"/>
          <w:sz w:val="24"/>
        </w:rPr>
        <w:t xml:space="preserve">                     </w:t>
      </w:r>
      <w:r>
        <w:rPr>
          <w:rFonts w:hint="eastAsia" w:ascii="仿宋_GB2312" w:hAnsi="宋体"/>
          <w:sz w:val="24"/>
        </w:rPr>
        <w:t>签订地点：</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1"/>
        </w:rPr>
      </w:pPr>
      <w:r>
        <w:rPr>
          <w:rFonts w:ascii="仿宋_GB2312" w:hAnsi="宋体"/>
          <w:sz w:val="24"/>
        </w:rPr>
        <w:t xml:space="preserve">    </w:t>
      </w:r>
      <w:r>
        <w:rPr>
          <w:rFonts w:hint="eastAsia" w:ascii="仿宋_GB2312" w:hAnsi="宋体"/>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w:t>
      </w:r>
      <w:r>
        <w:rPr>
          <w:rFonts w:hint="eastAsia" w:ascii="华文仿宋" w:hAnsi="华文仿宋" w:eastAsia="华文仿宋"/>
          <w:sz w:val="21"/>
        </w:rPr>
        <w:t>医学仪器与办公设备______号</w:t>
      </w:r>
      <w:r>
        <w:rPr>
          <w:rFonts w:hint="eastAsia" w:ascii="仿宋_GB2312" w:hAnsi="宋体"/>
          <w:sz w:val="21"/>
        </w:rPr>
        <w:t>”招标文件和依据次文件产生的中标结果，经甲、乙双方平等协商，签订本合同。</w:t>
      </w:r>
    </w:p>
    <w:p>
      <w:pPr>
        <w:kinsoku w:val="0"/>
        <w:wordWrap w:val="0"/>
        <w:topLinePunct/>
        <w:spacing w:line="340" w:lineRule="exact"/>
        <w:rPr>
          <w:rFonts w:ascii="仿宋_GB2312" w:hAnsi="宋体"/>
          <w:sz w:val="21"/>
        </w:rPr>
      </w:pPr>
    </w:p>
    <w:p>
      <w:pPr>
        <w:numPr>
          <w:ilvl w:val="0"/>
          <w:numId w:val="11"/>
        </w:numPr>
        <w:kinsoku w:val="0"/>
        <w:wordWrap w:val="0"/>
        <w:topLinePunct/>
        <w:spacing w:line="340" w:lineRule="exact"/>
        <w:rPr>
          <w:rFonts w:ascii="仿宋_GB2312" w:hAnsi="宋体"/>
          <w:b/>
          <w:sz w:val="21"/>
        </w:rPr>
      </w:pPr>
      <w:r>
        <w:rPr>
          <w:rFonts w:hint="eastAsia" w:ascii="仿宋_GB2312" w:hAnsi="宋体"/>
          <w:b/>
          <w:sz w:val="21"/>
        </w:rPr>
        <w:t>设备或服务具体技术指标以供方投标书为准</w:t>
      </w:r>
    </w:p>
    <w:p>
      <w:pPr>
        <w:numPr>
          <w:ilvl w:val="0"/>
          <w:numId w:val="11"/>
        </w:numPr>
        <w:kinsoku w:val="0"/>
        <w:wordWrap w:val="0"/>
        <w:topLinePunct/>
        <w:spacing w:line="340" w:lineRule="exact"/>
        <w:rPr>
          <w:rFonts w:ascii="仿宋_GB2312" w:hAnsi="宋体"/>
          <w:b/>
          <w:sz w:val="21"/>
        </w:rPr>
      </w:pPr>
      <w:r>
        <w:rPr>
          <w:rFonts w:hint="eastAsia" w:ascii="仿宋_GB2312" w:hAnsi="宋体"/>
          <w:b/>
          <w:sz w:val="21"/>
        </w:rPr>
        <w:t>服务费用报价</w:t>
      </w:r>
    </w:p>
    <w:p>
      <w:pPr>
        <w:kinsoku w:val="0"/>
        <w:wordWrap w:val="0"/>
        <w:topLinePunct/>
        <w:spacing w:line="340" w:lineRule="exact"/>
        <w:ind w:firstLine="662" w:firstLineChars="253"/>
        <w:rPr>
          <w:rFonts w:ascii="仿宋_GB2312" w:hAnsi="宋体"/>
          <w:b/>
          <w:sz w:val="21"/>
        </w:rPr>
      </w:pPr>
      <w:r>
        <w:rPr>
          <w:rFonts w:hint="eastAsia" w:ascii="仿宋_GB2312" w:hAnsi="宋体"/>
          <w:b/>
          <w:sz w:val="21"/>
        </w:rPr>
        <w:t>1、服务报价：</w:t>
      </w:r>
    </w:p>
    <w:tbl>
      <w:tblPr>
        <w:tblStyle w:val="21"/>
        <w:tblW w:w="0" w:type="auto"/>
        <w:tblInd w:w="692" w:type="dxa"/>
        <w:tblLayout w:type="fixed"/>
        <w:tblCellMar>
          <w:top w:w="0" w:type="dxa"/>
          <w:left w:w="28" w:type="dxa"/>
          <w:bottom w:w="0" w:type="dxa"/>
          <w:right w:w="28" w:type="dxa"/>
        </w:tblCellMar>
      </w:tblPr>
      <w:tblGrid>
        <w:gridCol w:w="1328"/>
        <w:gridCol w:w="1031"/>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服务名称</w:t>
            </w:r>
          </w:p>
        </w:tc>
        <w:tc>
          <w:tcPr>
            <w:tcW w:w="1031"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类型</w:t>
            </w:r>
          </w:p>
        </w:tc>
        <w:tc>
          <w:tcPr>
            <w:tcW w:w="48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提供服务期限</w:t>
            </w:r>
          </w:p>
        </w:tc>
        <w:tc>
          <w:tcPr>
            <w:tcW w:w="83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bl>
    <w:p>
      <w:pPr>
        <w:kinsoku w:val="0"/>
        <w:wordWrap w:val="0"/>
        <w:topLinePunct/>
        <w:spacing w:line="340" w:lineRule="exact"/>
        <w:rPr>
          <w:rFonts w:ascii="仿宋_GB2312" w:hAnsi="宋体"/>
          <w:b/>
          <w:sz w:val="21"/>
        </w:rPr>
      </w:pPr>
      <w:r>
        <w:rPr>
          <w:rFonts w:hint="eastAsia" w:ascii="仿宋_GB2312" w:hAnsi="宋体"/>
          <w:b/>
          <w:sz w:val="21"/>
        </w:rPr>
        <w:t xml:space="preserve">     2.设备报价</w:t>
      </w:r>
    </w:p>
    <w:p>
      <w:pPr>
        <w:kinsoku w:val="0"/>
        <w:wordWrap w:val="0"/>
        <w:topLinePunct/>
        <w:spacing w:line="340" w:lineRule="exact"/>
        <w:rPr>
          <w:rFonts w:ascii="仿宋_GB2312" w:hAnsi="宋体"/>
          <w:b/>
          <w:sz w:val="21"/>
        </w:rPr>
      </w:pPr>
      <w:r>
        <w:rPr>
          <w:rFonts w:hint="eastAsia" w:ascii="仿宋_GB2312" w:hAnsi="宋体"/>
          <w:b/>
          <w:sz w:val="21"/>
        </w:rPr>
        <w:t xml:space="preserve">     </w:t>
      </w:r>
    </w:p>
    <w:tbl>
      <w:tblPr>
        <w:tblStyle w:val="21"/>
        <w:tblW w:w="0" w:type="auto"/>
        <w:tblInd w:w="692" w:type="dxa"/>
        <w:tblLayout w:type="fixed"/>
        <w:tblCellMar>
          <w:top w:w="0" w:type="dxa"/>
          <w:left w:w="28" w:type="dxa"/>
          <w:bottom w:w="0" w:type="dxa"/>
          <w:right w:w="28" w:type="dxa"/>
        </w:tblCellMar>
      </w:tblPr>
      <w:tblGrid>
        <w:gridCol w:w="1328"/>
        <w:gridCol w:w="1031"/>
        <w:gridCol w:w="1173"/>
        <w:gridCol w:w="483"/>
        <w:gridCol w:w="468"/>
        <w:gridCol w:w="2323"/>
        <w:gridCol w:w="830"/>
        <w:gridCol w:w="1162"/>
      </w:tblGrid>
      <w:tr>
        <w:tc>
          <w:tcPr>
            <w:tcW w:w="1328"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货物名称</w:t>
            </w:r>
          </w:p>
        </w:tc>
        <w:tc>
          <w:tcPr>
            <w:tcW w:w="1031"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型号</w:t>
            </w:r>
          </w:p>
        </w:tc>
        <w:tc>
          <w:tcPr>
            <w:tcW w:w="117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厂家及</w:t>
            </w:r>
          </w:p>
          <w:p>
            <w:pPr>
              <w:kinsoku w:val="0"/>
              <w:wordWrap w:val="0"/>
              <w:topLinePunct/>
              <w:spacing w:line="340" w:lineRule="exact"/>
              <w:jc w:val="center"/>
              <w:rPr>
                <w:rFonts w:ascii="仿宋_GB2312" w:hAnsi="宋体"/>
                <w:sz w:val="21"/>
              </w:rPr>
            </w:pPr>
            <w:r>
              <w:rPr>
                <w:rFonts w:hint="eastAsia" w:ascii="仿宋_GB2312" w:hAnsi="宋体"/>
                <w:sz w:val="21"/>
              </w:rPr>
              <w:t>产地</w:t>
            </w:r>
          </w:p>
        </w:tc>
        <w:tc>
          <w:tcPr>
            <w:tcW w:w="48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随机配件</w:t>
            </w:r>
          </w:p>
          <w:p>
            <w:pPr>
              <w:kinsoku w:val="0"/>
              <w:wordWrap w:val="0"/>
              <w:topLinePunct/>
              <w:spacing w:line="340" w:lineRule="exact"/>
              <w:jc w:val="center"/>
              <w:rPr>
                <w:rFonts w:ascii="仿宋_GB2312" w:hAnsi="宋体"/>
                <w:sz w:val="21"/>
              </w:rPr>
            </w:pPr>
            <w:r>
              <w:rPr>
                <w:rFonts w:hint="eastAsia" w:ascii="仿宋_GB2312" w:hAnsi="宋体"/>
                <w:sz w:val="21"/>
              </w:rPr>
              <w:t>(备用)工具</w:t>
            </w:r>
          </w:p>
        </w:tc>
        <w:tc>
          <w:tcPr>
            <w:tcW w:w="83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rPr>
          <w:cantSplit/>
        </w:trPr>
        <w:tc>
          <w:tcPr>
            <w:tcW w:w="8798" w:type="dxa"/>
            <w:gridSpan w:val="8"/>
            <w:tcBorders>
              <w:top w:val="single" w:color="auto" w:sz="6" w:space="0"/>
              <w:left w:val="single" w:color="auto" w:sz="12" w:space="0"/>
              <w:bottom w:val="single" w:color="auto" w:sz="12" w:space="0"/>
              <w:right w:val="single" w:color="auto" w:sz="12" w:space="0"/>
            </w:tcBorders>
          </w:tcPr>
          <w:p>
            <w:pPr>
              <w:kinsoku w:val="0"/>
              <w:wordWrap w:val="0"/>
              <w:topLinePunct/>
              <w:spacing w:line="340" w:lineRule="exact"/>
              <w:rPr>
                <w:rFonts w:ascii="仿宋_GB2312" w:hAnsi="宋体"/>
                <w:sz w:val="21"/>
              </w:rPr>
            </w:pPr>
            <w:r>
              <w:rPr>
                <w:rFonts w:hint="eastAsia" w:ascii="仿宋_GB2312" w:hAnsi="宋体"/>
                <w:sz w:val="21"/>
              </w:rPr>
              <w:t>总金额（人民币）：</w:t>
            </w:r>
          </w:p>
        </w:tc>
      </w:tr>
    </w:tbl>
    <w:p>
      <w:pPr>
        <w:kinsoku w:val="0"/>
        <w:wordWrap w:val="0"/>
        <w:topLinePunct/>
        <w:spacing w:line="340" w:lineRule="exact"/>
        <w:rPr>
          <w:rFonts w:ascii="仿宋_GB2312" w:hAnsi="宋体"/>
          <w:b/>
          <w:sz w:val="21"/>
        </w:rPr>
      </w:pPr>
    </w:p>
    <w:p>
      <w:pPr>
        <w:kinsoku w:val="0"/>
        <w:wordWrap w:val="0"/>
        <w:topLinePunct/>
        <w:spacing w:line="340" w:lineRule="exact"/>
        <w:rPr>
          <w:rFonts w:ascii="仿宋_GB2312" w:hAnsi="宋体"/>
          <w:b/>
          <w:sz w:val="21"/>
        </w:rPr>
      </w:pPr>
    </w:p>
    <w:p>
      <w:pPr>
        <w:kinsoku w:val="0"/>
        <w:wordWrap w:val="0"/>
        <w:topLinePunct/>
        <w:spacing w:line="340" w:lineRule="exact"/>
        <w:rPr>
          <w:rFonts w:ascii="仿宋_GB2312" w:hAnsi="宋体"/>
          <w:b/>
          <w:sz w:val="21"/>
        </w:rPr>
      </w:pPr>
      <w:r>
        <w:rPr>
          <w:rFonts w:hint="eastAsia" w:ascii="仿宋_GB2312" w:hAnsi="宋体"/>
          <w:b/>
          <w:sz w:val="21"/>
        </w:rPr>
        <w:t>三. 设备质量要求及供方对质量负责的条件和期限（服务类项目由用户另行指定）：</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供方提供的设备必须符合中华人民共和国国家安全环保标准、教育部的有关规定以及该产品的出厂标准。</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供方提供的设备必须是全新的原装设备（含零部件、配件、随机工具等），表面无划伤、无碰撞。</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因设备的质量问题发生争议，由广东省或汕头市商检部门进行质量鉴定。设备符合质量标准的，鉴定费由需方承担；设备不符合质量标准的，鉴定费由供方承担。</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设备原厂保修期超过一年的，供方应按保修承诺提供保修服务。</w:t>
      </w:r>
    </w:p>
    <w:p>
      <w:pPr>
        <w:tabs>
          <w:tab w:val="left" w:pos="0"/>
        </w:tabs>
        <w:kinsoku w:val="0"/>
        <w:wordWrap w:val="0"/>
        <w:topLinePunct/>
        <w:spacing w:line="340" w:lineRule="exact"/>
        <w:ind w:left="498"/>
        <w:rPr>
          <w:rFonts w:ascii="仿宋_GB2312" w:hAnsi="宋体"/>
          <w:sz w:val="21"/>
        </w:rPr>
      </w:pPr>
    </w:p>
    <w:p>
      <w:pPr>
        <w:kinsoku w:val="0"/>
        <w:wordWrap w:val="0"/>
        <w:topLinePunct/>
        <w:spacing w:line="340" w:lineRule="exact"/>
        <w:ind w:left="567" w:hanging="567"/>
        <w:rPr>
          <w:rFonts w:ascii="仿宋_GB2312" w:hAnsi="宋体"/>
          <w:b/>
          <w:sz w:val="21"/>
        </w:rPr>
      </w:pPr>
      <w:r>
        <w:rPr>
          <w:rFonts w:hint="eastAsia" w:ascii="仿宋_GB2312" w:hAnsi="宋体"/>
          <w:b/>
          <w:sz w:val="21"/>
        </w:rPr>
        <w:t>四. 交货及验收（服务类项目由用户另行指定）：</w:t>
      </w:r>
    </w:p>
    <w:p>
      <w:pPr>
        <w:numPr>
          <w:ilvl w:val="0"/>
          <w:numId w:val="13"/>
        </w:numPr>
        <w:tabs>
          <w:tab w:val="left" w:pos="0"/>
        </w:tabs>
        <w:kinsoku w:val="0"/>
        <w:wordWrap w:val="0"/>
        <w:topLinePunct/>
        <w:spacing w:line="340" w:lineRule="exact"/>
        <w:ind w:left="830" w:hanging="332"/>
        <w:rPr>
          <w:rFonts w:ascii="仿宋_GB2312"/>
          <w:sz w:val="21"/>
        </w:rPr>
      </w:pPr>
      <w:r>
        <w:rPr>
          <w:rFonts w:hint="eastAsia" w:ascii="仿宋_GB2312"/>
          <w:sz w:val="21"/>
        </w:rPr>
        <w:t>竣工时间：合同签定后20天内。</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产品必须具备出厂合格证。</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供方应将所供设备的用户手册、保修手册、有关资料及配件、随机工具等交付给需方。</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交货地点：汕头大学医学院</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货物的验收：</w:t>
      </w:r>
    </w:p>
    <w:p>
      <w:pPr>
        <w:pStyle w:val="11"/>
        <w:tabs>
          <w:tab w:val="left" w:pos="0"/>
        </w:tabs>
        <w:kinsoku w:val="0"/>
        <w:wordWrap w:val="0"/>
        <w:topLinePunct/>
        <w:autoSpaceDE/>
        <w:spacing w:line="340" w:lineRule="exact"/>
        <w:ind w:left="830" w:firstLine="490"/>
        <w:rPr>
          <w:rFonts w:ascii="仿宋_GB2312" w:hAnsi="宋体" w:eastAsia="仿宋_GB2312"/>
          <w:sz w:val="21"/>
        </w:rPr>
      </w:pPr>
      <w:r>
        <w:rPr>
          <w:rFonts w:hint="eastAsia" w:ascii="仿宋_GB2312" w:hAnsi="宋体" w:eastAsia="仿宋_GB2312"/>
          <w:sz w:val="21"/>
        </w:rPr>
        <w:t>全部货物现场开封，设备在现场安装过程中，如发生与供货合同条款不符的设备，用户提出异议，供货商应无条件更换。</w:t>
      </w:r>
    </w:p>
    <w:p>
      <w:pPr>
        <w:pStyle w:val="11"/>
        <w:tabs>
          <w:tab w:val="left" w:pos="0"/>
        </w:tabs>
        <w:kinsoku w:val="0"/>
        <w:wordWrap w:val="0"/>
        <w:topLinePunct/>
        <w:autoSpaceDE/>
        <w:spacing w:line="340" w:lineRule="exact"/>
        <w:ind w:left="830" w:firstLine="490"/>
        <w:rPr>
          <w:rFonts w:ascii="仿宋_GB2312" w:hAnsi="宋体" w:eastAsia="仿宋_GB2312"/>
          <w:sz w:val="21"/>
        </w:rPr>
      </w:pPr>
      <w:r>
        <w:rPr>
          <w:rFonts w:hint="eastAsia" w:ascii="仿宋_GB2312" w:hAnsi="宋体" w:eastAsia="仿宋_GB2312"/>
          <w:sz w:val="21"/>
        </w:rPr>
        <w:t>其它验收细则以投标商在投标书中提供的设备技术资料及双方签订的合同条款为准。</w:t>
      </w:r>
    </w:p>
    <w:p>
      <w:pPr>
        <w:kinsoku w:val="0"/>
        <w:wordWrap w:val="0"/>
        <w:topLinePunct/>
        <w:spacing w:line="340" w:lineRule="exact"/>
        <w:ind w:left="567" w:hanging="567"/>
        <w:rPr>
          <w:rFonts w:ascii="仿宋_GB2312" w:hAnsi="宋体"/>
          <w:b/>
          <w:sz w:val="21"/>
        </w:rPr>
      </w:pPr>
      <w:r>
        <w:rPr>
          <w:rFonts w:hint="eastAsia" w:ascii="仿宋_GB2312" w:hAnsi="宋体"/>
          <w:b/>
          <w:sz w:val="21"/>
        </w:rPr>
        <w:t>五. 付款：</w:t>
      </w:r>
    </w:p>
    <w:p>
      <w:pPr>
        <w:kinsoku w:val="0"/>
        <w:wordWrap w:val="0"/>
        <w:topLinePunct/>
        <w:spacing w:line="340" w:lineRule="exact"/>
        <w:ind w:left="498" w:leftChars="150" w:firstLine="498"/>
        <w:rPr>
          <w:sz w:val="21"/>
        </w:rPr>
      </w:pPr>
      <w:r>
        <w:rPr>
          <w:rFonts w:hint="eastAsia"/>
          <w:sz w:val="21"/>
        </w:rPr>
        <w:t>货物或服务验收合格后一星期内付清全款。</w:t>
      </w:r>
    </w:p>
    <w:p>
      <w:pPr>
        <w:kinsoku w:val="0"/>
        <w:wordWrap w:val="0"/>
        <w:topLinePunct/>
        <w:spacing w:line="340" w:lineRule="exact"/>
        <w:ind w:left="567" w:hanging="567"/>
        <w:rPr>
          <w:rFonts w:ascii="仿宋_GB2312" w:hAnsi="宋体"/>
          <w:b/>
          <w:sz w:val="21"/>
        </w:rPr>
      </w:pPr>
      <w:r>
        <w:rPr>
          <w:rFonts w:hint="eastAsia" w:ascii="仿宋_GB2312" w:hAnsi="宋体"/>
          <w:b/>
          <w:sz w:val="21"/>
        </w:rPr>
        <w:t>六. 违约责任（服务类项目由用户另行指定）：</w:t>
      </w:r>
    </w:p>
    <w:p>
      <w:pPr>
        <w:numPr>
          <w:ilvl w:val="0"/>
          <w:numId w:val="14"/>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合同约定时间内，供方未能交付设备，则向需方支付设备总金额5%的违约金。</w:t>
      </w:r>
    </w:p>
    <w:p>
      <w:pPr>
        <w:numPr>
          <w:ilvl w:val="0"/>
          <w:numId w:val="14"/>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供方交付的设备不符合合同规定的，需方有权拒收，供方向需方支付货款总金额5%的违约金。</w:t>
      </w:r>
    </w:p>
    <w:p>
      <w:pPr>
        <w:numPr>
          <w:ilvl w:val="0"/>
          <w:numId w:val="14"/>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需方无正当理由拒收设备，拒付货款的，需方向供方偿付设备总金额5%的违约金。</w:t>
      </w:r>
    </w:p>
    <w:p>
      <w:pPr>
        <w:numPr>
          <w:ilvl w:val="0"/>
          <w:numId w:val="14"/>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供方逾期交付设备，则每日按合同总额3‰向对方偿付违约金。逾期交付超过15天，需方有权终止合同，则供方向需方偿付设备总金额</w:t>
      </w:r>
      <w:r>
        <w:rPr>
          <w:sz w:val="21"/>
        </w:rPr>
        <w:t>7.5%</w:t>
      </w:r>
      <w:r>
        <w:rPr>
          <w:rFonts w:hint="eastAsia"/>
          <w:sz w:val="21"/>
        </w:rPr>
        <w:t>的违约金</w:t>
      </w:r>
      <w:r>
        <w:rPr>
          <w:rFonts w:hint="eastAsia" w:ascii="仿宋_GB2312" w:hAnsi="宋体"/>
          <w:sz w:val="21"/>
        </w:rPr>
        <w:t>。</w:t>
      </w:r>
    </w:p>
    <w:p>
      <w:pPr>
        <w:numPr>
          <w:ilvl w:val="0"/>
          <w:numId w:val="14"/>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需方逾期付款，则每日按合同总额3‰向供方偿付违约金。</w:t>
      </w:r>
    </w:p>
    <w:p>
      <w:pPr>
        <w:numPr>
          <w:ilvl w:val="0"/>
          <w:numId w:val="15"/>
        </w:numPr>
        <w:tabs>
          <w:tab w:val="left" w:pos="0"/>
          <w:tab w:val="left" w:pos="425"/>
        </w:tabs>
        <w:kinsoku w:val="0"/>
        <w:wordWrap w:val="0"/>
        <w:topLinePunct/>
        <w:spacing w:line="340" w:lineRule="exact"/>
        <w:ind w:left="830" w:hanging="332"/>
        <w:rPr>
          <w:rFonts w:ascii="仿宋_GB2312" w:hAnsi="宋体"/>
          <w:sz w:val="21"/>
        </w:rPr>
      </w:pP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七</w:t>
      </w:r>
      <w:r>
        <w:rPr>
          <w:rFonts w:ascii="仿宋_GB2312" w:hAnsi="宋体" w:eastAsia="仿宋_GB2312"/>
          <w:b/>
          <w:sz w:val="21"/>
        </w:rPr>
        <w:t>.</w:t>
      </w:r>
      <w:r>
        <w:rPr>
          <w:rFonts w:hint="eastAsia" w:ascii="仿宋_GB2312" w:hAnsi="宋体" w:eastAsia="仿宋_GB2312"/>
          <w:b/>
          <w:sz w:val="21"/>
        </w:rPr>
        <w:t>售后服务</w:t>
      </w: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八．技术支持及培训</w:t>
      </w:r>
    </w:p>
    <w:p>
      <w:pPr>
        <w:kinsoku w:val="0"/>
        <w:wordWrap w:val="0"/>
        <w:topLinePunct/>
        <w:spacing w:line="340" w:lineRule="exact"/>
        <w:ind w:left="567" w:hanging="567"/>
        <w:rPr>
          <w:rFonts w:ascii="仿宋_GB2312" w:hAnsi="宋体"/>
          <w:b/>
          <w:sz w:val="21"/>
        </w:rPr>
      </w:pPr>
      <w:r>
        <w:rPr>
          <w:rFonts w:hint="eastAsia" w:ascii="仿宋_GB2312" w:hAnsi="宋体"/>
          <w:b/>
          <w:sz w:val="21"/>
        </w:rPr>
        <w:t>九</w:t>
      </w:r>
      <w:r>
        <w:rPr>
          <w:rFonts w:ascii="仿宋_GB2312" w:hAnsi="宋体"/>
          <w:b/>
          <w:sz w:val="21"/>
        </w:rPr>
        <w:t xml:space="preserve">. </w:t>
      </w:r>
      <w:r>
        <w:rPr>
          <w:rFonts w:hint="eastAsia" w:ascii="仿宋_GB2312" w:hAnsi="宋体"/>
          <w:b/>
          <w:sz w:val="21"/>
        </w:rPr>
        <w:t>合同的仲裁</w:t>
      </w:r>
    </w:p>
    <w:p>
      <w:pPr>
        <w:pStyle w:val="13"/>
        <w:kinsoku w:val="0"/>
        <w:wordWrap w:val="0"/>
        <w:spacing w:line="340" w:lineRule="exact"/>
        <w:ind w:left="498" w:leftChars="150" w:firstLine="332"/>
        <w:rPr>
          <w:sz w:val="21"/>
        </w:rPr>
      </w:pPr>
      <w:r>
        <w:rPr>
          <w:rFonts w:hint="eastAsia"/>
          <w:sz w:val="21"/>
        </w:rPr>
        <w:t>本合同发生争议，由双方协商或调解解决，协商或调解不成时向签订合同所在地人民法院起诉。</w:t>
      </w:r>
    </w:p>
    <w:p>
      <w:pPr>
        <w:kinsoku w:val="0"/>
        <w:wordWrap w:val="0"/>
        <w:topLinePunct/>
        <w:spacing w:line="340" w:lineRule="exact"/>
        <w:jc w:val="right"/>
        <w:rPr>
          <w:rFonts w:ascii="仿宋_GB2312" w:hAnsi="宋体"/>
          <w:sz w:val="21"/>
        </w:rPr>
      </w:pPr>
      <w:r>
        <w:rPr>
          <w:rFonts w:ascii="仿宋_GB2312" w:hAnsi="宋体"/>
          <w:sz w:val="21"/>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甲方</w:t>
            </w:r>
            <w:r>
              <w:rPr>
                <w:rFonts w:hint="eastAsia" w:ascii="宋体" w:hAnsi="宋体" w:eastAsia="宋体"/>
                <w:sz w:val="18"/>
                <w:szCs w:val="18"/>
              </w:rPr>
              <w:t>（盖章）</w:t>
            </w:r>
            <w:r>
              <w:rPr>
                <w:rFonts w:ascii="宋体" w:hAnsi="宋体" w:eastAsia="宋体"/>
                <w:sz w:val="18"/>
                <w:szCs w:val="18"/>
              </w:rPr>
              <w:t>：</w:t>
            </w:r>
            <w:r>
              <w:rPr>
                <w:rFonts w:hint="eastAsia" w:ascii="宋体" w:hAnsi="宋体" w:eastAsia="宋体"/>
                <w:sz w:val="18"/>
                <w:szCs w:val="18"/>
              </w:rPr>
              <w:t>汕头大学医学院</w:t>
            </w:r>
          </w:p>
        </w:tc>
        <w:tc>
          <w:tcPr>
            <w:tcW w:w="4986" w:type="dxa"/>
            <w:vAlign w:val="center"/>
          </w:tcPr>
          <w:p>
            <w:pPr>
              <w:spacing w:line="276" w:lineRule="auto"/>
              <w:jc w:val="left"/>
              <w:rPr>
                <w:rFonts w:ascii="宋体" w:hAnsi="宋体" w:eastAsia="宋体" w:cs="ˎ̥"/>
                <w:sz w:val="18"/>
                <w:szCs w:val="18"/>
              </w:rPr>
            </w:pPr>
            <w:r>
              <w:rPr>
                <w:rFonts w:ascii="宋体" w:hAnsi="宋体" w:eastAsia="宋体"/>
                <w:sz w:val="18"/>
                <w:szCs w:val="18"/>
              </w:rPr>
              <w:t>乙方</w:t>
            </w:r>
            <w:r>
              <w:rPr>
                <w:rFonts w:hint="eastAsia" w:ascii="宋体" w:hAnsi="宋体" w:eastAsia="宋体"/>
                <w:sz w:val="18"/>
                <w:szCs w:val="18"/>
              </w:rPr>
              <w:t>（盖章）</w:t>
            </w:r>
            <w:r>
              <w:rPr>
                <w:rFonts w:ascii="宋体" w:hAnsi="宋体" w:eastAsia="宋体"/>
                <w:sz w:val="18"/>
                <w:szCs w:val="18"/>
              </w:rPr>
              <w:t>：</w:t>
            </w:r>
            <w:r>
              <w:rPr>
                <w:rFonts w:ascii="宋体" w:hAnsi="宋体" w:eastAsia="宋体" w:cs="ˎ̥"/>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地址：</w:t>
            </w:r>
            <w:r>
              <w:rPr>
                <w:rFonts w:hint="eastAsia" w:ascii="宋体" w:hAnsi="宋体" w:eastAsia="宋体"/>
                <w:sz w:val="18"/>
                <w:szCs w:val="18"/>
              </w:rPr>
              <w:t>汕头市金平区新陵路</w:t>
            </w:r>
            <w:r>
              <w:rPr>
                <w:rFonts w:ascii="宋体" w:hAnsi="宋体" w:eastAsia="宋体"/>
                <w:sz w:val="18"/>
                <w:szCs w:val="18"/>
              </w:rPr>
              <w:t>22号</w:t>
            </w:r>
          </w:p>
        </w:tc>
        <w:tc>
          <w:tcPr>
            <w:tcW w:w="4986" w:type="dxa"/>
            <w:vAlign w:val="center"/>
          </w:tcPr>
          <w:p>
            <w:pPr>
              <w:snapToGrid w:val="0"/>
              <w:spacing w:line="276" w:lineRule="auto"/>
              <w:jc w:val="left"/>
              <w:rPr>
                <w:rFonts w:ascii="宋体" w:hAnsi="宋体" w:eastAsia="宋体" w:cs="Courier New"/>
                <w:sz w:val="18"/>
                <w:szCs w:val="18"/>
              </w:rPr>
            </w:pPr>
            <w:r>
              <w:rPr>
                <w:rFonts w:ascii="宋体" w:hAnsi="宋体" w:eastAsia="宋体"/>
                <w:sz w:val="18"/>
                <w:szCs w:val="18"/>
              </w:rPr>
              <w:t>地址：</w:t>
            </w:r>
            <w:r>
              <w:rPr>
                <w:rFonts w:ascii="宋体" w:hAnsi="宋体" w:eastAsia="宋体"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r>
              <w:rPr>
                <w:rFonts w:hint="eastAsia" w:ascii="宋体" w:hAnsi="宋体" w:eastAsia="宋体"/>
                <w:sz w:val="18"/>
                <w:szCs w:val="18"/>
              </w:rPr>
              <w:t xml:space="preserve"> 谭学瑞</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电话：</w:t>
            </w:r>
            <w:r>
              <w:rPr>
                <w:rFonts w:hint="eastAsia" w:ascii="宋体" w:hAnsi="宋体" w:eastAsia="宋体"/>
                <w:sz w:val="18"/>
                <w:szCs w:val="18"/>
              </w:rPr>
              <w:t>0754-88900477</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传真：</w:t>
            </w:r>
            <w:r>
              <w:rPr>
                <w:rFonts w:hint="eastAsia" w:ascii="宋体" w:hAnsi="宋体" w:eastAsia="宋体"/>
                <w:sz w:val="18"/>
                <w:szCs w:val="18"/>
              </w:rPr>
              <w:t>0754-88900305</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仿宋_GB2312" w:hAnsi="宋体"/>
                <w:sz w:val="18"/>
                <w:szCs w:val="18"/>
              </w:rPr>
              <w:t>515041</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w:t>
            </w:r>
            <w:r>
              <w:rPr>
                <w:rFonts w:hint="eastAsia" w:ascii="仿宋_GB2312" w:hAnsi="宋体"/>
                <w:sz w:val="18"/>
                <w:szCs w:val="18"/>
              </w:rPr>
              <w:t>中行嘉泰支行</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r>
              <w:rPr>
                <w:rFonts w:hint="eastAsia" w:ascii="仿宋_GB2312" w:hAnsi="宋体"/>
                <w:sz w:val="18"/>
                <w:szCs w:val="18"/>
              </w:rPr>
              <w:t>7055 5774 4822</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统一社会信用代码：12440000455861456K</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r>
    </w:tbl>
    <w:p>
      <w:pPr>
        <w:kinsoku w:val="0"/>
        <w:wordWrap w:val="0"/>
        <w:topLinePunct/>
        <w:spacing w:line="360" w:lineRule="atLeast"/>
        <w:ind w:firstLine="186" w:firstLineChars="50"/>
        <w:rPr>
          <w:rFonts w:ascii="宋体" w:hAnsi="宋体" w:eastAsia="宋体"/>
          <w:b/>
          <w:sz w:val="32"/>
        </w:rPr>
      </w:pP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（投标人名称、地址）的名义投标。提交下述文件正本一份和副本一式柒份。</w:t>
      </w:r>
    </w:p>
    <w:p>
      <w:pPr>
        <w:pStyle w:val="6"/>
        <w:numPr>
          <w:ilvl w:val="3"/>
          <w:numId w:val="16"/>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6"/>
        <w:numPr>
          <w:ilvl w:val="3"/>
          <w:numId w:val="16"/>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6"/>
        <w:numPr>
          <w:ilvl w:val="3"/>
          <w:numId w:val="16"/>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设备配置一览表；</w:t>
      </w:r>
    </w:p>
    <w:p>
      <w:pPr>
        <w:pStyle w:val="6"/>
        <w:numPr>
          <w:ilvl w:val="3"/>
          <w:numId w:val="16"/>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号（招标编号）招标书，我们同意招标文件中有关服务的要求，对所投的技术服务承诺如下服务：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p>
      <w:pPr>
        <w:kinsoku w:val="0"/>
        <w:wordWrap w:val="0"/>
        <w:topLinePunct/>
        <w:spacing w:after="180"/>
        <w:ind w:left="332" w:leftChars="100"/>
        <w:rPr>
          <w:rFonts w:ascii="仿宋_GB2312" w:hAnsi="宋体"/>
          <w:sz w:val="24"/>
        </w:rPr>
      </w:pPr>
      <w:r>
        <w:rPr>
          <w:rFonts w:hint="eastAsia" w:ascii="仿宋_GB2312" w:hAnsi="宋体"/>
          <w:sz w:val="24"/>
        </w:rPr>
        <w:t xml:space="preserve">  5. 投标人拥有进口测序仪或者自主研发的测序仪器设备清单，承诺不以转包形式提供服务；</w:t>
      </w:r>
    </w:p>
    <w:p>
      <w:pPr>
        <w:kinsoku w:val="0"/>
        <w:wordWrap w:val="0"/>
        <w:topLinePunct/>
        <w:spacing w:after="180"/>
        <w:ind w:left="332" w:leftChars="100"/>
        <w:rPr>
          <w:rFonts w:ascii="仿宋_GB2312" w:hAnsi="宋体"/>
          <w:sz w:val="24"/>
        </w:rPr>
      </w:pPr>
      <w:r>
        <w:rPr>
          <w:rFonts w:hint="eastAsia" w:ascii="仿宋_GB2312" w:hAnsi="宋体"/>
          <w:sz w:val="24"/>
        </w:rPr>
        <w:t xml:space="preserve">  6. 投标人服务团队2015年7月-2017年7月2年间发表或者参与发表的文章；</w:t>
      </w:r>
    </w:p>
    <w:p>
      <w:pPr>
        <w:kinsoku w:val="0"/>
        <w:wordWrap w:val="0"/>
        <w:topLinePunct/>
        <w:spacing w:after="180"/>
        <w:ind w:left="332" w:leftChars="100"/>
        <w:rPr>
          <w:rFonts w:ascii="仿宋_GB2312" w:hAnsi="宋体"/>
          <w:sz w:val="24"/>
        </w:rPr>
      </w:pPr>
      <w:r>
        <w:rPr>
          <w:rFonts w:hint="eastAsia" w:ascii="仿宋_GB2312" w:hAnsi="宋体"/>
          <w:sz w:val="24"/>
        </w:rPr>
        <w:t xml:space="preserve">  7. 投标人在近2年内为各大院校及科研单位提供测序分析服务的业绩列表。</w:t>
      </w:r>
    </w:p>
    <w:p>
      <w:pPr>
        <w:kinsoku w:val="0"/>
        <w:wordWrap w:val="0"/>
        <w:topLinePunct/>
        <w:spacing w:after="180"/>
        <w:ind w:left="332" w:leftChars="100"/>
        <w:rPr>
          <w:rFonts w:ascii="仿宋_GB2312" w:hAnsi="宋体"/>
          <w:sz w:val="24"/>
        </w:rPr>
      </w:pPr>
    </w:p>
    <w:p>
      <w:pPr>
        <w:kinsoku w:val="0"/>
        <w:wordWrap w:val="0"/>
        <w:topLinePunct/>
        <w:spacing w:after="180"/>
        <w:ind w:left="332" w:leftChars="100"/>
        <w:rPr>
          <w:rFonts w:ascii="仿宋_GB2312" w:hAnsi="宋体"/>
          <w:sz w:val="24"/>
        </w:rPr>
      </w:pPr>
    </w:p>
    <w:sectPr>
      <w:headerReference r:id="rId5" w:type="first"/>
      <w:footerReference r:id="rId8" w:type="first"/>
      <w:headerReference r:id="rId3" w:type="default"/>
      <w:footerReference r:id="rId6" w:type="default"/>
      <w:headerReference r:id="rId4" w:type="even"/>
      <w:footerReference r:id="rId7"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昆仑楷体">
    <w:altName w:val="新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Mangal">
    <w:altName w:val="Segoe Print"/>
    <w:panose1 w:val="00000400000000000000"/>
    <w:charset w:val="01"/>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5</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rPr>
      <w:t>汕头大学医学院设备招标文件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2C4A4D7D"/>
    <w:multiLevelType w:val="multilevel"/>
    <w:tmpl w:val="2C4A4D7D"/>
    <w:lvl w:ilvl="0" w:tentative="0">
      <w:start w:val="1"/>
      <w:numFmt w:val="decimal"/>
      <w:lvlText w:val="%1."/>
      <w:lvlJc w:val="left"/>
      <w:pPr>
        <w:ind w:left="360" w:hanging="360"/>
      </w:pPr>
      <w:rPr>
        <w:rFonts w:hint="default"/>
      </w:rPr>
    </w:lvl>
    <w:lvl w:ilvl="1" w:tentative="0">
      <w:start w:val="1"/>
      <w:numFmt w:val="decimal"/>
      <w:isLgl/>
      <w:lvlText w:val="%1.%2"/>
      <w:lvlJc w:val="left"/>
      <w:pPr>
        <w:ind w:left="380" w:hanging="38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3">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5">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6">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7">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9">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F3008B7"/>
    <w:multiLevelType w:val="singleLevel"/>
    <w:tmpl w:val="5F3008B7"/>
    <w:lvl w:ilvl="0" w:tentative="0">
      <w:start w:val="1"/>
      <w:numFmt w:val="decimal"/>
      <w:lvlText w:val="%1."/>
      <w:lvlJc w:val="left"/>
      <w:pPr>
        <w:tabs>
          <w:tab w:val="left" w:pos="425"/>
        </w:tabs>
        <w:ind w:left="425" w:hanging="425"/>
      </w:pPr>
      <w:rPr>
        <w:rFonts w:hint="eastAsia"/>
      </w:rPr>
    </w:lvl>
  </w:abstractNum>
  <w:abstractNum w:abstractNumId="11">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2">
    <w:nsid w:val="6AB3207F"/>
    <w:multiLevelType w:val="multilevel"/>
    <w:tmpl w:val="6AB3207F"/>
    <w:lvl w:ilvl="0" w:tentative="0">
      <w:start w:val="1"/>
      <w:numFmt w:val="decimal"/>
      <w:lvlText w:val="%1."/>
      <w:lvlJc w:val="left"/>
      <w:pPr>
        <w:ind w:left="360" w:hanging="360"/>
      </w:pPr>
      <w:rPr>
        <w:rFonts w:hint="default"/>
      </w:rPr>
    </w:lvl>
    <w:lvl w:ilvl="1" w:tentative="0">
      <w:start w:val="2"/>
      <w:numFmt w:val="decimal"/>
      <w:isLgl/>
      <w:lvlText w:val="%1.%2"/>
      <w:lvlJc w:val="left"/>
      <w:pPr>
        <w:ind w:left="600" w:hanging="600"/>
      </w:pPr>
      <w:rPr>
        <w:rFonts w:hint="default"/>
      </w:rPr>
    </w:lvl>
    <w:lvl w:ilvl="2" w:tentative="0">
      <w:start w:val="2"/>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b/>
        <w:bCs/>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3">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4">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4"/>
  </w:num>
  <w:num w:numId="2">
    <w:abstractNumId w:val="3"/>
  </w:num>
  <w:num w:numId="3">
    <w:abstractNumId w:val="13"/>
  </w:num>
  <w:num w:numId="4">
    <w:abstractNumId w:val="5"/>
  </w:num>
  <w:num w:numId="5">
    <w:abstractNumId w:val="0"/>
  </w:num>
  <w:num w:numId="6">
    <w:abstractNumId w:val="8"/>
  </w:num>
  <w:num w:numId="7">
    <w:abstractNumId w:val="11"/>
  </w:num>
  <w:num w:numId="8">
    <w:abstractNumId w:val="1"/>
  </w:num>
  <w:num w:numId="9">
    <w:abstractNumId w:val="12"/>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num>
  <w:num w:numId="13">
    <w:abstractNumId w:val="10"/>
    <w:lvlOverride w:ilvl="0">
      <w:startOverride w:val="1"/>
    </w:lvlOverride>
  </w:num>
  <w:num w:numId="14">
    <w:abstractNumId w:val="14"/>
    <w:lvlOverride w:ilvl="0">
      <w:startOverride w:val="1"/>
    </w:lvlOverride>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66"/>
  <w:drawingGridVerticalSpacing w:val="38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7F51"/>
    <w:rsid w:val="000D470E"/>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7EAA"/>
    <w:rsid w:val="0020285D"/>
    <w:rsid w:val="002077D4"/>
    <w:rsid w:val="00213925"/>
    <w:rsid w:val="00213E67"/>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5CF1"/>
    <w:rsid w:val="006763EE"/>
    <w:rsid w:val="006804DF"/>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02C6"/>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5E"/>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0B9"/>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4023"/>
    <w:rsid w:val="009F471B"/>
    <w:rsid w:val="009F7F9F"/>
    <w:rsid w:val="00A022D7"/>
    <w:rsid w:val="00A03D8C"/>
    <w:rsid w:val="00A0433B"/>
    <w:rsid w:val="00A054DC"/>
    <w:rsid w:val="00A071D5"/>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2C8C"/>
    <w:rsid w:val="00FB4617"/>
    <w:rsid w:val="00FB598E"/>
    <w:rsid w:val="00FD56F9"/>
    <w:rsid w:val="00FE50F6"/>
    <w:rsid w:val="00FE7DC3"/>
    <w:rsid w:val="00FE7E5D"/>
    <w:rsid w:val="00FF10DB"/>
    <w:rsid w:val="00FF1FB7"/>
    <w:rsid w:val="00FF299B"/>
    <w:rsid w:val="00FF717A"/>
    <w:rsid w:val="0A1D0E2A"/>
    <w:rsid w:val="11F019C5"/>
    <w:rsid w:val="202820DF"/>
    <w:rsid w:val="316A76F3"/>
    <w:rsid w:val="33D13DB6"/>
    <w:rsid w:val="3603653E"/>
    <w:rsid w:val="498774ED"/>
    <w:rsid w:val="4B607184"/>
    <w:rsid w:val="535E1403"/>
    <w:rsid w:val="5CBA2826"/>
    <w:rsid w:val="682827B6"/>
    <w:rsid w:val="757A523F"/>
    <w:rsid w:val="7FC6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uiPriority w:val="0"/>
    <w:pPr>
      <w:keepNext/>
      <w:numPr>
        <w:ilvl w:val="0"/>
        <w:numId w:val="1"/>
      </w:numPr>
      <w:outlineLvl w:val="1"/>
    </w:pPr>
    <w:rPr>
      <w:b/>
      <w:bCs/>
    </w:rPr>
  </w:style>
  <w:style w:type="paragraph" w:styleId="4">
    <w:name w:val="heading 3"/>
    <w:basedOn w:val="1"/>
    <w:next w:val="1"/>
    <w:uiPriority w:val="0"/>
    <w:pPr>
      <w:keepNext/>
      <w:numPr>
        <w:ilvl w:val="1"/>
        <w:numId w:val="2"/>
      </w:numPr>
      <w:outlineLvl w:val="2"/>
    </w:pPr>
    <w:rPr>
      <w:b/>
      <w:bCs/>
    </w:rPr>
  </w:style>
  <w:style w:type="paragraph" w:styleId="5">
    <w:name w:val="heading 4"/>
    <w:basedOn w:val="1"/>
    <w:next w:val="1"/>
    <w:uiPriority w:val="0"/>
    <w:pPr>
      <w:keepNext/>
      <w:outlineLvl w:val="3"/>
    </w:pPr>
    <w:rPr>
      <w:rFonts w:ascii="宋体" w:hAnsi="宋体" w:eastAsia="宋体"/>
      <w:b/>
      <w:bCs/>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6">
    <w:name w:val="List 3"/>
    <w:basedOn w:val="1"/>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uiPriority w:val="0"/>
    <w:pPr>
      <w:shd w:val="clear" w:color="auto" w:fill="000080"/>
    </w:pPr>
  </w:style>
  <w:style w:type="paragraph" w:styleId="8">
    <w:name w:val="annotation text"/>
    <w:basedOn w:val="1"/>
    <w:semiHidden/>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footer"/>
    <w:basedOn w:val="1"/>
    <w:qFormat/>
    <w:uiPriority w:val="0"/>
    <w:pPr>
      <w:tabs>
        <w:tab w:val="center" w:pos="4153"/>
        <w:tab w:val="right" w:pos="8306"/>
      </w:tabs>
      <w:snapToGrid w:val="0"/>
      <w:jc w:val="left"/>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qFormat/>
    <w:uiPriority w:val="0"/>
    <w:pPr>
      <w:ind w:firstLine="777"/>
    </w:pPr>
    <w:rPr>
      <w:rFonts w:ascii="楷体_GB2312" w:hAnsi="Arial Narrow" w:eastAsia="楷体_GB2312"/>
    </w:rPr>
  </w:style>
  <w:style w:type="paragraph" w:styleId="18">
    <w:name w:val="Body Text 2"/>
    <w:basedOn w:val="1"/>
    <w:qFormat/>
    <w:uiPriority w:val="0"/>
    <w:rPr>
      <w:rFonts w:ascii="Arial Narrow" w:hAnsi="Arial Narrow" w:eastAsia="楷体_GB2312"/>
      <w:sz w:val="21"/>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single"/>
    </w:rPr>
  </w:style>
  <w:style w:type="character" w:styleId="27">
    <w:name w:val="Emphasis"/>
    <w:basedOn w:val="23"/>
    <w:qFormat/>
    <w:uiPriority w:val="0"/>
    <w:rPr>
      <w:color w:val="CC0033"/>
    </w:rPr>
  </w:style>
  <w:style w:type="character" w:styleId="28">
    <w:name w:val="Hyperlink"/>
    <w:basedOn w:val="23"/>
    <w:qFormat/>
    <w:uiPriority w:val="0"/>
    <w:rPr>
      <w:color w:val="0000FF"/>
      <w:u w:val="single"/>
    </w:rPr>
  </w:style>
  <w:style w:type="character" w:styleId="29">
    <w:name w:val="annotation reference"/>
    <w:basedOn w:val="23"/>
    <w:semiHidden/>
    <w:qFormat/>
    <w:uiPriority w:val="0"/>
    <w:rPr>
      <w:sz w:val="21"/>
    </w:rPr>
  </w:style>
  <w:style w:type="character" w:customStyle="1" w:styleId="30">
    <w:name w:val="font141"/>
    <w:basedOn w:val="23"/>
    <w:qFormat/>
    <w:uiPriority w:val="0"/>
  </w:style>
  <w:style w:type="character" w:customStyle="1" w:styleId="31">
    <w:name w:val="style31"/>
    <w:basedOn w:val="23"/>
    <w:qFormat/>
    <w:uiPriority w:val="0"/>
    <w:rPr>
      <w:b/>
      <w:bCs/>
      <w:color w:val="A16601"/>
    </w:rPr>
  </w:style>
  <w:style w:type="character" w:customStyle="1" w:styleId="32">
    <w:name w:val="dct-tt"/>
    <w:basedOn w:val="23"/>
    <w:qFormat/>
    <w:uiPriority w:val="0"/>
    <w:rPr>
      <w:rFonts w:hint="default" w:ascii="Arial" w:hAnsi="Arial" w:cs="Arial"/>
    </w:rPr>
  </w:style>
  <w:style w:type="character" w:customStyle="1" w:styleId="33">
    <w:name w:val="style36"/>
    <w:basedOn w:val="23"/>
    <w:qFormat/>
    <w:uiPriority w:val="0"/>
  </w:style>
  <w:style w:type="character" w:customStyle="1" w:styleId="34">
    <w:name w:val="search_highlight2"/>
    <w:basedOn w:val="23"/>
    <w:qFormat/>
    <w:uiPriority w:val="0"/>
    <w:rPr>
      <w:rFonts w:hint="default" w:ascii="Arial" w:hAnsi="Arial" w:cs="Arial"/>
      <w:shd w:val="clear" w:color="auto" w:fill="FFFFB0"/>
    </w:rPr>
  </w:style>
  <w:style w:type="character" w:customStyle="1" w:styleId="35">
    <w:name w:val="style4"/>
    <w:basedOn w:val="23"/>
    <w:qFormat/>
    <w:uiPriority w:val="0"/>
  </w:style>
  <w:style w:type="character" w:customStyle="1" w:styleId="36">
    <w:name w:val="f141"/>
    <w:basedOn w:val="23"/>
    <w:qFormat/>
    <w:uiPriority w:val="0"/>
    <w:rPr>
      <w:b/>
      <w:bCs/>
      <w:sz w:val="21"/>
      <w:szCs w:val="21"/>
    </w:rPr>
  </w:style>
  <w:style w:type="character" w:customStyle="1" w:styleId="37">
    <w:name w:val="hei12b"/>
    <w:basedOn w:val="23"/>
    <w:qFormat/>
    <w:uiPriority w:val="0"/>
  </w:style>
  <w:style w:type="paragraph" w:customStyle="1" w:styleId="38">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39">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0">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1">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2">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4">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4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6">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47">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48">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49">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0">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1">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2">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3">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4">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5">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6">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7">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8">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59">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0">
    <w:name w:val="Char Char Char Char"/>
    <w:basedOn w:val="1"/>
    <w:qFormat/>
    <w:uiPriority w:val="0"/>
    <w:rPr>
      <w:rFonts w:eastAsia="宋体"/>
      <w:sz w:val="21"/>
    </w:rPr>
  </w:style>
  <w:style w:type="paragraph" w:customStyle="1" w:styleId="61">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2">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63">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4">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5">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66">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7">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69">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70">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1">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2">
    <w:name w:val="列出段落1"/>
    <w:basedOn w:val="1"/>
    <w:qFormat/>
    <w:uiPriority w:val="0"/>
    <w:pPr>
      <w:suppressAutoHyphens/>
      <w:ind w:left="720"/>
      <w:jc w:val="left"/>
    </w:pPr>
    <w:rPr>
      <w:rFonts w:eastAsia="Times New Roman"/>
      <w:kern w:val="0"/>
      <w:sz w:val="24"/>
      <w:szCs w:val="24"/>
      <w:lang w:eastAsia="ar-SA"/>
    </w:rPr>
  </w:style>
  <w:style w:type="paragraph" w:customStyle="1" w:styleId="73">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4">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5">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6">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77">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78">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79">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0">
    <w:name w:val="UP标题3"/>
    <w:basedOn w:val="1"/>
    <w:qFormat/>
    <w:uiPriority w:val="0"/>
    <w:pPr>
      <w:spacing w:line="360" w:lineRule="auto"/>
      <w:ind w:firstLine="149" w:firstLineChars="149"/>
    </w:pPr>
    <w:rPr>
      <w:rFonts w:ascii="黑体" w:hAnsi="Calibri" w:eastAsia="黑体" w:cs="宋体"/>
      <w:szCs w:val="28"/>
    </w:rPr>
  </w:style>
  <w:style w:type="paragraph" w:customStyle="1" w:styleId="81">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2">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3">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4">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5">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6">
    <w:name w:val="列表段落1"/>
    <w:basedOn w:val="1"/>
    <w:qFormat/>
    <w:uiPriority w:val="0"/>
    <w:pPr>
      <w:ind w:firstLine="420" w:firstLineChars="200"/>
    </w:pPr>
    <w:rPr>
      <w:rFonts w:eastAsia="Times New Roman"/>
      <w:sz w:val="21"/>
      <w:szCs w:val="24"/>
    </w:rPr>
  </w:style>
  <w:style w:type="paragraph" w:customStyle="1" w:styleId="87">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88">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8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0">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1">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2">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3">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4">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95">
    <w:name w:val="列表段落11"/>
    <w:basedOn w:val="1"/>
    <w:qFormat/>
    <w:uiPriority w:val="0"/>
    <w:pPr>
      <w:ind w:firstLine="420" w:firstLineChars="200"/>
    </w:pPr>
    <w:rPr>
      <w:rFonts w:eastAsia="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Template>
  <Company>设备办</Company>
  <Pages>16</Pages>
  <Words>1138</Words>
  <Characters>6488</Characters>
  <Lines>54</Lines>
  <Paragraphs>15</Paragraphs>
  <TotalTime>7</TotalTime>
  <ScaleCrop>false</ScaleCrop>
  <LinksUpToDate>false</LinksUpToDate>
  <CharactersWithSpaces>7611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2015-12-21T02:26:00Z</dcterms:created>
  <dc:creator>许慰玲</dc:creator>
  <cp:lastModifiedBy>Dell</cp:lastModifiedBy>
  <cp:lastPrinted>2015-06-12T00:58:00Z</cp:lastPrinted>
  <dcterms:modified xsi:type="dcterms:W3CDTF">2023-07-10T08:18:44Z</dcterms:modified>
  <dc:title>广东省政府采购中心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465B2C91FB734859A65B446727136ACC_13</vt:lpwstr>
  </property>
</Properties>
</file>