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eastAsia"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3</w:t>
      </w:r>
      <w:r>
        <w:rPr>
          <w:rFonts w:hint="eastAsia" w:ascii="宋体" w:hAnsi="宋体" w:eastAsia="宋体"/>
          <w:sz w:val="36"/>
        </w:rPr>
        <w:t>-</w:t>
      </w:r>
      <w:r>
        <w:rPr>
          <w:rFonts w:hint="eastAsia" w:ascii="宋体" w:hAnsi="宋体" w:eastAsia="宋体"/>
          <w:sz w:val="36"/>
          <w:lang w:val="en-US" w:eastAsia="zh-CN"/>
        </w:rPr>
        <w:t>10</w:t>
      </w:r>
      <w:r>
        <w:rPr>
          <w:rFonts w:hint="eastAsia" w:ascii="宋体" w:hAnsi="宋体" w:eastAsia="宋体"/>
          <w:sz w:val="36"/>
        </w:rPr>
        <w:t>-</w:t>
      </w:r>
      <w:r>
        <w:rPr>
          <w:rFonts w:hint="eastAsia" w:ascii="宋体" w:hAnsi="宋体" w:eastAsia="宋体"/>
          <w:sz w:val="36"/>
          <w:lang w:val="en-US" w:eastAsia="zh-CN"/>
        </w:rPr>
        <w:t>8</w:t>
      </w:r>
    </w:p>
    <w:p>
      <w:pPr>
        <w:kinsoku w:val="0"/>
        <w:wordWrap w:val="0"/>
        <w:topLinePunct/>
        <w:ind w:firstLine="1648" w:firstLineChars="400"/>
        <w:rPr>
          <w:rFonts w:hint="eastAsia" w:ascii="宋体" w:hAnsi="宋体" w:eastAsia="宋体"/>
          <w:sz w:val="36"/>
        </w:rPr>
      </w:pPr>
      <w:r>
        <w:rPr>
          <w:rFonts w:hint="eastAsia" w:ascii="宋体" w:hAnsi="宋体" w:eastAsia="宋体"/>
          <w:sz w:val="36"/>
        </w:rPr>
        <w:t>项目名称：汕头大学医学院购胎牛血清</w:t>
      </w:r>
    </w:p>
    <w:p>
      <w:pPr>
        <w:kinsoku w:val="0"/>
        <w:wordWrap w:val="0"/>
        <w:topLinePunct/>
        <w:ind w:firstLine="1494"/>
        <w:rPr>
          <w:rFonts w:ascii="宋体" w:hAnsi="宋体" w:eastAsia="宋体"/>
          <w:sz w:val="32"/>
        </w:rPr>
      </w:pPr>
      <w:r>
        <w:rPr>
          <w:rFonts w:hint="eastAsia" w:ascii="宋体" w:hAnsi="宋体" w:eastAsia="宋体"/>
          <w:sz w:val="32"/>
        </w:rPr>
        <w:t xml:space="preserve"> </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drawing>
          <wp:inline distT="0" distB="0" distL="0" distR="0">
            <wp:extent cx="752475" cy="828675"/>
            <wp:effectExtent l="0" t="0" r="0" b="0"/>
            <wp:docPr id="1" name="图片 1" descr="http://www2.stu.edu.cn/im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2.stu.edu.cn/img/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eastAsia" w:ascii="宋体" w:hAnsi="宋体" w:eastAsia="宋体"/>
          <w:sz w:val="44"/>
          <w:lang w:val="en-US" w:eastAsia="zh-CN"/>
        </w:rPr>
      </w:pPr>
      <w:r>
        <w:rPr>
          <w:rFonts w:hint="eastAsia" w:ascii="宋体" w:hAnsi="宋体" w:eastAsia="宋体"/>
          <w:sz w:val="44"/>
        </w:rPr>
        <w:t>202</w:t>
      </w:r>
      <w:r>
        <w:rPr>
          <w:rFonts w:hint="eastAsia" w:ascii="宋体" w:hAnsi="宋体" w:eastAsia="宋体"/>
          <w:sz w:val="44"/>
          <w:lang w:val="en-US" w:eastAsia="zh-CN"/>
        </w:rPr>
        <w:t>3</w:t>
      </w:r>
      <w:r>
        <w:rPr>
          <w:rFonts w:hint="eastAsia" w:ascii="宋体" w:hAnsi="宋体" w:eastAsia="宋体"/>
          <w:sz w:val="44"/>
        </w:rPr>
        <w:t>.</w:t>
      </w:r>
      <w:r>
        <w:rPr>
          <w:rFonts w:hint="eastAsia" w:ascii="宋体" w:hAnsi="宋体" w:eastAsia="宋体"/>
          <w:sz w:val="44"/>
          <w:lang w:val="en-US" w:eastAsia="zh-CN"/>
        </w:rPr>
        <w:t>10</w:t>
      </w:r>
      <w:r>
        <w:rPr>
          <w:rFonts w:hint="eastAsia" w:ascii="宋体" w:hAnsi="宋体" w:eastAsia="宋体"/>
          <w:sz w:val="44"/>
        </w:rPr>
        <w:t xml:space="preserve"> .</w:t>
      </w:r>
      <w:r>
        <w:rPr>
          <w:rFonts w:hint="eastAsia" w:ascii="宋体" w:hAnsi="宋体" w:eastAsia="宋体"/>
          <w:sz w:val="44"/>
          <w:lang w:val="en-US" w:eastAsia="zh-CN"/>
        </w:rPr>
        <w:t>8</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1"/>
        </w:numPr>
        <w:kinsoku w:val="0"/>
        <w:wordWrap w:val="0"/>
        <w:topLinePunct/>
        <w:rPr>
          <w:rFonts w:ascii="宋体" w:hAnsi="Arial Narrow" w:eastAsia="宋体"/>
        </w:rPr>
      </w:pPr>
      <w:r>
        <w:rPr>
          <w:rFonts w:hint="eastAsia" w:ascii="宋体" w:hAnsi="Arial Narrow" w:eastAsia="宋体"/>
        </w:rPr>
        <w:t>投标人须知</w:t>
      </w:r>
    </w:p>
    <w:p>
      <w:pPr>
        <w:numPr>
          <w:ilvl w:val="0"/>
          <w:numId w:val="1"/>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1"/>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1"/>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1"/>
        </w:numPr>
        <w:kinsoku w:val="0"/>
        <w:wordWrap w:val="0"/>
        <w:topLinePunct/>
        <w:rPr>
          <w:rFonts w:ascii="宋体" w:hAnsi="Arial Narrow" w:eastAsia="宋体"/>
        </w:rPr>
      </w:pPr>
      <w:r>
        <w:rPr>
          <w:rFonts w:hint="eastAsia" w:ascii="宋体" w:hAnsi="Arial Narrow" w:eastAsia="宋体"/>
        </w:rPr>
        <w:t>评（议）标原则</w:t>
      </w:r>
    </w:p>
    <w:p>
      <w:pPr>
        <w:numPr>
          <w:ilvl w:val="0"/>
          <w:numId w:val="1"/>
        </w:numPr>
        <w:kinsoku w:val="0"/>
        <w:wordWrap w:val="0"/>
        <w:topLinePunct/>
        <w:rPr>
          <w:rFonts w:ascii="宋体" w:hAnsi="Arial Narrow" w:eastAsia="宋体"/>
        </w:rPr>
      </w:pPr>
      <w:r>
        <w:rPr>
          <w:rFonts w:hint="eastAsia" w:ascii="宋体" w:hAnsi="Arial Narrow" w:eastAsia="宋体"/>
        </w:rPr>
        <w:t>开标、评标、定标</w:t>
      </w:r>
    </w:p>
    <w:p>
      <w:pPr>
        <w:numPr>
          <w:ilvl w:val="0"/>
          <w:numId w:val="1"/>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系统要求</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技术指标咨询联系人</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3"/>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numPr>
          <w:ilvl w:val="0"/>
          <w:numId w:val="3"/>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3"/>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3"/>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3"/>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ascii="宋体" w:hAnsi="Arial Narrow"/>
          <w:b/>
          <w:sz w:val="21"/>
          <w:szCs w:val="21"/>
        </w:rPr>
      </w:pPr>
      <w:r>
        <w:rPr>
          <w:rFonts w:hint="eastAsia" w:ascii="宋体" w:hAnsi="Arial Narrow"/>
          <w:b/>
          <w:sz w:val="21"/>
          <w:szCs w:val="21"/>
        </w:rPr>
        <w:t>汕头大学医学院购胎牛血清招标项目</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4"/>
        </w:numPr>
        <w:tabs>
          <w:tab w:val="left" w:pos="0"/>
          <w:tab w:val="clear" w:pos="425"/>
        </w:tabs>
        <w:kinsoku w:val="0"/>
        <w:wordWrap w:val="0"/>
        <w:topLinePunct/>
        <w:ind w:left="664" w:hanging="332"/>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ind w:left="580" w:leftChars="105" w:hanging="232" w:hangingChars="100"/>
        <w:rPr>
          <w:rFonts w:ascii="宋体" w:hAnsi="Arial Narrow" w:eastAsia="宋体"/>
          <w:b/>
          <w:sz w:val="21"/>
        </w:rPr>
      </w:pPr>
      <w:r>
        <w:rPr>
          <w:rFonts w:hint="eastAsia" w:ascii="宋体" w:hAnsi="Arial Narrow" w:eastAsia="宋体"/>
          <w:sz w:val="18"/>
        </w:rPr>
        <w:t>2.报价要求：1）所投产品按单瓶价格及总价报价，含运输等有关一切费用；2）</w:t>
      </w:r>
      <w:r>
        <w:rPr>
          <w:rFonts w:hint="eastAsia" w:ascii="宋体" w:hAnsi="宋体"/>
          <w:sz w:val="21"/>
          <w:szCs w:val="21"/>
        </w:rPr>
        <w:t>享受海关免税优惠政策的进口科教用品，投标人应报试剂免关税价（CPI）,报价包含到采购方指定目的地的所有费用。</w:t>
      </w:r>
    </w:p>
    <w:p>
      <w:pPr>
        <w:kinsoku w:val="0"/>
        <w:wordWrap w:val="0"/>
        <w:topLinePunct/>
        <w:ind w:left="610" w:leftChars="105" w:hanging="262" w:hangingChars="100"/>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w:t>
      </w:r>
      <w:r>
        <w:rPr>
          <w:rFonts w:hint="eastAsia" w:ascii="宋体" w:hAnsi="Arial Narrow" w:eastAsia="宋体"/>
          <w:b/>
          <w:bCs/>
          <w:i/>
          <w:iCs/>
          <w:sz w:val="24"/>
          <w:lang w:val="en-US" w:eastAsia="zh-CN"/>
        </w:rPr>
        <w:t>3</w:t>
      </w:r>
      <w:r>
        <w:rPr>
          <w:rFonts w:hint="eastAsia" w:ascii="宋体" w:hAnsi="Arial Narrow" w:eastAsia="宋体"/>
          <w:b/>
          <w:bCs/>
          <w:i/>
          <w:iCs/>
          <w:sz w:val="24"/>
        </w:rPr>
        <w:t xml:space="preserve">年 </w:t>
      </w:r>
      <w:r>
        <w:rPr>
          <w:rFonts w:hint="eastAsia" w:ascii="宋体" w:hAnsi="Arial Narrow" w:eastAsia="宋体"/>
          <w:b/>
          <w:bCs/>
          <w:i/>
          <w:iCs/>
          <w:sz w:val="24"/>
          <w:lang w:val="en-US" w:eastAsia="zh-CN"/>
        </w:rPr>
        <w:t xml:space="preserve">10 </w:t>
      </w:r>
      <w:r>
        <w:rPr>
          <w:rFonts w:hint="eastAsia" w:ascii="宋体" w:hAnsi="Arial Narrow" w:eastAsia="宋体"/>
          <w:b/>
          <w:bCs/>
          <w:i/>
          <w:iCs/>
          <w:sz w:val="24"/>
        </w:rPr>
        <w:t xml:space="preserve">月 </w:t>
      </w:r>
      <w:r>
        <w:rPr>
          <w:rFonts w:hint="eastAsia" w:ascii="宋体" w:hAnsi="Arial Narrow" w:eastAsia="宋体"/>
          <w:b/>
          <w:bCs/>
          <w:i/>
          <w:iCs/>
          <w:sz w:val="24"/>
          <w:lang w:val="en-US" w:eastAsia="zh-CN"/>
        </w:rPr>
        <w:t>17</w:t>
      </w:r>
      <w:bookmarkStart w:id="0" w:name="_GoBack"/>
      <w:bookmarkEnd w:id="0"/>
      <w:r>
        <w:rPr>
          <w:rFonts w:hint="eastAsia" w:ascii="宋体" w:hAnsi="Arial Narrow" w:eastAsia="宋体"/>
          <w:b/>
          <w:bCs/>
          <w:i/>
          <w:iCs/>
          <w:sz w:val="24"/>
          <w:lang w:val="en-US" w:eastAsia="zh-CN"/>
        </w:rPr>
        <w:t xml:space="preserve"> </w:t>
      </w:r>
      <w:r>
        <w:rPr>
          <w:rFonts w:hint="eastAsia" w:ascii="宋体" w:hAnsi="Arial Narrow" w:eastAsia="宋体"/>
          <w:b/>
          <w:bCs/>
          <w:i/>
          <w:iCs/>
          <w:sz w:val="24"/>
        </w:rPr>
        <w:t>日上午9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1.争取最优的性能价格比，不一定接受最低报价，不接受不符合招标书要求的投标书。</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2.在同样商品同等报价情况下优先选择有出具原厂或全国总代理授权书的投标人。</w:t>
      </w:r>
    </w:p>
    <w:p>
      <w:pPr>
        <w:pStyle w:val="18"/>
        <w:tabs>
          <w:tab w:val="left" w:pos="-166"/>
        </w:tabs>
        <w:kinsoku w:val="0"/>
        <w:wordWrap w:val="0"/>
        <w:topLinePunct/>
        <w:ind w:left="498" w:leftChars="150" w:firstLine="440" w:firstLineChars="190"/>
        <w:rPr>
          <w:rFonts w:ascii="宋体" w:eastAsia="宋体"/>
          <w:sz w:val="18"/>
        </w:rPr>
      </w:pPr>
    </w:p>
    <w:p>
      <w:pPr>
        <w:pStyle w:val="18"/>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7"/>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pPr>
      <w:r>
        <w:rPr>
          <w:rFonts w:hint="eastAsia" w:ascii="宋体" w:hAnsi="Arial Narrow" w:eastAsia="宋体"/>
          <w:b/>
          <w:sz w:val="32"/>
        </w:rPr>
        <w:t>第二部分  技术规格要求和交货日期、地点等</w:t>
      </w:r>
    </w:p>
    <w:p>
      <w:pPr>
        <w:numPr>
          <w:ilvl w:val="0"/>
          <w:numId w:val="8"/>
        </w:numPr>
        <w:spacing w:line="340" w:lineRule="exact"/>
        <w:rPr>
          <w:rFonts w:ascii="宋体" w:hAnsi="宋体" w:eastAsia="宋体"/>
          <w:b/>
          <w:sz w:val="21"/>
          <w:szCs w:val="21"/>
        </w:rPr>
      </w:pPr>
      <w:r>
        <w:rPr>
          <w:rFonts w:hint="eastAsia" w:ascii="宋体" w:hAnsi="宋体" w:eastAsia="宋体"/>
          <w:b/>
          <w:sz w:val="21"/>
          <w:szCs w:val="21"/>
        </w:rPr>
        <w:t>进口胎牛血清</w:t>
      </w:r>
    </w:p>
    <w:p>
      <w:pPr>
        <w:ind w:firstLine="584" w:firstLineChars="200"/>
        <w:rPr>
          <w:rFonts w:ascii="宋体" w:hAnsi="宋体" w:eastAsia="宋体" w:cs="宋体"/>
          <w:b/>
          <w:sz w:val="24"/>
          <w:szCs w:val="24"/>
          <w:highlight w:val="none"/>
        </w:rPr>
      </w:pPr>
      <w:r>
        <w:rPr>
          <w:rFonts w:hint="eastAsia" w:ascii="宋体" w:hAnsi="宋体" w:eastAsia="宋体" w:cs="宋体"/>
          <w:b/>
          <w:sz w:val="24"/>
          <w:szCs w:val="24"/>
          <w:highlight w:val="none"/>
        </w:rPr>
        <w:t xml:space="preserve">  数量：</w:t>
      </w:r>
      <w:r>
        <w:rPr>
          <w:rFonts w:hint="eastAsia" w:ascii="宋体" w:hAnsi="宋体" w:eastAsia="宋体" w:cs="宋体"/>
          <w:b/>
          <w:sz w:val="24"/>
          <w:szCs w:val="24"/>
          <w:highlight w:val="none"/>
          <w:lang w:val="en-US" w:eastAsia="zh-CN"/>
        </w:rPr>
        <w:t>36</w:t>
      </w:r>
      <w:r>
        <w:rPr>
          <w:rFonts w:hint="eastAsia" w:ascii="宋体" w:hAnsi="宋体" w:eastAsia="宋体" w:cs="宋体"/>
          <w:b/>
          <w:sz w:val="24"/>
          <w:szCs w:val="24"/>
          <w:highlight w:val="none"/>
        </w:rPr>
        <w:t>瓶</w:t>
      </w:r>
    </w:p>
    <w:p>
      <w:pPr>
        <w:ind w:firstLine="584" w:firstLineChars="200"/>
        <w:rPr>
          <w:rFonts w:ascii="宋体" w:hAnsi="宋体" w:eastAsia="宋体" w:cs="宋体"/>
          <w:b/>
          <w:sz w:val="24"/>
          <w:szCs w:val="24"/>
          <w:highlight w:val="none"/>
        </w:rPr>
      </w:pPr>
      <w:r>
        <w:rPr>
          <w:rFonts w:hint="eastAsia" w:ascii="宋体" w:hAnsi="宋体" w:eastAsia="宋体" w:cs="宋体"/>
          <w:b/>
          <w:sz w:val="24"/>
          <w:szCs w:val="24"/>
          <w:highlight w:val="none"/>
        </w:rPr>
        <w:t xml:space="preserve">  总预算：</w:t>
      </w:r>
      <w:r>
        <w:rPr>
          <w:rFonts w:hint="eastAsia" w:ascii="宋体" w:hAnsi="宋体" w:eastAsia="宋体" w:cs="宋体"/>
          <w:b/>
          <w:sz w:val="24"/>
          <w:szCs w:val="24"/>
          <w:highlight w:val="none"/>
          <w:lang w:val="en-US" w:eastAsia="zh-CN"/>
        </w:rPr>
        <w:t>26</w:t>
      </w:r>
      <w:r>
        <w:rPr>
          <w:rFonts w:ascii="宋体" w:hAnsi="宋体" w:eastAsia="宋体" w:cs="宋体"/>
          <w:b/>
          <w:sz w:val="24"/>
          <w:szCs w:val="24"/>
          <w:highlight w:val="none"/>
        </w:rPr>
        <w:t>.</w:t>
      </w:r>
      <w:r>
        <w:rPr>
          <w:rFonts w:hint="eastAsia" w:ascii="宋体" w:hAnsi="宋体" w:eastAsia="宋体" w:cs="宋体"/>
          <w:b/>
          <w:sz w:val="24"/>
          <w:szCs w:val="24"/>
          <w:highlight w:val="none"/>
          <w:lang w:val="en-US" w:eastAsia="zh-CN"/>
        </w:rPr>
        <w:t>712</w:t>
      </w:r>
      <w:r>
        <w:rPr>
          <w:rFonts w:hint="eastAsia" w:ascii="宋体" w:hAnsi="宋体" w:eastAsia="宋体" w:cs="宋体"/>
          <w:b/>
          <w:sz w:val="24"/>
          <w:szCs w:val="24"/>
          <w:highlight w:val="none"/>
        </w:rPr>
        <w:t>万（可免税）</w:t>
      </w:r>
    </w:p>
    <w:p>
      <w:r>
        <w:rPr>
          <w:rFonts w:hint="eastAsia"/>
          <w:szCs w:val="28"/>
          <w:highlight w:val="none"/>
        </w:rPr>
        <w:t xml:space="preserve">   </w:t>
      </w:r>
      <w:r>
        <w:rPr>
          <w:rFonts w:hint="eastAsia"/>
        </w:rPr>
        <w:t>技术指标：</w:t>
      </w:r>
    </w:p>
    <w:p>
      <w:pPr>
        <w:ind w:left="664" w:leftChars="100" w:hanging="332" w:hangingChars="100"/>
        <w:rPr>
          <w:rFonts w:hint="eastAsia" w:eastAsiaTheme="minorEastAsia"/>
          <w:lang w:val="en-US" w:eastAsia="zh-CN"/>
        </w:rPr>
      </w:pPr>
      <w:r>
        <w:rPr>
          <w:rFonts w:hint="eastAsia"/>
          <w:lang w:val="en-US" w:eastAsia="zh-CN"/>
        </w:rPr>
        <w:t>1、主要用于做肿瘤细胞的原代培养和我们现已养成的肿瘤原代细胞，肿瘤原代细胞对血清质量要求高，需要能保证肿瘤原代细胞的存活和生长的高质量血清；肿瘤原代细胞黏连性强，需要细胞消化中和后能制备成单细胞悬液，保证细胞不结块以备后期顺利打入动物体内的血清。</w:t>
      </w:r>
    </w:p>
    <w:p>
      <w:pPr>
        <w:ind w:firstLine="332" w:firstLineChars="100"/>
      </w:pPr>
      <w:r>
        <w:rPr>
          <w:rFonts w:hint="eastAsia"/>
          <w:lang w:val="en-US" w:eastAsia="zh-CN"/>
        </w:rPr>
        <w:t>2</w:t>
      </w:r>
      <w:r>
        <w:rPr>
          <w:rFonts w:hint="eastAsia"/>
        </w:rPr>
        <w:t>、内毒素≤10 EU/ml</w:t>
      </w:r>
    </w:p>
    <w:p>
      <w:pPr>
        <w:ind w:firstLine="332" w:firstLineChars="100"/>
      </w:pPr>
      <w:r>
        <w:rPr>
          <w:rFonts w:hint="eastAsia"/>
          <w:lang w:val="en-US" w:eastAsia="zh-CN"/>
        </w:rPr>
        <w:t>3</w:t>
      </w:r>
      <w:r>
        <w:rPr>
          <w:rFonts w:hint="eastAsia"/>
        </w:rPr>
        <w:t>、经过牛病毒性腹泻病毒（BVDV）筛选</w:t>
      </w:r>
    </w:p>
    <w:p>
      <w:pPr>
        <w:ind w:firstLine="332" w:firstLineChars="100"/>
      </w:pPr>
      <w:r>
        <w:rPr>
          <w:rFonts w:hint="eastAsia"/>
          <w:lang w:val="en-US" w:eastAsia="zh-CN"/>
        </w:rPr>
        <w:t>4</w:t>
      </w:r>
      <w:r>
        <w:rPr>
          <w:rFonts w:hint="eastAsia"/>
        </w:rPr>
        <w:t>、支原体筛查呈阴性</w:t>
      </w:r>
    </w:p>
    <w:p>
      <w:pPr>
        <w:ind w:firstLine="332" w:firstLineChars="100"/>
      </w:pPr>
      <w:r>
        <w:rPr>
          <w:rFonts w:hint="eastAsia"/>
          <w:lang w:val="en-US" w:eastAsia="zh-CN"/>
        </w:rPr>
        <w:t>5</w:t>
      </w:r>
      <w:r>
        <w:rPr>
          <w:rFonts w:hint="eastAsia"/>
        </w:rPr>
        <w:t>、渗透压≥280至≤340 mOsm/Kg</w:t>
      </w:r>
    </w:p>
    <w:p>
      <w:pPr>
        <w:ind w:firstLine="332" w:firstLineChars="100"/>
      </w:pPr>
      <w:r>
        <w:rPr>
          <w:rFonts w:hint="eastAsia"/>
          <w:lang w:val="en-US" w:eastAsia="zh-CN"/>
        </w:rPr>
        <w:t>6</w:t>
      </w:r>
      <w:r>
        <w:rPr>
          <w:rFonts w:hint="eastAsia"/>
        </w:rPr>
        <w:t>、pH ≥</w:t>
      </w:r>
      <w:r>
        <w:t>7</w:t>
      </w:r>
      <w:r>
        <w:rPr>
          <w:rFonts w:hint="eastAsia"/>
        </w:rPr>
        <w:t>至≤</w:t>
      </w:r>
      <w:r>
        <w:t>8</w:t>
      </w:r>
    </w:p>
    <w:p>
      <w:pPr>
        <w:ind w:firstLine="332" w:firstLineChars="100"/>
      </w:pPr>
      <w:r>
        <w:rPr>
          <w:rFonts w:hint="eastAsia"/>
          <w:lang w:val="en-US" w:eastAsia="zh-CN"/>
        </w:rPr>
        <w:t>7</w:t>
      </w:r>
      <w:r>
        <w:rPr>
          <w:rFonts w:hint="eastAsia"/>
        </w:rPr>
        <w:t>、无菌性测试呈阴性</w:t>
      </w:r>
    </w:p>
    <w:p>
      <w:pPr>
        <w:ind w:left="332" w:leftChars="100" w:firstLine="0" w:firstLineChars="0"/>
      </w:pPr>
      <w:r>
        <w:rPr>
          <w:rFonts w:hint="eastAsia"/>
          <w:lang w:val="en-US" w:eastAsia="zh-CN"/>
        </w:rPr>
        <w:t>8</w:t>
      </w:r>
      <w:r>
        <w:rPr>
          <w:rFonts w:hint="eastAsia"/>
        </w:rPr>
        <w:t>、</w:t>
      </w:r>
      <w:r>
        <w:rPr>
          <w:rFonts w:hint="eastAsia" w:ascii="宋体" w:hAnsi="宋体"/>
          <w:color w:val="000000"/>
        </w:rPr>
        <w:t>每个批次的产品测试</w:t>
      </w:r>
      <w:r>
        <w:rPr>
          <w:rFonts w:hint="eastAsia"/>
          <w:color w:val="000000"/>
        </w:rPr>
        <w:t>COA</w:t>
      </w:r>
      <w:r>
        <w:rPr>
          <w:rFonts w:hint="eastAsia" w:ascii="宋体" w:hAnsi="宋体"/>
          <w:color w:val="000000"/>
        </w:rPr>
        <w:t>进行多达</w:t>
      </w:r>
      <w:r>
        <w:rPr>
          <w:rFonts w:hint="eastAsia"/>
          <w:color w:val="000000"/>
        </w:rPr>
        <w:t>90</w:t>
      </w:r>
      <w:r>
        <w:rPr>
          <w:rFonts w:hint="eastAsia" w:ascii="宋体" w:hAnsi="宋体"/>
          <w:color w:val="000000"/>
        </w:rPr>
        <w:t>项质量控制检测，并可提供测试</w:t>
      </w:r>
      <w:r>
        <w:rPr>
          <w:rFonts w:hint="eastAsia"/>
          <w:color w:val="000000"/>
        </w:rPr>
        <w:t>COA。</w:t>
      </w:r>
    </w:p>
    <w:p>
      <w:pPr>
        <w:ind w:firstLine="332" w:firstLineChars="100"/>
      </w:pPr>
      <w:r>
        <w:rPr>
          <w:rFonts w:hint="eastAsia"/>
          <w:lang w:val="en-US" w:eastAsia="zh-CN"/>
        </w:rPr>
        <w:t>9</w:t>
      </w:r>
      <w:r>
        <w:rPr>
          <w:rFonts w:hint="eastAsia"/>
        </w:rPr>
        <w:t>、规格：500ml，</w:t>
      </w:r>
    </w:p>
    <w:p>
      <w:pPr>
        <w:ind w:left="332" w:leftChars="100" w:firstLine="0" w:firstLineChars="0"/>
      </w:pPr>
      <w:r>
        <w:rPr>
          <w:rFonts w:hint="eastAsia"/>
          <w:lang w:val="en-US" w:eastAsia="zh-CN"/>
        </w:rPr>
        <w:t>10</w:t>
      </w:r>
      <w:r>
        <w:rPr>
          <w:rFonts w:hint="eastAsia"/>
        </w:rPr>
        <w:t>、包装采用歪口瓶设计，操作更方便，同时最大限度的防止污染</w:t>
      </w:r>
    </w:p>
    <w:p>
      <w:pPr>
        <w:ind w:firstLine="332" w:firstLineChars="100"/>
      </w:pPr>
      <w:r>
        <w:rPr>
          <w:rFonts w:hint="eastAsia"/>
          <w:lang w:val="en-US" w:eastAsia="zh-CN"/>
        </w:rPr>
        <w:t>11</w:t>
      </w:r>
      <w:r>
        <w:rPr>
          <w:rFonts w:hint="eastAsia"/>
        </w:rPr>
        <w:t>、提供胎牛血清合法的进口证明</w:t>
      </w:r>
    </w:p>
    <w:p>
      <w:pPr>
        <w:ind w:left="332" w:leftChars="100" w:firstLine="0" w:firstLineChars="0"/>
      </w:pPr>
      <w:r>
        <w:rPr>
          <w:rFonts w:hint="eastAsia"/>
          <w:lang w:val="en-US" w:eastAsia="zh-CN"/>
        </w:rPr>
        <w:t>12</w:t>
      </w:r>
      <w:r>
        <w:rPr>
          <w:rFonts w:hint="eastAsia"/>
        </w:rPr>
        <w:t>、运输过程货物须全程-10度以下，且在交货时须提供厂家的质量声明原件。</w:t>
      </w:r>
    </w:p>
    <w:p>
      <w:pPr>
        <w:numPr>
          <w:ilvl w:val="0"/>
          <w:numId w:val="0"/>
        </w:numPr>
        <w:ind w:firstLine="332" w:firstLineChars="100"/>
        <w:rPr>
          <w:rFonts w:hint="eastAsia"/>
        </w:rPr>
      </w:pPr>
      <w:r>
        <w:rPr>
          <w:rFonts w:hint="eastAsia"/>
          <w:lang w:val="en-US" w:eastAsia="zh-CN"/>
        </w:rPr>
        <w:t>13、</w:t>
      </w:r>
      <w:r>
        <w:rPr>
          <w:rFonts w:hint="eastAsia"/>
        </w:rPr>
        <w:t>须提供厂家相关授权证明。</w:t>
      </w:r>
    </w:p>
    <w:p>
      <w:pPr>
        <w:rPr>
          <w:szCs w:val="28"/>
          <w:highlight w:val="none"/>
        </w:rPr>
      </w:pPr>
    </w:p>
    <w:p>
      <w:pPr>
        <w:spacing w:line="340" w:lineRule="exact"/>
        <w:ind w:left="664"/>
        <w:rPr>
          <w:rFonts w:ascii="宋体" w:hAnsi="宋体" w:eastAsia="宋体"/>
          <w:b/>
          <w:bCs/>
          <w:color w:val="FF0000"/>
          <w:sz w:val="21"/>
          <w:szCs w:val="21"/>
          <w:highlight w:val="none"/>
        </w:rPr>
      </w:pPr>
    </w:p>
    <w:p>
      <w:pPr>
        <w:spacing w:line="340" w:lineRule="exact"/>
        <w:ind w:left="664"/>
        <w:rPr>
          <w:rFonts w:ascii="宋体" w:hAnsi="宋体" w:eastAsia="宋体"/>
          <w:b/>
          <w:szCs w:val="28"/>
        </w:rPr>
      </w:pPr>
    </w:p>
    <w:p>
      <w:pPr>
        <w:framePr w:hSpace="180" w:wrap="around" w:vAnchor="text" w:hAnchor="margin" w:y="605"/>
        <w:rPr>
          <w:rFonts w:ascii="宋体" w:hAnsi="宋体" w:eastAsia="宋体"/>
        </w:rPr>
      </w:pPr>
      <w:r>
        <w:rPr>
          <w:rFonts w:hint="eastAsia"/>
          <w:sz w:val="24"/>
        </w:rPr>
        <w:t xml:space="preserve">   </w:t>
      </w:r>
    </w:p>
    <w:p>
      <w:pPr>
        <w:kinsoku w:val="0"/>
        <w:wordWrap w:val="0"/>
        <w:topLinePunct/>
        <w:spacing w:line="360" w:lineRule="auto"/>
        <w:rPr>
          <w:rFonts w:ascii="Arial Narrow" w:hAnsi="Arial Narrow"/>
          <w:b/>
        </w:rPr>
      </w:pPr>
      <w:r>
        <w:rPr>
          <w:rFonts w:hint="eastAsia" w:ascii="Arial Narrow" w:hAnsi="Arial Narrow"/>
          <w:b/>
        </w:rPr>
        <w:t>二、</w:t>
      </w:r>
      <w:r>
        <w:rPr>
          <w:rFonts w:hint="eastAsia" w:ascii="仿宋_GB2312" w:hAnsi="宋体"/>
          <w:b/>
        </w:rPr>
        <w:t>招标货物的质量及售后服务要求</w:t>
      </w:r>
    </w:p>
    <w:p>
      <w:pPr>
        <w:pStyle w:val="11"/>
        <w:kinsoku w:val="0"/>
        <w:wordWrap w:val="0"/>
        <w:topLinePunct/>
        <w:autoSpaceDE/>
        <w:autoSpaceDN/>
        <w:spacing w:line="240" w:lineRule="auto"/>
        <w:ind w:left="1" w:firstLine="367" w:firstLineChars="126"/>
        <w:rPr>
          <w:rFonts w:ascii="宋体" w:hAnsi="宋体" w:eastAsia="宋体"/>
          <w:sz w:val="24"/>
          <w:szCs w:val="24"/>
        </w:rPr>
      </w:pPr>
      <w:r>
        <w:rPr>
          <w:rFonts w:hint="eastAsia" w:ascii="宋体" w:hAnsi="宋体" w:eastAsia="宋体"/>
          <w:sz w:val="24"/>
          <w:szCs w:val="24"/>
        </w:rPr>
        <w:t>1、质量要求：</w:t>
      </w:r>
    </w:p>
    <w:p>
      <w:pPr>
        <w:pStyle w:val="11"/>
        <w:kinsoku w:val="0"/>
        <w:wordWrap w:val="0"/>
        <w:topLinePunct/>
        <w:autoSpaceDE/>
        <w:autoSpaceDN/>
        <w:spacing w:line="240" w:lineRule="auto"/>
        <w:ind w:left="664" w:firstLine="367" w:firstLineChars="126"/>
        <w:rPr>
          <w:rFonts w:ascii="宋体" w:hAnsi="宋体" w:eastAsia="宋体"/>
          <w:sz w:val="24"/>
          <w:szCs w:val="24"/>
        </w:rPr>
      </w:pPr>
      <w:r>
        <w:rPr>
          <w:rFonts w:hint="eastAsia" w:ascii="宋体" w:hAnsi="宋体" w:eastAsia="宋体"/>
          <w:sz w:val="24"/>
          <w:szCs w:val="24"/>
        </w:rPr>
        <w:t>投标人必须提供品牌厂家原装进口产品，其产品符合国家有关进口产品规定，属于正规进口血清产品。产品质量性能需达到上述招标技术要求。</w:t>
      </w:r>
    </w:p>
    <w:p>
      <w:pPr>
        <w:pStyle w:val="11"/>
        <w:kinsoku w:val="0"/>
        <w:wordWrap w:val="0"/>
        <w:topLinePunct/>
        <w:autoSpaceDE/>
        <w:autoSpaceDN/>
        <w:spacing w:line="240" w:lineRule="auto"/>
        <w:ind w:firstLine="367" w:firstLineChars="126"/>
        <w:rPr>
          <w:rFonts w:ascii="宋体" w:hAnsi="宋体" w:eastAsia="宋体"/>
          <w:sz w:val="24"/>
          <w:szCs w:val="24"/>
        </w:rPr>
      </w:pPr>
      <w:r>
        <w:rPr>
          <w:rFonts w:hint="eastAsia" w:ascii="宋体" w:hAnsi="宋体" w:eastAsia="宋体"/>
          <w:sz w:val="24"/>
          <w:szCs w:val="24"/>
        </w:rPr>
        <w:t xml:space="preserve">  2、售后服务要求：</w:t>
      </w:r>
    </w:p>
    <w:p>
      <w:pPr>
        <w:pStyle w:val="11"/>
        <w:kinsoku w:val="0"/>
        <w:wordWrap w:val="0"/>
        <w:topLinePunct/>
        <w:autoSpaceDE/>
        <w:autoSpaceDN/>
        <w:spacing w:line="240" w:lineRule="auto"/>
        <w:ind w:left="667" w:leftChars="201" w:firstLine="0" w:firstLineChars="0"/>
        <w:rPr>
          <w:rFonts w:ascii="宋体" w:hAnsi="宋体" w:eastAsia="宋体"/>
          <w:sz w:val="24"/>
          <w:szCs w:val="24"/>
        </w:rPr>
      </w:pPr>
      <w:r>
        <w:rPr>
          <w:rFonts w:hint="eastAsia" w:ascii="宋体" w:hAnsi="宋体" w:eastAsia="宋体"/>
          <w:sz w:val="24"/>
          <w:szCs w:val="24"/>
        </w:rPr>
        <w:t>供应商发货应提前通知用户，供应商保证血清产品的运输安全和可靠性，用户验收产品如发现运输中产品保存温度不达标，有权拒绝验收。</w:t>
      </w:r>
    </w:p>
    <w:p>
      <w:pPr>
        <w:pStyle w:val="11"/>
        <w:kinsoku w:val="0"/>
        <w:wordWrap w:val="0"/>
        <w:topLinePunct/>
        <w:autoSpaceDE/>
        <w:autoSpaceDN/>
        <w:spacing w:line="240" w:lineRule="auto"/>
        <w:ind w:left="667" w:leftChars="201" w:firstLine="394" w:firstLineChars="135"/>
        <w:rPr>
          <w:rFonts w:ascii="仿宋_GB2312" w:hAnsi="宋体" w:eastAsia="仿宋_GB2312"/>
          <w:sz w:val="24"/>
          <w:szCs w:val="24"/>
        </w:rPr>
      </w:pPr>
    </w:p>
    <w:p>
      <w:pPr>
        <w:pStyle w:val="11"/>
        <w:kinsoku w:val="0"/>
        <w:wordWrap w:val="0"/>
        <w:topLinePunct/>
        <w:autoSpaceDE/>
        <w:autoSpaceDN/>
        <w:spacing w:line="240" w:lineRule="auto"/>
        <w:ind w:firstLine="0" w:firstLineChars="0"/>
        <w:rPr>
          <w:rFonts w:ascii="仿宋_GB2312" w:hAnsi="宋体" w:eastAsia="仿宋_GB2312"/>
          <w:sz w:val="21"/>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u w:val="single"/>
        </w:rPr>
        <w:t xml:space="preserve">       </w:t>
      </w:r>
      <w:r>
        <w:rPr>
          <w:rFonts w:hint="eastAsia" w:ascii="宋体" w:hAnsi="宋体" w:eastAsia="宋体"/>
          <w:b/>
          <w:sz w:val="32"/>
        </w:rPr>
        <w:t>合同（</w:t>
      </w:r>
      <w:r>
        <w:rPr>
          <w:rFonts w:hint="eastAsia" w:ascii="宋体" w:hAnsi="宋体" w:eastAsia="宋体"/>
          <w:b/>
          <w:sz w:val="32"/>
          <w:lang w:eastAsia="zh-CN"/>
        </w:rPr>
        <w:t>参考</w:t>
      </w:r>
      <w:r>
        <w:rPr>
          <w:rFonts w:hint="eastAsia" w:ascii="宋体" w:hAnsi="宋体" w:eastAsia="宋体"/>
          <w:b/>
          <w:sz w:val="32"/>
        </w:rPr>
        <w:t>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kinsoku w:val="0"/>
        <w:wordWrap w:val="0"/>
        <w:topLinePunct/>
        <w:spacing w:line="340" w:lineRule="exact"/>
        <w:rPr>
          <w:rFonts w:ascii="仿宋_GB2312" w:hAnsi="宋体"/>
          <w:sz w:val="24"/>
        </w:rPr>
      </w:pPr>
    </w:p>
    <w:p>
      <w:pPr>
        <w:keepNext w:val="0"/>
        <w:keepLines w:val="0"/>
        <w:pageBreakBefore w:val="0"/>
        <w:widowControl w:val="0"/>
        <w:kinsoku w:val="0"/>
        <w:wordWrap w:val="0"/>
        <w:overflowPunct/>
        <w:topLinePunct/>
        <w:autoSpaceDE/>
        <w:autoSpaceDN/>
        <w:bidi w:val="0"/>
        <w:adjustRightInd/>
        <w:snapToGrid/>
        <w:spacing w:line="340" w:lineRule="exact"/>
        <w:textAlignment w:val="auto"/>
        <w:rPr>
          <w:rFonts w:ascii="仿宋_GB2312" w:hAnsi="宋体"/>
          <w:sz w:val="21"/>
        </w:rPr>
      </w:pPr>
      <w:r>
        <w:rPr>
          <w:rFonts w:ascii="仿宋_GB2312" w:hAnsi="宋体"/>
          <w:sz w:val="24"/>
        </w:rPr>
        <w:t xml:space="preserve">    </w:t>
      </w:r>
      <w:r>
        <w:rPr>
          <w:rFonts w:hint="eastAsia" w:ascii="仿宋_GB2312" w:hAnsi="宋体"/>
          <w:sz w:val="21"/>
        </w:rPr>
        <w:t>根据《中华人民共和国</w:t>
      </w:r>
      <w:r>
        <w:rPr>
          <w:rFonts w:hint="eastAsia" w:ascii="仿宋_GB2312" w:hAnsi="宋体"/>
          <w:sz w:val="21"/>
          <w:lang w:eastAsia="zh-CN"/>
        </w:rPr>
        <w:t>民法典</w:t>
      </w:r>
      <w:r>
        <w:rPr>
          <w:rFonts w:hint="eastAsia" w:ascii="仿宋_GB2312" w:hAnsi="宋体"/>
          <w:sz w:val="21"/>
        </w:rPr>
        <w:t>》及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w:t>
      </w:r>
      <w:r>
        <w:rPr>
          <w:rFonts w:hint="eastAsia" w:ascii="仿宋_GB2312" w:hAnsi="宋体"/>
          <w:sz w:val="21"/>
          <w:lang w:eastAsia="zh-CN"/>
        </w:rPr>
        <w:t>此</w:t>
      </w:r>
      <w:r>
        <w:rPr>
          <w:rFonts w:hint="eastAsia" w:ascii="仿宋_GB2312" w:hAnsi="宋体"/>
          <w:sz w:val="21"/>
        </w:rPr>
        <w:t>文件产生的中标结果</w:t>
      </w:r>
      <w:r>
        <w:rPr>
          <w:rFonts w:hint="eastAsia" w:ascii="仿宋_GB2312" w:hAnsi="宋体"/>
          <w:sz w:val="21"/>
          <w:lang w:val="en-US" w:eastAsia="zh-CN"/>
        </w:rPr>
        <w:t>/</w:t>
      </w:r>
      <w:r>
        <w:rPr>
          <w:rFonts w:hint="eastAsia" w:ascii="仿宋_GB2312" w:hAnsi="宋体"/>
          <w:sz w:val="21"/>
        </w:rPr>
        <w:t>根据《中华人民共和国</w:t>
      </w:r>
      <w:r>
        <w:rPr>
          <w:rFonts w:hint="eastAsia" w:ascii="仿宋_GB2312" w:hAnsi="宋体"/>
          <w:sz w:val="21"/>
          <w:lang w:eastAsia="zh-CN"/>
        </w:rPr>
        <w:t>民法典</w:t>
      </w:r>
      <w:r>
        <w:rPr>
          <w:rFonts w:hint="eastAsia" w:ascii="仿宋_GB2312" w:hAnsi="宋体"/>
          <w:sz w:val="21"/>
        </w:rPr>
        <w:t>》及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仿宋_GB2312" w:hAnsi="宋体"/>
          <w:sz w:val="21"/>
          <w:lang w:eastAsia="zh-CN"/>
        </w:rPr>
        <w:t>全国高校竞价网</w:t>
      </w:r>
      <w:r>
        <w:rPr>
          <w:rFonts w:hint="eastAsia" w:ascii="华文仿宋" w:hAnsi="华文仿宋" w:eastAsia="华文仿宋"/>
          <w:sz w:val="21"/>
          <w:lang w:eastAsia="zh-CN"/>
        </w:rPr>
        <w:t>网上竞价编号</w:t>
      </w:r>
      <w:r>
        <w:rPr>
          <w:rFonts w:hint="eastAsia" w:ascii="华文仿宋" w:hAnsi="华文仿宋" w:eastAsia="华文仿宋"/>
          <w:sz w:val="21"/>
        </w:rPr>
        <w:t>______</w:t>
      </w:r>
      <w:r>
        <w:rPr>
          <w:rFonts w:hint="eastAsia" w:ascii="仿宋_GB2312" w:hAnsi="宋体"/>
          <w:sz w:val="21"/>
        </w:rPr>
        <w:t>”产生的中标结果，经甲、乙双方平等协商，签订本合同。</w:t>
      </w:r>
    </w:p>
    <w:p>
      <w:pPr>
        <w:kinsoku w:val="0"/>
        <w:wordWrap w:val="0"/>
        <w:topLinePunct/>
        <w:spacing w:line="340" w:lineRule="exact"/>
        <w:rPr>
          <w:rFonts w:ascii="仿宋_GB2312" w:hAnsi="宋体"/>
          <w:sz w:val="21"/>
        </w:rPr>
      </w:pPr>
    </w:p>
    <w:p>
      <w:pPr>
        <w:numPr>
          <w:ilvl w:val="0"/>
          <w:numId w:val="9"/>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9"/>
        </w:numPr>
        <w:kinsoku w:val="0"/>
        <w:wordWrap w:val="0"/>
        <w:topLinePunct/>
        <w:spacing w:line="340" w:lineRule="exact"/>
        <w:rPr>
          <w:rFonts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ascii="仿宋_GB2312" w:hAnsi="宋体"/>
          <w:b/>
          <w:sz w:val="21"/>
        </w:rPr>
      </w:pPr>
      <w:r>
        <w:rPr>
          <w:rFonts w:hint="eastAsia" w:ascii="仿宋_GB2312" w:hAnsi="宋体"/>
          <w:b/>
          <w:sz w:val="21"/>
        </w:rPr>
        <w:t>1、服务报价：</w:t>
      </w:r>
    </w:p>
    <w:tbl>
      <w:tblPr>
        <w:tblStyle w:val="22"/>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bl>
    <w:p>
      <w:pPr>
        <w:kinsoku w:val="0"/>
        <w:wordWrap w:val="0"/>
        <w:topLinePunct/>
        <w:spacing w:line="340" w:lineRule="exact"/>
        <w:rPr>
          <w:rFonts w:ascii="仿宋_GB2312" w:hAnsi="宋体"/>
          <w:b/>
          <w:sz w:val="21"/>
        </w:rPr>
      </w:pPr>
      <w:r>
        <w:rPr>
          <w:rFonts w:hint="eastAsia" w:ascii="仿宋_GB2312" w:hAnsi="宋体"/>
          <w:b/>
          <w:sz w:val="21"/>
        </w:rPr>
        <w:t xml:space="preserve">     2.设备报价</w:t>
      </w:r>
    </w:p>
    <w:p>
      <w:pPr>
        <w:kinsoku w:val="0"/>
        <w:wordWrap w:val="0"/>
        <w:topLinePunct/>
        <w:spacing w:line="340" w:lineRule="exact"/>
        <w:rPr>
          <w:rFonts w:ascii="仿宋_GB2312" w:hAnsi="宋体"/>
          <w:b/>
          <w:sz w:val="21"/>
        </w:rPr>
      </w:pPr>
      <w:r>
        <w:rPr>
          <w:rFonts w:hint="eastAsia" w:ascii="仿宋_GB2312" w:hAnsi="宋体"/>
          <w:b/>
          <w:sz w:val="21"/>
        </w:rPr>
        <w:t xml:space="preserve">     </w:t>
      </w:r>
    </w:p>
    <w:tbl>
      <w:tblPr>
        <w:tblStyle w:val="22"/>
        <w:tblW w:w="0" w:type="auto"/>
        <w:tblInd w:w="692" w:type="dxa"/>
        <w:tblLayout w:type="fixed"/>
        <w:tblCellMar>
          <w:top w:w="0" w:type="dxa"/>
          <w:left w:w="28" w:type="dxa"/>
          <w:bottom w:w="0" w:type="dxa"/>
          <w:right w:w="28" w:type="dxa"/>
        </w:tblCellMar>
      </w:tblPr>
      <w:tblGrid>
        <w:gridCol w:w="1328"/>
        <w:gridCol w:w="1031"/>
        <w:gridCol w:w="1173"/>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货物名称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型号</w:t>
            </w:r>
          </w:p>
        </w:tc>
        <w:tc>
          <w:tcPr>
            <w:tcW w:w="117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厂家及</w:t>
            </w:r>
          </w:p>
          <w:p>
            <w:pPr>
              <w:kinsoku w:val="0"/>
              <w:wordWrap w:val="0"/>
              <w:topLinePunct/>
              <w:spacing w:line="340" w:lineRule="exact"/>
              <w:jc w:val="center"/>
              <w:rPr>
                <w:rFonts w:ascii="仿宋_GB2312" w:hAnsi="宋体"/>
                <w:sz w:val="21"/>
              </w:rPr>
            </w:pPr>
            <w:r>
              <w:rPr>
                <w:rFonts w:hint="eastAsia" w:ascii="仿宋_GB2312" w:hAnsi="宋体"/>
                <w:sz w:val="21"/>
              </w:rPr>
              <w:t>产地</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随机配件</w:t>
            </w:r>
          </w:p>
          <w:p>
            <w:pPr>
              <w:kinsoku w:val="0"/>
              <w:wordWrap w:val="0"/>
              <w:topLinePunct/>
              <w:spacing w:line="340" w:lineRule="exact"/>
              <w:jc w:val="center"/>
              <w:rPr>
                <w:rFonts w:ascii="仿宋_GB2312" w:hAnsi="宋体"/>
                <w:sz w:val="21"/>
              </w:rPr>
            </w:pPr>
            <w:r>
              <w:rPr>
                <w:rFonts w:hint="eastAsia" w:ascii="仿宋_GB2312" w:hAnsi="宋体"/>
                <w:sz w:val="21"/>
              </w:rPr>
              <w:t>(备用)工具</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rPr>
          <w:cantSplit/>
        </w:trPr>
        <w:tc>
          <w:tcPr>
            <w:tcW w:w="8798" w:type="dxa"/>
            <w:gridSpan w:val="8"/>
            <w:tcBorders>
              <w:top w:val="single" w:color="auto" w:sz="6" w:space="0"/>
              <w:left w:val="single" w:color="auto" w:sz="12" w:space="0"/>
              <w:bottom w:val="single" w:color="auto" w:sz="12" w:space="0"/>
              <w:right w:val="single" w:color="auto" w:sz="12" w:space="0"/>
            </w:tcBorders>
          </w:tcPr>
          <w:p>
            <w:pPr>
              <w:kinsoku w:val="0"/>
              <w:wordWrap w:val="0"/>
              <w:topLinePunct/>
              <w:spacing w:line="340" w:lineRule="exact"/>
              <w:rPr>
                <w:rFonts w:ascii="仿宋_GB2312" w:hAnsi="宋体"/>
                <w:sz w:val="21"/>
              </w:rPr>
            </w:pPr>
            <w:r>
              <w:rPr>
                <w:rFonts w:hint="eastAsia" w:ascii="仿宋_GB2312" w:hAnsi="宋体"/>
                <w:sz w:val="21"/>
              </w:rPr>
              <w:t>总金额（人民币）：</w:t>
            </w:r>
          </w:p>
        </w:tc>
      </w:tr>
    </w:tbl>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r>
        <w:rPr>
          <w:rFonts w:hint="eastAsia" w:ascii="仿宋_GB2312" w:hAnsi="宋体"/>
          <w:b/>
          <w:sz w:val="21"/>
        </w:rPr>
        <w:t>三. 设备质量要求及供方对质量负责的条件和期限（服务类项目由用户另行指定）：</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tabs>
          <w:tab w:val="left" w:pos="0"/>
        </w:tabs>
        <w:kinsoku w:val="0"/>
        <w:wordWrap w:val="0"/>
        <w:topLinePunct/>
        <w:spacing w:line="340" w:lineRule="exact"/>
        <w:ind w:left="498"/>
        <w:rPr>
          <w:rFonts w:ascii="仿宋_GB2312" w:hAnsi="宋体"/>
          <w:sz w:val="21"/>
        </w:rPr>
      </w:pPr>
    </w:p>
    <w:p>
      <w:pPr>
        <w:kinsoku w:val="0"/>
        <w:wordWrap w:val="0"/>
        <w:topLinePunct/>
        <w:spacing w:line="340" w:lineRule="exact"/>
        <w:ind w:left="567" w:hanging="567"/>
        <w:rPr>
          <w:rFonts w:ascii="仿宋_GB2312" w:hAnsi="宋体"/>
          <w:b/>
          <w:sz w:val="21"/>
        </w:rPr>
      </w:pPr>
      <w:r>
        <w:rPr>
          <w:rFonts w:hint="eastAsia" w:ascii="仿宋_GB2312" w:hAnsi="宋体"/>
          <w:b/>
          <w:sz w:val="21"/>
        </w:rPr>
        <w:t>四. 交货及验收（服务类项目由用户另行指定）：</w:t>
      </w:r>
    </w:p>
    <w:p>
      <w:pPr>
        <w:numPr>
          <w:ilvl w:val="0"/>
          <w:numId w:val="11"/>
        </w:numPr>
        <w:tabs>
          <w:tab w:val="left" w:pos="0"/>
        </w:tabs>
        <w:kinsoku w:val="0"/>
        <w:wordWrap w:val="0"/>
        <w:topLinePunct/>
        <w:spacing w:line="340" w:lineRule="exact"/>
        <w:ind w:left="830" w:hanging="332"/>
        <w:rPr>
          <w:rFonts w:ascii="仿宋_GB2312"/>
          <w:sz w:val="21"/>
        </w:rPr>
      </w:pPr>
      <w:r>
        <w:rPr>
          <w:rFonts w:hint="eastAsia" w:ascii="仿宋_GB2312"/>
          <w:sz w:val="21"/>
        </w:rPr>
        <w:t>竣工时间：合同签定后20天内。</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1"/>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kinsoku w:val="0"/>
        <w:wordWrap w:val="0"/>
        <w:topLinePunct/>
        <w:spacing w:line="340" w:lineRule="exact"/>
        <w:ind w:left="567" w:hanging="567"/>
        <w:rPr>
          <w:rFonts w:ascii="仿宋_GB2312" w:hAnsi="宋体"/>
          <w:b/>
          <w:sz w:val="21"/>
        </w:rPr>
      </w:pPr>
      <w:r>
        <w:rPr>
          <w:rFonts w:hint="eastAsia" w:ascii="仿宋_GB2312" w:hAnsi="宋体"/>
          <w:b/>
          <w:sz w:val="21"/>
        </w:rPr>
        <w:t>五. 付款：</w:t>
      </w:r>
    </w:p>
    <w:p>
      <w:pPr>
        <w:kinsoku w:val="0"/>
        <w:wordWrap w:val="0"/>
        <w:topLinePunct/>
        <w:spacing w:line="340" w:lineRule="exact"/>
        <w:ind w:left="498" w:leftChars="150" w:firstLine="498"/>
        <w:rPr>
          <w:sz w:val="21"/>
        </w:rPr>
      </w:pPr>
      <w:r>
        <w:rPr>
          <w:rFonts w:hint="eastAsia"/>
          <w:sz w:val="21"/>
        </w:rPr>
        <w:t>货物或服务验收合格后一星期内付清全款。</w:t>
      </w:r>
    </w:p>
    <w:p>
      <w:pPr>
        <w:kinsoku w:val="0"/>
        <w:wordWrap w:val="0"/>
        <w:topLinePunct/>
        <w:spacing w:line="340" w:lineRule="exact"/>
        <w:ind w:left="567" w:hanging="567"/>
        <w:rPr>
          <w:rFonts w:ascii="仿宋_GB2312" w:hAnsi="宋体"/>
          <w:b/>
          <w:sz w:val="21"/>
        </w:rPr>
      </w:pPr>
      <w:r>
        <w:rPr>
          <w:rFonts w:hint="eastAsia" w:ascii="仿宋_GB2312" w:hAnsi="宋体"/>
          <w:b/>
          <w:sz w:val="21"/>
        </w:rPr>
        <w:t>六. 违约责任（服务类项目由用户另行指定）：</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供方未能交付设备，则向需方支付设备总金额5%的违约金。</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供方交付的设备不符合合同规定的，需方有权拒收，供方向需方支付货款总金额5%的违约金。</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需方无正当理由拒收设备，拒付货款的，需方向供方偿付设备总金额5%的违约金。</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需方逾期付款，则每日按合同总额3‰向供方偿付违约金。</w:t>
      </w:r>
    </w:p>
    <w:p>
      <w:pPr>
        <w:numPr>
          <w:ilvl w:val="0"/>
          <w:numId w:val="13"/>
        </w:numPr>
        <w:tabs>
          <w:tab w:val="left" w:pos="0"/>
          <w:tab w:val="left" w:pos="425"/>
        </w:tabs>
        <w:kinsoku w:val="0"/>
        <w:wordWrap w:val="0"/>
        <w:topLinePunct/>
        <w:spacing w:line="340" w:lineRule="exact"/>
        <w:ind w:left="830" w:hanging="332"/>
        <w:rPr>
          <w:rFonts w:ascii="仿宋_GB2312" w:hAnsi="宋体"/>
          <w:sz w:val="21"/>
        </w:rPr>
      </w:pP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3"/>
        <w:kinsoku w:val="0"/>
        <w:wordWrap w:val="0"/>
        <w:spacing w:line="340" w:lineRule="exact"/>
        <w:ind w:left="498" w:leftChars="150" w:firstLine="332"/>
        <w:rPr>
          <w:rFonts w:hint="eastAsia"/>
          <w:sz w:val="21"/>
        </w:rPr>
      </w:pPr>
      <w:r>
        <w:rPr>
          <w:rFonts w:hint="eastAsia"/>
          <w:sz w:val="21"/>
        </w:rPr>
        <w:t>本合同发生争议，由双方协商或调解解决，协商或调解不成时向签订合同</w:t>
      </w:r>
      <w:r>
        <w:rPr>
          <w:rFonts w:hint="eastAsia"/>
          <w:sz w:val="21"/>
          <w:lang w:eastAsia="zh-CN"/>
        </w:rPr>
        <w:t>甲方</w:t>
      </w:r>
      <w:r>
        <w:rPr>
          <w:rFonts w:hint="eastAsia"/>
          <w:sz w:val="21"/>
        </w:rPr>
        <w:t>所在地人民法院起诉。</w:t>
      </w:r>
    </w:p>
    <w:p>
      <w:pPr>
        <w:pStyle w:val="13"/>
        <w:kinsoku w:val="0"/>
        <w:wordWrap w:val="0"/>
        <w:spacing w:line="340" w:lineRule="exact"/>
        <w:ind w:left="0" w:leftChars="0" w:firstLine="0" w:firstLineChars="0"/>
        <w:rPr>
          <w:rFonts w:hint="default" w:asciiTheme="majorEastAsia" w:hAnsiTheme="majorEastAsia" w:eastAsiaTheme="majorEastAsia" w:cstheme="majorEastAsia"/>
          <w:sz w:val="21"/>
          <w:lang w:val="en-US" w:eastAsia="zh-CN"/>
        </w:rPr>
      </w:pPr>
      <w:r>
        <w:rPr>
          <w:rFonts w:hint="eastAsia"/>
          <w:sz w:val="21"/>
          <w:lang w:val="en-US" w:eastAsia="zh-CN"/>
        </w:rPr>
        <w:t>十．本合同一式     份，双方各持     份，具有同等法律效力。</w:t>
      </w:r>
    </w:p>
    <w:p>
      <w:pPr>
        <w:kinsoku w:val="0"/>
        <w:wordWrap w:val="0"/>
        <w:topLinePunct/>
        <w:spacing w:line="340" w:lineRule="exact"/>
        <w:jc w:val="right"/>
        <w:rPr>
          <w:rFonts w:ascii="仿宋_GB2312" w:hAnsi="宋体"/>
          <w:sz w:val="21"/>
        </w:rPr>
      </w:pPr>
      <w:r>
        <w:rPr>
          <w:rFonts w:ascii="仿宋_GB2312" w:hAnsi="宋体"/>
          <w:sz w:val="21"/>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甲方（盖章）：汕头大学医学院</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 xml:space="preserve">乙方（盖章）：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地址：汕头市金平区新陵路22号</w:t>
            </w:r>
          </w:p>
        </w:tc>
        <w:tc>
          <w:tcPr>
            <w:tcW w:w="4986" w:type="dxa"/>
            <w:vAlign w:val="center"/>
          </w:tcPr>
          <w:p>
            <w:pPr>
              <w:snapToGrid w:val="0"/>
              <w:spacing w:line="276" w:lineRule="auto"/>
              <w:jc w:val="left"/>
              <w:rPr>
                <w:rFonts w:hint="eastAsia" w:ascii="仿宋" w:hAnsi="仿宋" w:eastAsia="仿宋" w:cs="仿宋"/>
                <w:sz w:val="18"/>
                <w:szCs w:val="18"/>
              </w:rPr>
            </w:pPr>
            <w:r>
              <w:rPr>
                <w:rFonts w:hint="eastAsia" w:ascii="仿宋" w:hAnsi="仿宋" w:eastAsia="仿宋" w:cs="仿宋"/>
                <w:sz w:val="18"/>
                <w:szCs w:val="18"/>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法定代表人： 谭学瑞</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委托代理人：</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电话：0754-88900477</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传真：0754-88900305</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邮政编码：515041</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开户银行：中行嘉泰支行</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开户帐号：7055 5774 4822</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开户帐号：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统一社会信用代码：12440000455861456K</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签订日期：       年     月     日</w:t>
            </w:r>
          </w:p>
        </w:tc>
        <w:tc>
          <w:tcPr>
            <w:tcW w:w="4986"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签订日期：       年     月     日</w:t>
            </w:r>
          </w:p>
        </w:tc>
      </w:tr>
    </w:tbl>
    <w:p/>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试剂技术参数一览表；</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我们愿意遵守招标人招标文件中的各项规定，供应符合“技术规范”所要求的试剂，投标总报价为：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p>
      <w:pPr>
        <w:kinsoku w:val="0"/>
        <w:wordWrap w:val="0"/>
        <w:topLinePunct/>
        <w:spacing w:after="180"/>
        <w:ind w:left="332" w:leftChars="100"/>
        <w:rPr>
          <w:rFonts w:ascii="仿宋_GB2312" w:hAnsi="宋体"/>
          <w:sz w:val="24"/>
        </w:rPr>
      </w:pPr>
      <w:r>
        <w:rPr>
          <w:rFonts w:hint="eastAsia" w:ascii="仿宋_GB2312" w:hAnsi="宋体"/>
          <w:sz w:val="24"/>
        </w:rPr>
        <w:t xml:space="preserve">  5. 厂家相关授权证明。</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3DB15CEB"/>
    <w:multiLevelType w:val="multilevel"/>
    <w:tmpl w:val="3DB15CEB"/>
    <w:lvl w:ilvl="0" w:tentative="0">
      <w:start w:val="1"/>
      <w:numFmt w:val="japaneseCounting"/>
      <w:lvlText w:val="%1．"/>
      <w:lvlJc w:val="left"/>
      <w:pPr>
        <w:tabs>
          <w:tab w:val="left" w:pos="1384"/>
        </w:tabs>
        <w:ind w:left="1384" w:hanging="720"/>
      </w:pPr>
      <w:rPr>
        <w:rFonts w:hint="default"/>
        <w:b w:val="0"/>
        <w:sz w:val="28"/>
      </w:rPr>
    </w:lvl>
    <w:lvl w:ilvl="1" w:tentative="0">
      <w:start w:val="1"/>
      <w:numFmt w:val="lowerLetter"/>
      <w:lvlText w:val="%2)"/>
      <w:lvlJc w:val="left"/>
      <w:pPr>
        <w:tabs>
          <w:tab w:val="left" w:pos="1504"/>
        </w:tabs>
        <w:ind w:left="1504" w:hanging="420"/>
      </w:pPr>
    </w:lvl>
    <w:lvl w:ilvl="2" w:tentative="0">
      <w:start w:val="1"/>
      <w:numFmt w:val="lowerRoman"/>
      <w:lvlText w:val="%3."/>
      <w:lvlJc w:val="right"/>
      <w:pPr>
        <w:tabs>
          <w:tab w:val="left" w:pos="1924"/>
        </w:tabs>
        <w:ind w:left="1924" w:hanging="420"/>
      </w:pPr>
    </w:lvl>
    <w:lvl w:ilvl="3" w:tentative="0">
      <w:start w:val="1"/>
      <w:numFmt w:val="decimal"/>
      <w:lvlText w:val="%4."/>
      <w:lvlJc w:val="left"/>
      <w:pPr>
        <w:tabs>
          <w:tab w:val="left" w:pos="2344"/>
        </w:tabs>
        <w:ind w:left="2344" w:hanging="420"/>
      </w:pPr>
    </w:lvl>
    <w:lvl w:ilvl="4" w:tentative="0">
      <w:start w:val="1"/>
      <w:numFmt w:val="lowerLetter"/>
      <w:lvlText w:val="%5)"/>
      <w:lvlJc w:val="left"/>
      <w:pPr>
        <w:tabs>
          <w:tab w:val="left" w:pos="2764"/>
        </w:tabs>
        <w:ind w:left="2764" w:hanging="420"/>
      </w:pPr>
    </w:lvl>
    <w:lvl w:ilvl="5" w:tentative="0">
      <w:start w:val="1"/>
      <w:numFmt w:val="lowerRoman"/>
      <w:lvlText w:val="%6."/>
      <w:lvlJc w:val="right"/>
      <w:pPr>
        <w:tabs>
          <w:tab w:val="left" w:pos="3184"/>
        </w:tabs>
        <w:ind w:left="3184" w:hanging="420"/>
      </w:pPr>
    </w:lvl>
    <w:lvl w:ilvl="6" w:tentative="0">
      <w:start w:val="1"/>
      <w:numFmt w:val="decimal"/>
      <w:lvlText w:val="%7."/>
      <w:lvlJc w:val="left"/>
      <w:pPr>
        <w:tabs>
          <w:tab w:val="left" w:pos="3604"/>
        </w:tabs>
        <w:ind w:left="3604" w:hanging="420"/>
      </w:pPr>
    </w:lvl>
    <w:lvl w:ilvl="7" w:tentative="0">
      <w:start w:val="1"/>
      <w:numFmt w:val="lowerLetter"/>
      <w:lvlText w:val="%8)"/>
      <w:lvlJc w:val="left"/>
      <w:pPr>
        <w:tabs>
          <w:tab w:val="left" w:pos="4024"/>
        </w:tabs>
        <w:ind w:left="4024" w:hanging="420"/>
      </w:pPr>
    </w:lvl>
    <w:lvl w:ilvl="8" w:tentative="0">
      <w:start w:val="1"/>
      <w:numFmt w:val="lowerRoman"/>
      <w:lvlText w:val="%9."/>
      <w:lvlJc w:val="right"/>
      <w:pPr>
        <w:tabs>
          <w:tab w:val="left" w:pos="4444"/>
        </w:tabs>
        <w:ind w:left="4444" w:hanging="420"/>
      </w:pPr>
    </w:lvl>
  </w:abstractNum>
  <w:abstractNum w:abstractNumId="3">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4">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5">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6">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8">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0">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1">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2">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11"/>
  </w:num>
  <w:num w:numId="2">
    <w:abstractNumId w:val="4"/>
  </w:num>
  <w:num w:numId="3">
    <w:abstractNumId w:val="0"/>
  </w:num>
  <w:num w:numId="4">
    <w:abstractNumId w:val="3"/>
  </w:num>
  <w:num w:numId="5">
    <w:abstractNumId w:val="7"/>
  </w:num>
  <w:num w:numId="6">
    <w:abstractNumId w:val="10"/>
  </w:num>
  <w:num w:numId="7">
    <w:abstractNumId w:val="1"/>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9"/>
    <w:lvlOverride w:ilvl="0">
      <w:startOverride w:val="1"/>
    </w:lvlOverride>
  </w:num>
  <w:num w:numId="12">
    <w:abstractNumId w:val="12"/>
    <w:lvlOverride w:ilvl="0">
      <w:startOverride w:val="1"/>
    </w:lvlOverride>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28E"/>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42A6"/>
    <w:rsid w:val="000A77AB"/>
    <w:rsid w:val="000B6AED"/>
    <w:rsid w:val="000C16D3"/>
    <w:rsid w:val="000C3941"/>
    <w:rsid w:val="000C3B61"/>
    <w:rsid w:val="000C7F51"/>
    <w:rsid w:val="000D470E"/>
    <w:rsid w:val="000D5D0B"/>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944F3"/>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31D1"/>
    <w:rsid w:val="001F7EAA"/>
    <w:rsid w:val="0020285D"/>
    <w:rsid w:val="002077D4"/>
    <w:rsid w:val="00213925"/>
    <w:rsid w:val="00213E67"/>
    <w:rsid w:val="00217630"/>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33E3"/>
    <w:rsid w:val="00361561"/>
    <w:rsid w:val="00362A1D"/>
    <w:rsid w:val="00364C94"/>
    <w:rsid w:val="003665E8"/>
    <w:rsid w:val="00367CCA"/>
    <w:rsid w:val="00370198"/>
    <w:rsid w:val="003707A2"/>
    <w:rsid w:val="00370A1A"/>
    <w:rsid w:val="00382F1B"/>
    <w:rsid w:val="003832A1"/>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217F"/>
    <w:rsid w:val="00453283"/>
    <w:rsid w:val="004546DC"/>
    <w:rsid w:val="0046041C"/>
    <w:rsid w:val="004605AF"/>
    <w:rsid w:val="00462106"/>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D035D"/>
    <w:rsid w:val="004D2F20"/>
    <w:rsid w:val="004D7ED7"/>
    <w:rsid w:val="004E04F6"/>
    <w:rsid w:val="004F1E00"/>
    <w:rsid w:val="004F2003"/>
    <w:rsid w:val="004F2B8D"/>
    <w:rsid w:val="004F471E"/>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61BF"/>
    <w:rsid w:val="00547A85"/>
    <w:rsid w:val="005506A5"/>
    <w:rsid w:val="00550E7D"/>
    <w:rsid w:val="00551500"/>
    <w:rsid w:val="00557CBB"/>
    <w:rsid w:val="00560062"/>
    <w:rsid w:val="0057042D"/>
    <w:rsid w:val="00570682"/>
    <w:rsid w:val="00573CF8"/>
    <w:rsid w:val="0057407B"/>
    <w:rsid w:val="00576E99"/>
    <w:rsid w:val="005822AA"/>
    <w:rsid w:val="00583525"/>
    <w:rsid w:val="00590573"/>
    <w:rsid w:val="00590B41"/>
    <w:rsid w:val="00591B71"/>
    <w:rsid w:val="00593ECB"/>
    <w:rsid w:val="00594A03"/>
    <w:rsid w:val="00597C83"/>
    <w:rsid w:val="005A27E5"/>
    <w:rsid w:val="005A2815"/>
    <w:rsid w:val="005A32CE"/>
    <w:rsid w:val="005A5D53"/>
    <w:rsid w:val="005A727F"/>
    <w:rsid w:val="005B2632"/>
    <w:rsid w:val="005B3071"/>
    <w:rsid w:val="005B4D42"/>
    <w:rsid w:val="005B6E36"/>
    <w:rsid w:val="005C347F"/>
    <w:rsid w:val="005D0136"/>
    <w:rsid w:val="005D0306"/>
    <w:rsid w:val="005D14F6"/>
    <w:rsid w:val="005D182A"/>
    <w:rsid w:val="005D3FE5"/>
    <w:rsid w:val="005D5D45"/>
    <w:rsid w:val="005D707B"/>
    <w:rsid w:val="005D79E3"/>
    <w:rsid w:val="005E06E4"/>
    <w:rsid w:val="005E381E"/>
    <w:rsid w:val="005E3A7D"/>
    <w:rsid w:val="005E4AB3"/>
    <w:rsid w:val="005E4B95"/>
    <w:rsid w:val="005F3426"/>
    <w:rsid w:val="005F370A"/>
    <w:rsid w:val="00600FD0"/>
    <w:rsid w:val="00612E0C"/>
    <w:rsid w:val="00616747"/>
    <w:rsid w:val="00620697"/>
    <w:rsid w:val="006231F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2C6E"/>
    <w:rsid w:val="00675CF1"/>
    <w:rsid w:val="006763EE"/>
    <w:rsid w:val="006804DF"/>
    <w:rsid w:val="00687298"/>
    <w:rsid w:val="006A180E"/>
    <w:rsid w:val="006A2D1B"/>
    <w:rsid w:val="006A4AC1"/>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575E"/>
    <w:rsid w:val="00786D80"/>
    <w:rsid w:val="007900DB"/>
    <w:rsid w:val="0079124E"/>
    <w:rsid w:val="00793B82"/>
    <w:rsid w:val="007A367B"/>
    <w:rsid w:val="007A7A03"/>
    <w:rsid w:val="007B3D56"/>
    <w:rsid w:val="007B6849"/>
    <w:rsid w:val="007C032B"/>
    <w:rsid w:val="007C12C5"/>
    <w:rsid w:val="007C4D09"/>
    <w:rsid w:val="007C5B61"/>
    <w:rsid w:val="007C7791"/>
    <w:rsid w:val="007C7B5F"/>
    <w:rsid w:val="007D1D44"/>
    <w:rsid w:val="007D6608"/>
    <w:rsid w:val="007D6E55"/>
    <w:rsid w:val="007D7AA4"/>
    <w:rsid w:val="007E0C40"/>
    <w:rsid w:val="007E0EE4"/>
    <w:rsid w:val="007E2D46"/>
    <w:rsid w:val="007E3ADF"/>
    <w:rsid w:val="007E6054"/>
    <w:rsid w:val="007E744D"/>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E5102"/>
    <w:rsid w:val="009F4023"/>
    <w:rsid w:val="009F471B"/>
    <w:rsid w:val="009F7F1B"/>
    <w:rsid w:val="009F7F9F"/>
    <w:rsid w:val="00A022D7"/>
    <w:rsid w:val="00A03D8C"/>
    <w:rsid w:val="00A0433B"/>
    <w:rsid w:val="00A054DC"/>
    <w:rsid w:val="00A071D5"/>
    <w:rsid w:val="00A0724B"/>
    <w:rsid w:val="00A16B56"/>
    <w:rsid w:val="00A209B6"/>
    <w:rsid w:val="00A23072"/>
    <w:rsid w:val="00A260A6"/>
    <w:rsid w:val="00A30E38"/>
    <w:rsid w:val="00A3142B"/>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A7C81"/>
    <w:rsid w:val="00AA7DEC"/>
    <w:rsid w:val="00AB0EE2"/>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24FBE"/>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3379"/>
    <w:rsid w:val="00B70123"/>
    <w:rsid w:val="00B72ADD"/>
    <w:rsid w:val="00B77C24"/>
    <w:rsid w:val="00B87660"/>
    <w:rsid w:val="00B9295B"/>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27CF1"/>
    <w:rsid w:val="00C30447"/>
    <w:rsid w:val="00C30FFE"/>
    <w:rsid w:val="00C3227E"/>
    <w:rsid w:val="00C337BE"/>
    <w:rsid w:val="00C36586"/>
    <w:rsid w:val="00C37147"/>
    <w:rsid w:val="00C40077"/>
    <w:rsid w:val="00C4287B"/>
    <w:rsid w:val="00C42899"/>
    <w:rsid w:val="00C435FA"/>
    <w:rsid w:val="00C475AE"/>
    <w:rsid w:val="00C476F5"/>
    <w:rsid w:val="00C47CCD"/>
    <w:rsid w:val="00C53E8F"/>
    <w:rsid w:val="00C551DC"/>
    <w:rsid w:val="00C62A9D"/>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C0B7B"/>
    <w:rsid w:val="00CC1753"/>
    <w:rsid w:val="00CC52E4"/>
    <w:rsid w:val="00CC7A80"/>
    <w:rsid w:val="00CD177D"/>
    <w:rsid w:val="00CD2F19"/>
    <w:rsid w:val="00CD3221"/>
    <w:rsid w:val="00CD659D"/>
    <w:rsid w:val="00CD78CF"/>
    <w:rsid w:val="00CE10A8"/>
    <w:rsid w:val="00CE17B8"/>
    <w:rsid w:val="00CE1854"/>
    <w:rsid w:val="00CE2E27"/>
    <w:rsid w:val="00CE31C5"/>
    <w:rsid w:val="00CE46C2"/>
    <w:rsid w:val="00CF2197"/>
    <w:rsid w:val="00CF396D"/>
    <w:rsid w:val="00D02106"/>
    <w:rsid w:val="00D03655"/>
    <w:rsid w:val="00D03F79"/>
    <w:rsid w:val="00D11A94"/>
    <w:rsid w:val="00D12092"/>
    <w:rsid w:val="00D12521"/>
    <w:rsid w:val="00D17650"/>
    <w:rsid w:val="00D21E39"/>
    <w:rsid w:val="00D26318"/>
    <w:rsid w:val="00D2662C"/>
    <w:rsid w:val="00D27C71"/>
    <w:rsid w:val="00D321BE"/>
    <w:rsid w:val="00D32723"/>
    <w:rsid w:val="00D342FF"/>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008E"/>
    <w:rsid w:val="00DB20A0"/>
    <w:rsid w:val="00DB2733"/>
    <w:rsid w:val="00DB3EA6"/>
    <w:rsid w:val="00DB6CC2"/>
    <w:rsid w:val="00DC1AF8"/>
    <w:rsid w:val="00DC2B04"/>
    <w:rsid w:val="00DC2C01"/>
    <w:rsid w:val="00DC6AAA"/>
    <w:rsid w:val="00DC723B"/>
    <w:rsid w:val="00DC75B2"/>
    <w:rsid w:val="00DD4DA5"/>
    <w:rsid w:val="00DD7453"/>
    <w:rsid w:val="00DE42D5"/>
    <w:rsid w:val="00DE5604"/>
    <w:rsid w:val="00DE5FA5"/>
    <w:rsid w:val="00E00794"/>
    <w:rsid w:val="00E015A2"/>
    <w:rsid w:val="00E021CE"/>
    <w:rsid w:val="00E03F10"/>
    <w:rsid w:val="00E076E6"/>
    <w:rsid w:val="00E10169"/>
    <w:rsid w:val="00E10452"/>
    <w:rsid w:val="00E109AF"/>
    <w:rsid w:val="00E137EE"/>
    <w:rsid w:val="00E21024"/>
    <w:rsid w:val="00E22AEB"/>
    <w:rsid w:val="00E24BA6"/>
    <w:rsid w:val="00E26EBA"/>
    <w:rsid w:val="00E30829"/>
    <w:rsid w:val="00E308D3"/>
    <w:rsid w:val="00E3461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3514"/>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25CA"/>
    <w:rsid w:val="00FB2C8C"/>
    <w:rsid w:val="00FB4617"/>
    <w:rsid w:val="00FB598E"/>
    <w:rsid w:val="00FD56F9"/>
    <w:rsid w:val="00FE50F6"/>
    <w:rsid w:val="00FE7DC3"/>
    <w:rsid w:val="00FE7E5D"/>
    <w:rsid w:val="00FF10DB"/>
    <w:rsid w:val="00FF1FB7"/>
    <w:rsid w:val="00FF299B"/>
    <w:rsid w:val="00FF717A"/>
    <w:rsid w:val="03E0472C"/>
    <w:rsid w:val="151E7C29"/>
    <w:rsid w:val="1B905676"/>
    <w:rsid w:val="24F53CDA"/>
    <w:rsid w:val="287616FD"/>
    <w:rsid w:val="362F64F8"/>
    <w:rsid w:val="3DD96E8C"/>
    <w:rsid w:val="3FE734BD"/>
    <w:rsid w:val="4AC162C0"/>
    <w:rsid w:val="4DD065FA"/>
    <w:rsid w:val="50476E43"/>
    <w:rsid w:val="72DB2211"/>
    <w:rsid w:val="7EA3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tabs>
        <w:tab w:val="left" w:pos="1085"/>
      </w:tabs>
      <w:ind w:left="1085" w:hanging="420"/>
      <w:outlineLvl w:val="1"/>
    </w:pPr>
    <w:rPr>
      <w:b/>
      <w:bCs/>
    </w:rPr>
  </w:style>
  <w:style w:type="paragraph" w:styleId="4">
    <w:name w:val="heading 3"/>
    <w:basedOn w:val="1"/>
    <w:next w:val="1"/>
    <w:qFormat/>
    <w:uiPriority w:val="0"/>
    <w:pPr>
      <w:keepNext/>
      <w:tabs>
        <w:tab w:val="left" w:pos="1980"/>
      </w:tabs>
      <w:ind w:left="1680" w:hanging="420"/>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Balloon Text"/>
    <w:basedOn w:val="1"/>
    <w:link w:val="97"/>
    <w:qFormat/>
    <w:uiPriority w:val="0"/>
    <w:rPr>
      <w:sz w:val="18"/>
      <w:szCs w:val="18"/>
    </w:rPr>
  </w:style>
  <w:style w:type="paragraph" w:styleId="15">
    <w:name w:val="footer"/>
    <w:basedOn w:val="1"/>
    <w:qFormat/>
    <w:uiPriority w:val="0"/>
    <w:pPr>
      <w:tabs>
        <w:tab w:val="center" w:pos="4153"/>
        <w:tab w:val="right" w:pos="8306"/>
      </w:tabs>
      <w:snapToGrid w:val="0"/>
      <w:jc w:val="left"/>
    </w:pPr>
    <w:rPr>
      <w:rFonts w:eastAsia="宋体"/>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qFormat/>
    <w:uiPriority w:val="0"/>
    <w:pPr>
      <w:ind w:firstLine="777"/>
    </w:pPr>
    <w:rPr>
      <w:rFonts w:ascii="楷体_GB2312" w:hAnsi="Arial Narrow" w:eastAsia="楷体_GB2312"/>
    </w:rPr>
  </w:style>
  <w:style w:type="paragraph" w:styleId="19">
    <w:name w:val="Body Text 2"/>
    <w:basedOn w:val="1"/>
    <w:qFormat/>
    <w:uiPriority w:val="0"/>
    <w:rPr>
      <w:rFonts w:ascii="Arial Narrow" w:hAnsi="Arial Narrow" w:eastAsia="楷体_GB2312"/>
      <w:sz w:val="21"/>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Emphasis"/>
    <w:qFormat/>
    <w:uiPriority w:val="0"/>
    <w:rPr>
      <w:color w:val="CC0033"/>
    </w:rPr>
  </w:style>
  <w:style w:type="character" w:styleId="29">
    <w:name w:val="Hyperlink"/>
    <w:qFormat/>
    <w:uiPriority w:val="0"/>
    <w:rPr>
      <w:color w:val="0000FF"/>
      <w:u w:val="single"/>
    </w:rPr>
  </w:style>
  <w:style w:type="character" w:styleId="30">
    <w:name w:val="annotation reference"/>
    <w:semiHidden/>
    <w:qFormat/>
    <w:uiPriority w:val="0"/>
    <w:rPr>
      <w:sz w:val="21"/>
    </w:rPr>
  </w:style>
  <w:style w:type="paragraph" w:customStyle="1" w:styleId="31">
    <w:name w:val="表格文字"/>
    <w:basedOn w:val="1"/>
    <w:qFormat/>
    <w:uiPriority w:val="0"/>
    <w:pPr>
      <w:spacing w:before="25" w:after="25"/>
      <w:jc w:val="left"/>
    </w:pPr>
    <w:rPr>
      <w:bCs/>
      <w:spacing w:val="10"/>
      <w:kern w:val="0"/>
      <w:sz w:val="24"/>
    </w:rPr>
  </w:style>
  <w:style w:type="character" w:customStyle="1" w:styleId="32">
    <w:name w:val="style31"/>
    <w:qFormat/>
    <w:uiPriority w:val="0"/>
    <w:rPr>
      <w:b/>
      <w:bCs/>
      <w:color w:val="A16601"/>
    </w:rPr>
  </w:style>
  <w:style w:type="character" w:customStyle="1" w:styleId="33">
    <w:name w:val="dct-tt"/>
    <w:qFormat/>
    <w:uiPriority w:val="0"/>
    <w:rPr>
      <w:rFonts w:hint="default" w:ascii="Arial" w:hAnsi="Arial" w:cs="Arial"/>
    </w:rPr>
  </w:style>
  <w:style w:type="character" w:customStyle="1" w:styleId="34">
    <w:name w:val="hei12b"/>
    <w:basedOn w:val="24"/>
    <w:qFormat/>
    <w:uiPriority w:val="0"/>
  </w:style>
  <w:style w:type="character" w:customStyle="1" w:styleId="35">
    <w:name w:val="search_highlight2"/>
    <w:qFormat/>
    <w:uiPriority w:val="0"/>
    <w:rPr>
      <w:rFonts w:hint="default" w:ascii="Arial" w:hAnsi="Arial" w:cs="Arial"/>
      <w:shd w:val="clear" w:color="auto" w:fill="FFFFB0"/>
    </w:rPr>
  </w:style>
  <w:style w:type="character" w:customStyle="1" w:styleId="36">
    <w:name w:val="style4"/>
    <w:basedOn w:val="24"/>
    <w:qFormat/>
    <w:uiPriority w:val="0"/>
  </w:style>
  <w:style w:type="character" w:customStyle="1" w:styleId="37">
    <w:name w:val="style36"/>
    <w:basedOn w:val="24"/>
    <w:qFormat/>
    <w:uiPriority w:val="0"/>
  </w:style>
  <w:style w:type="character" w:customStyle="1" w:styleId="38">
    <w:name w:val="f141"/>
    <w:qFormat/>
    <w:uiPriority w:val="0"/>
    <w:rPr>
      <w:b/>
      <w:bCs/>
      <w:sz w:val="21"/>
      <w:szCs w:val="21"/>
    </w:rPr>
  </w:style>
  <w:style w:type="character" w:customStyle="1" w:styleId="39">
    <w:name w:val="font141"/>
    <w:qFormat/>
    <w:uiPriority w:val="0"/>
  </w:style>
  <w:style w:type="paragraph" w:customStyle="1" w:styleId="40">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1">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42">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4">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45">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6">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47">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8">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49">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50">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1">
    <w:name w:val="列出段落1"/>
    <w:basedOn w:val="1"/>
    <w:qFormat/>
    <w:uiPriority w:val="0"/>
    <w:pPr>
      <w:suppressAutoHyphens/>
      <w:ind w:left="720"/>
      <w:jc w:val="left"/>
    </w:pPr>
    <w:rPr>
      <w:rFonts w:eastAsia="Times New Roman"/>
      <w:kern w:val="0"/>
      <w:sz w:val="24"/>
      <w:szCs w:val="24"/>
      <w:lang w:eastAsia="ar-SA"/>
    </w:rPr>
  </w:style>
  <w:style w:type="paragraph" w:customStyle="1" w:styleId="52">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53">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4">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55">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56">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57">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8">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59">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60">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1">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62">
    <w:name w:val="UP标题3"/>
    <w:basedOn w:val="1"/>
    <w:qFormat/>
    <w:uiPriority w:val="0"/>
    <w:pPr>
      <w:spacing w:line="360" w:lineRule="auto"/>
      <w:ind w:firstLine="149" w:firstLineChars="149"/>
    </w:pPr>
    <w:rPr>
      <w:rFonts w:ascii="黑体" w:hAnsi="Calibri" w:eastAsia="黑体" w:cs="宋体"/>
      <w:szCs w:val="28"/>
    </w:rPr>
  </w:style>
  <w:style w:type="paragraph" w:customStyle="1" w:styleId="63">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5">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6">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7">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9">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70">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1">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2">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73">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74">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5">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7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7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78">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9">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80">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82">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83">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4">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5">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6">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7">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8">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9">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90">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91">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92">
    <w:name w:val="Char Char Char Char"/>
    <w:basedOn w:val="1"/>
    <w:qFormat/>
    <w:uiPriority w:val="0"/>
    <w:rPr>
      <w:rFonts w:eastAsia="宋体"/>
      <w:sz w:val="21"/>
    </w:rPr>
  </w:style>
  <w:style w:type="paragraph" w:customStyle="1" w:styleId="93">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4">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95">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6">
    <w:name w:val="列出段落2"/>
    <w:basedOn w:val="1"/>
    <w:qFormat/>
    <w:uiPriority w:val="0"/>
    <w:pPr>
      <w:ind w:firstLine="420" w:firstLineChars="200"/>
    </w:pPr>
    <w:rPr>
      <w:rFonts w:eastAsia="Times New Roman"/>
      <w:sz w:val="21"/>
      <w:szCs w:val="24"/>
    </w:rPr>
  </w:style>
  <w:style w:type="character" w:customStyle="1" w:styleId="97">
    <w:name w:val="批注框文本 字符"/>
    <w:basedOn w:val="24"/>
    <w:link w:val="1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12</Pages>
  <Words>800</Words>
  <Characters>4563</Characters>
  <Lines>38</Lines>
  <Paragraphs>10</Paragraphs>
  <TotalTime>3</TotalTime>
  <ScaleCrop>false</ScaleCrop>
  <LinksUpToDate>false</LinksUpToDate>
  <CharactersWithSpaces>5353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2021-04-13T03:29:00Z</dcterms:created>
  <dc:creator>许慰玲</dc:creator>
  <cp:lastModifiedBy>微笑</cp:lastModifiedBy>
  <cp:lastPrinted>2015-06-12T00:58:00Z</cp:lastPrinted>
  <dcterms:modified xsi:type="dcterms:W3CDTF">2023-10-08T02:05:25Z</dcterms:modified>
  <dc:title>广东省政府采购中心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E998132D9ACF453BA41C619C7F4685C3_13</vt:lpwstr>
  </property>
</Properties>
</file>