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center"/>
        <w:rPr>
          <w:rFonts w:ascii="宋体" w:hAnsi="宋体" w:eastAsia="宋体"/>
          <w:sz w:val="32"/>
        </w:rPr>
      </w:pPr>
    </w:p>
    <w:p>
      <w:pPr>
        <w:pStyle w:val="3"/>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汕头大学医学院医学院数字化资源国际运营项目（九门全英慕课课程）</w:t>
      </w:r>
    </w:p>
    <w:p>
      <w:pPr>
        <w:kinsoku w:val="0"/>
        <w:wordWrap w:val="0"/>
        <w:topLinePunct/>
        <w:rPr>
          <w:rFonts w:ascii="宋体" w:eastAsia="宋体"/>
        </w:rPr>
      </w:pPr>
    </w:p>
    <w:p>
      <w:pPr>
        <w:pStyle w:val="3"/>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 xml:space="preserve"> 11</w:t>
      </w:r>
      <w:r>
        <w:rPr>
          <w:rFonts w:hint="eastAsia" w:ascii="宋体" w:hAnsi="宋体" w:eastAsia="宋体"/>
          <w:sz w:val="36"/>
        </w:rPr>
        <w:t>-</w:t>
      </w:r>
      <w:r>
        <w:rPr>
          <w:rFonts w:hint="eastAsia" w:ascii="宋体" w:hAnsi="宋体" w:eastAsia="宋体"/>
          <w:sz w:val="36"/>
          <w:lang w:val="en-US" w:eastAsia="zh-CN"/>
        </w:rPr>
        <w:t>1B</w:t>
      </w:r>
    </w:p>
    <w:p>
      <w:pPr>
        <w:pStyle w:val="3"/>
        <w:jc w:val="center"/>
        <w:rPr>
          <w:rFonts w:hint="eastAsia" w:ascii="宋体" w:hAnsi="宋体" w:eastAsia="宋体"/>
          <w:sz w:val="36"/>
        </w:rPr>
      </w:pPr>
      <w:r>
        <w:rPr>
          <w:rFonts w:hint="eastAsia" w:ascii="宋体" w:hAnsi="宋体" w:eastAsia="宋体"/>
          <w:sz w:val="36"/>
        </w:rPr>
        <w:t>项目名称：医学院数字化资源国际运营项目（九门全英慕课课程）</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3</w:t>
      </w:r>
      <w:r>
        <w:rPr>
          <w:rFonts w:hint="eastAsia" w:ascii="宋体" w:hAnsi="宋体" w:eastAsia="宋体"/>
          <w:sz w:val="44"/>
        </w:rPr>
        <w:t>．</w:t>
      </w:r>
      <w:r>
        <w:rPr>
          <w:rFonts w:hint="eastAsia" w:ascii="宋体" w:hAnsi="宋体" w:eastAsia="宋体"/>
          <w:sz w:val="44"/>
          <w:lang w:val="en-US" w:eastAsia="zh-CN"/>
        </w:rPr>
        <w:t>11</w:t>
      </w:r>
      <w:r>
        <w:rPr>
          <w:rFonts w:ascii="宋体" w:hAnsi="宋体" w:eastAsia="宋体"/>
          <w:sz w:val="44"/>
        </w:rPr>
        <w:t xml:space="preserve"> </w:t>
      </w:r>
      <w:r>
        <w:rPr>
          <w:rFonts w:hint="eastAsia" w:ascii="宋体" w:hAnsi="宋体" w:eastAsia="宋体"/>
          <w:sz w:val="44"/>
        </w:rPr>
        <w:t>.</w:t>
      </w:r>
      <w:r>
        <w:rPr>
          <w:rFonts w:ascii="宋体" w:hAnsi="宋体" w:eastAsia="宋体"/>
          <w:sz w:val="44"/>
        </w:rPr>
        <w:t xml:space="preserve"> </w:t>
      </w:r>
      <w:r>
        <w:rPr>
          <w:rFonts w:hint="eastAsia" w:ascii="宋体" w:hAnsi="宋体" w:eastAsia="宋体"/>
          <w:sz w:val="44"/>
          <w:lang w:val="en-US" w:eastAsia="zh-CN"/>
        </w:rPr>
        <w:t>1</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bookmarkStart w:id="1" w:name="_GoBack"/>
      <w:bookmarkEnd w:id="1"/>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ind w:firstLine="262" w:firstLineChars="100"/>
        <w:rPr>
          <w:rFonts w:hint="eastAsia" w:ascii="宋体" w:hAnsi="Arial Narrow" w:eastAsia="宋体"/>
          <w:b/>
          <w:sz w:val="21"/>
        </w:rPr>
      </w:pPr>
      <w:r>
        <w:rPr>
          <w:rFonts w:hint="eastAsia" w:ascii="宋体" w:hAnsi="Arial Narrow" w:eastAsia="宋体"/>
          <w:b/>
          <w:sz w:val="21"/>
        </w:rPr>
        <w:t>医学院数字化资源国际运营项目（九门全英慕课课程）</w:t>
      </w:r>
    </w:p>
    <w:p>
      <w:pPr>
        <w:kinsoku w:val="0"/>
        <w:wordWrap w:val="0"/>
        <w:topLinePunct/>
        <w:ind w:firstLine="262" w:firstLineChars="100"/>
        <w:rPr>
          <w:rFonts w:ascii="宋体" w:hAnsi="Arial Narrow"/>
          <w:b/>
          <w:sz w:val="21"/>
          <w:szCs w:val="21"/>
        </w:rPr>
      </w:pPr>
      <w:r>
        <w:rPr>
          <w:rFonts w:hint="eastAsia" w:ascii="宋体" w:hAnsi="宋体" w:cs="宋体"/>
          <w:b/>
          <w:bCs/>
          <w:sz w:val="21"/>
          <w:szCs w:val="21"/>
        </w:rPr>
        <w:t>(预算</w:t>
      </w:r>
      <w:r>
        <w:rPr>
          <w:rFonts w:hint="eastAsia" w:ascii="宋体" w:hAnsi="宋体" w:cs="宋体"/>
          <w:b/>
          <w:bCs/>
          <w:sz w:val="21"/>
          <w:szCs w:val="21"/>
          <w:lang w:val="en-US" w:eastAsia="zh-CN"/>
        </w:rPr>
        <w:t>27</w:t>
      </w:r>
      <w:r>
        <w:rPr>
          <w:rFonts w:hint="eastAsia" w:ascii="宋体" w:hAnsi="宋体" w:cs="宋体"/>
          <w:b/>
          <w:bCs/>
          <w:sz w:val="21"/>
          <w:szCs w:val="21"/>
        </w:rPr>
        <w:t>0000元）</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w:t>
      </w:r>
      <w:r>
        <w:rPr>
          <w:rFonts w:hint="eastAsia" w:ascii="宋体" w:hAnsi="Arial Narrow" w:eastAsia="宋体"/>
          <w:sz w:val="18"/>
          <w:lang w:eastAsia="zh-CN"/>
        </w:rPr>
        <w:t>蔡文锋</w:t>
      </w:r>
      <w:r>
        <w:rPr>
          <w:rFonts w:hint="eastAsia" w:ascii="宋体" w:hAnsi="Arial Narrow" w:eastAsia="宋体"/>
          <w:sz w:val="18"/>
        </w:rPr>
        <w:t>、杨成瑜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pStyle w:val="3"/>
        <w:kinsoku w:val="0"/>
        <w:wordWrap w:val="0"/>
        <w:topLinePunct/>
        <w:autoSpaceDE/>
        <w:spacing w:line="240" w:lineRule="auto"/>
        <w:jc w:val="center"/>
        <w:rPr>
          <w:rFonts w:hint="eastAsia" w:ascii="宋体" w:hAnsi="宋体" w:eastAsia="宋体" w:cs="宋体"/>
          <w:b/>
          <w:bCs/>
          <w:i/>
          <w:iCs/>
          <w:sz w:val="24"/>
        </w:rPr>
      </w:pPr>
      <w:r>
        <w:rPr>
          <w:rFonts w:hint="eastAsia" w:ascii="宋体" w:hAnsi="宋体" w:eastAsia="宋体" w:cs="宋体"/>
          <w:b/>
          <w:bCs/>
          <w:i/>
          <w:iCs/>
          <w:sz w:val="24"/>
        </w:rPr>
        <w:t>投标截止时间：202</w:t>
      </w:r>
      <w:r>
        <w:rPr>
          <w:rFonts w:hint="eastAsia" w:ascii="宋体" w:hAnsi="宋体" w:eastAsia="宋体" w:cs="宋体"/>
          <w:b/>
          <w:bCs/>
          <w:i/>
          <w:iCs/>
          <w:sz w:val="24"/>
          <w:lang w:val="en-US" w:eastAsia="zh-CN"/>
        </w:rPr>
        <w:t>3年11</w:t>
      </w:r>
      <w:r>
        <w:rPr>
          <w:rFonts w:hint="eastAsia" w:ascii="宋体" w:hAnsi="宋体" w:eastAsia="宋体" w:cs="宋体"/>
          <w:b/>
          <w:bCs/>
          <w:i/>
          <w:iCs/>
          <w:sz w:val="24"/>
        </w:rPr>
        <w:t>月</w:t>
      </w:r>
      <w:r>
        <w:rPr>
          <w:rFonts w:hint="eastAsia" w:ascii="宋体" w:hAnsi="宋体" w:eastAsia="宋体" w:cs="宋体"/>
          <w:b/>
          <w:bCs/>
          <w:i/>
          <w:iCs/>
          <w:sz w:val="24"/>
          <w:lang w:val="en-US" w:eastAsia="zh-CN"/>
        </w:rPr>
        <w:t xml:space="preserve"> 13</w:t>
      </w:r>
      <w:r>
        <w:rPr>
          <w:rFonts w:hint="eastAsia" w:ascii="宋体" w:hAnsi="宋体" w:eastAsia="宋体" w:cs="宋体"/>
          <w:b/>
          <w:bCs/>
          <w:i/>
          <w:iCs/>
          <w:sz w:val="24"/>
        </w:rPr>
        <w:t>日上午9点30分   (北京时间)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3"/>
      </w:pPr>
      <w:r>
        <w:rPr>
          <w:rFonts w:hint="eastAsia" w:ascii="宋体" w:eastAsia="宋体"/>
          <w:sz w:val="18"/>
        </w:rPr>
        <w:t xml:space="preserve">   2.</w:t>
      </w:r>
      <w:r>
        <w:rPr>
          <w:rFonts w:hint="eastAsia"/>
        </w:rPr>
        <w:t xml:space="preserve"> </w:t>
      </w:r>
      <w:r>
        <w:rPr>
          <w:rFonts w:hint="eastAsia"/>
          <w:sz w:val="21"/>
          <w:szCs w:val="21"/>
        </w:rPr>
        <w:t>评分表：</w:t>
      </w:r>
    </w:p>
    <w:p>
      <w:pPr>
        <w:pStyle w:val="20"/>
        <w:tabs>
          <w:tab w:val="left" w:pos="-166"/>
        </w:tabs>
        <w:kinsoku w:val="0"/>
        <w:wordWrap w:val="0"/>
        <w:topLinePunct/>
        <w:ind w:left="498" w:leftChars="150" w:firstLine="440" w:firstLineChars="190"/>
        <w:rPr>
          <w:rFonts w:ascii="宋体" w:eastAsia="宋体"/>
          <w:sz w:val="18"/>
        </w:rPr>
      </w:pP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4182"/>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4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276" w:type="dxa"/>
            <w:vAlign w:val="center"/>
          </w:tcPr>
          <w:p>
            <w:pPr>
              <w:spacing w:line="24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评分因素及权值</w:t>
            </w:r>
          </w:p>
        </w:tc>
        <w:tc>
          <w:tcPr>
            <w:tcW w:w="1134" w:type="dxa"/>
            <w:vAlign w:val="center"/>
          </w:tcPr>
          <w:p>
            <w:pPr>
              <w:spacing w:line="24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分值</w:t>
            </w:r>
          </w:p>
        </w:tc>
        <w:tc>
          <w:tcPr>
            <w:tcW w:w="4182" w:type="dxa"/>
            <w:vAlign w:val="center"/>
          </w:tcPr>
          <w:p>
            <w:pPr>
              <w:spacing w:line="24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评分标准</w:t>
            </w:r>
          </w:p>
        </w:tc>
        <w:tc>
          <w:tcPr>
            <w:tcW w:w="2197" w:type="dxa"/>
            <w:vAlign w:val="center"/>
          </w:tcPr>
          <w:p>
            <w:pPr>
              <w:spacing w:line="24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20" w:lineRule="exac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vAlign w:val="center"/>
          </w:tcPr>
          <w:p>
            <w:pPr>
              <w:spacing w:line="320" w:lineRule="exac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w:t>
            </w:r>
          </w:p>
          <w:p>
            <w:pPr>
              <w:spacing w:line="320" w:lineRule="exac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134" w:type="dxa"/>
            <w:vAlign w:val="center"/>
          </w:tcPr>
          <w:p>
            <w:pPr>
              <w:spacing w:line="320" w:lineRule="exac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4182" w:type="dxa"/>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满足资格性、符合性要求且报价最低的供应商的价格为投标基准价，其价格分为满分。其他供应商的价格分统一按照下列公式计算：</w:t>
            </w:r>
          </w:p>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投标报价得分=（投标基准价/供应商报价）×价格权值×100</w:t>
            </w:r>
          </w:p>
        </w:tc>
        <w:tc>
          <w:tcPr>
            <w:tcW w:w="2197" w:type="dxa"/>
            <w:vAlign w:val="center"/>
          </w:tcPr>
          <w:p>
            <w:pPr>
              <w:spacing w:line="240" w:lineRule="atLeast"/>
              <w:ind w:left="-38"/>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20" w:lineRule="exac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76" w:type="dxa"/>
            <w:vMerge w:val="restart"/>
            <w:vAlign w:val="center"/>
          </w:tcPr>
          <w:p>
            <w:pPr>
              <w:spacing w:line="320" w:lineRule="exac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技术部分（49%）</w:t>
            </w:r>
          </w:p>
        </w:tc>
        <w:tc>
          <w:tcPr>
            <w:tcW w:w="1134" w:type="dxa"/>
            <w:vAlign w:val="center"/>
          </w:tcPr>
          <w:p>
            <w:pPr>
              <w:adjustRightInd w:val="0"/>
              <w:snapToGrid w:val="0"/>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技术要求</w:t>
            </w:r>
          </w:p>
          <w:p>
            <w:pPr>
              <w:adjustRightInd w:val="0"/>
              <w:snapToGrid w:val="0"/>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30分</w:t>
            </w:r>
          </w:p>
        </w:tc>
        <w:tc>
          <w:tcPr>
            <w:tcW w:w="4182" w:type="dxa"/>
            <w:vAlign w:val="center"/>
          </w:tcPr>
          <w:p>
            <w:pPr>
              <w:snapToGrid w:val="0"/>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1.起评分：有效的起评分为30分；</w:t>
            </w:r>
          </w:p>
          <w:p>
            <w:pPr>
              <w:snapToGrid w:val="0"/>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2.扣分条款：</w:t>
            </w:r>
          </w:p>
          <w:p>
            <w:pPr>
              <w:snapToGrid w:val="0"/>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招标文件 “</w:t>
            </w:r>
            <w:r>
              <w:rPr>
                <w:rFonts w:hint="eastAsia" w:ascii="宋体" w:hAnsi="宋体" w:eastAsia="宋体" w:cs="宋体"/>
                <w:color w:val="333333"/>
                <w:sz w:val="21"/>
                <w:szCs w:val="21"/>
                <w:shd w:val="clear" w:color="auto" w:fill="FFFFFF"/>
              </w:rPr>
              <w:t>▲</w:t>
            </w:r>
            <w:r>
              <w:rPr>
                <w:rFonts w:hint="eastAsia" w:ascii="宋体" w:hAnsi="宋体" w:eastAsia="宋体" w:cs="宋体"/>
                <w:color w:val="000000"/>
                <w:kern w:val="0"/>
                <w:sz w:val="21"/>
                <w:szCs w:val="21"/>
              </w:rPr>
              <w:t>”为重要技术参数，有一条不满足技术部分为0分。</w:t>
            </w:r>
          </w:p>
          <w:p>
            <w:pPr>
              <w:snapToGrid w:val="0"/>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招标文件非“</w:t>
            </w:r>
            <w:r>
              <w:rPr>
                <w:rFonts w:hint="eastAsia" w:ascii="宋体" w:hAnsi="宋体" w:eastAsia="宋体" w:cs="宋体"/>
                <w:color w:val="333333"/>
                <w:sz w:val="21"/>
                <w:szCs w:val="21"/>
                <w:shd w:val="clear" w:color="auto" w:fill="FFFFFF"/>
              </w:rPr>
              <w:t>▲</w:t>
            </w:r>
            <w:r>
              <w:rPr>
                <w:rFonts w:hint="eastAsia" w:ascii="宋体" w:hAnsi="宋体" w:eastAsia="宋体" w:cs="宋体"/>
                <w:color w:val="000000"/>
                <w:kern w:val="0"/>
                <w:sz w:val="21"/>
                <w:szCs w:val="21"/>
              </w:rPr>
              <w:t>”中达不到招标文件要求的，每负偏离一条从起评分中扣除3分；有3条及以上不满足招标文件要求的，技术部分得分为0分。</w:t>
            </w:r>
          </w:p>
        </w:tc>
        <w:tc>
          <w:tcPr>
            <w:tcW w:w="2197" w:type="dxa"/>
            <w:vAlign w:val="center"/>
          </w:tcPr>
          <w:p>
            <w:pPr>
              <w:spacing w:line="240" w:lineRule="atLeast"/>
              <w:ind w:firstLine="524" w:firstLineChars="20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5" w:type="dxa"/>
            <w:vMerge w:val="continue"/>
            <w:vAlign w:val="center"/>
          </w:tcPr>
          <w:p>
            <w:pPr>
              <w:spacing w:line="320" w:lineRule="exact"/>
              <w:ind w:firstLine="28"/>
              <w:jc w:val="center"/>
              <w:rPr>
                <w:rFonts w:hint="eastAsia" w:ascii="宋体" w:hAnsi="宋体" w:eastAsia="宋体" w:cs="宋体"/>
                <w:color w:val="000000"/>
                <w:sz w:val="21"/>
                <w:szCs w:val="21"/>
              </w:rPr>
            </w:pPr>
          </w:p>
        </w:tc>
        <w:tc>
          <w:tcPr>
            <w:tcW w:w="1276" w:type="dxa"/>
            <w:vMerge w:val="continue"/>
            <w:vAlign w:val="center"/>
          </w:tcPr>
          <w:p>
            <w:pPr>
              <w:spacing w:line="320" w:lineRule="exact"/>
              <w:ind w:firstLine="28"/>
              <w:jc w:val="center"/>
              <w:rPr>
                <w:rFonts w:hint="eastAsia" w:ascii="宋体" w:hAnsi="宋体" w:eastAsia="宋体" w:cs="宋体"/>
                <w:color w:val="000000"/>
                <w:sz w:val="21"/>
                <w:szCs w:val="21"/>
              </w:rPr>
            </w:pPr>
          </w:p>
        </w:tc>
        <w:tc>
          <w:tcPr>
            <w:tcW w:w="1134" w:type="dxa"/>
            <w:vAlign w:val="center"/>
          </w:tcPr>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供应商</w:t>
            </w:r>
          </w:p>
          <w:p>
            <w:pPr>
              <w:adjustRightInd w:val="0"/>
              <w:snapToGrid w:val="0"/>
              <w:spacing w:line="32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实力</w:t>
            </w:r>
          </w:p>
          <w:p>
            <w:pPr>
              <w:adjustRightInd w:val="0"/>
              <w:snapToGrid w:val="0"/>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7分</w:t>
            </w:r>
          </w:p>
        </w:tc>
        <w:tc>
          <w:tcPr>
            <w:tcW w:w="4182" w:type="dxa"/>
            <w:vAlign w:val="center"/>
          </w:tcPr>
          <w:p>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供应商提供的课程运行平台，具备：</w:t>
            </w:r>
          </w:p>
          <w:p>
            <w:pPr>
              <w:snapToGrid w:val="0"/>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在线开放课程上线运营服务经验，为保证供应商课程运营服务优越性，供应商提供的课程运行平台，拥有一定数量的课程通过该平台申报认定为“国家精品在线开放课程”，2018年至今申报成功国家精品在线开放课程(含国家一流课程)数量200门及以上得7分，150门（含）-200门得3分；100门（含）-150门得1分；不足100门不得分；（需提供获评国家精品在线开放课程清单及教育部工作网公示截图，不清晰或无法判断的不得分）； </w:t>
            </w:r>
          </w:p>
          <w:p>
            <w:pPr>
              <w:adjustRightInd w:val="0"/>
              <w:snapToGrid w:val="0"/>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注：以上证明材料均须提供原件扫描件并加盖供应商电子公章，未提供者不得分。</w:t>
            </w:r>
          </w:p>
        </w:tc>
        <w:tc>
          <w:tcPr>
            <w:tcW w:w="2197" w:type="dxa"/>
            <w:vAlign w:val="center"/>
          </w:tcPr>
          <w:p>
            <w:pPr>
              <w:spacing w:line="240" w:lineRule="atLeast"/>
              <w:ind w:firstLine="524" w:firstLineChars="200"/>
              <w:rPr>
                <w:rFonts w:hint="eastAsia" w:ascii="宋体" w:hAnsi="宋体" w:eastAsia="宋体" w:cs="宋体"/>
                <w:color w:val="000000"/>
                <w:kern w:val="0"/>
                <w:sz w:val="21"/>
                <w:szCs w:val="21"/>
              </w:rPr>
            </w:pPr>
          </w:p>
          <w:p>
            <w:pPr>
              <w:spacing w:line="240" w:lineRule="atLeast"/>
              <w:ind w:firstLine="524" w:firstLineChars="200"/>
              <w:rPr>
                <w:rFonts w:hint="eastAsia" w:ascii="宋体" w:hAnsi="宋体" w:eastAsia="宋体" w:cs="宋体"/>
                <w:color w:val="000000"/>
                <w:kern w:val="0"/>
                <w:sz w:val="21"/>
                <w:szCs w:val="21"/>
              </w:rPr>
            </w:pPr>
          </w:p>
          <w:p>
            <w:pPr>
              <w:spacing w:line="240" w:lineRule="atLeast"/>
              <w:ind w:firstLine="524" w:firstLineChars="20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Merge w:val="continue"/>
            <w:vAlign w:val="center"/>
          </w:tcPr>
          <w:p>
            <w:pPr>
              <w:spacing w:line="320" w:lineRule="exact"/>
              <w:ind w:firstLine="28"/>
              <w:jc w:val="center"/>
              <w:rPr>
                <w:rFonts w:hint="eastAsia" w:ascii="宋体" w:hAnsi="宋体" w:eastAsia="宋体" w:cs="宋体"/>
                <w:color w:val="000000"/>
                <w:sz w:val="21"/>
                <w:szCs w:val="21"/>
              </w:rPr>
            </w:pPr>
          </w:p>
        </w:tc>
        <w:tc>
          <w:tcPr>
            <w:tcW w:w="1276" w:type="dxa"/>
            <w:vMerge w:val="continue"/>
            <w:vAlign w:val="center"/>
          </w:tcPr>
          <w:p>
            <w:pPr>
              <w:spacing w:line="320" w:lineRule="exact"/>
              <w:ind w:firstLine="28"/>
              <w:jc w:val="center"/>
              <w:rPr>
                <w:rFonts w:hint="eastAsia" w:ascii="宋体" w:hAnsi="宋体" w:eastAsia="宋体" w:cs="宋体"/>
                <w:color w:val="000000"/>
                <w:sz w:val="21"/>
                <w:szCs w:val="21"/>
              </w:rPr>
            </w:pPr>
          </w:p>
        </w:tc>
        <w:tc>
          <w:tcPr>
            <w:tcW w:w="1134" w:type="dxa"/>
            <w:vAlign w:val="center"/>
          </w:tcPr>
          <w:p>
            <w:pPr>
              <w:adjustRightInd w:val="0"/>
              <w:snapToGrid w:val="0"/>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服务方案</w:t>
            </w:r>
          </w:p>
          <w:p>
            <w:pPr>
              <w:adjustRightInd w:val="0"/>
              <w:snapToGrid w:val="0"/>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12分</w:t>
            </w:r>
          </w:p>
        </w:tc>
        <w:tc>
          <w:tcPr>
            <w:tcW w:w="4182" w:type="dxa"/>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供应商应针对相应学科课程特点提供服务方案，包括但不仅限于如下内容：国际化课程制作、国际化课程运行、国际化课程输出方案等。</w:t>
            </w:r>
          </w:p>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服务方案按4个等级评分：</w:t>
            </w:r>
          </w:p>
          <w:p>
            <w:pPr>
              <w:suppressAutoHyphens/>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1、优，12分；（方案制定全面、详细；整体效果呈现优秀）</w:t>
            </w:r>
          </w:p>
          <w:p>
            <w:pPr>
              <w:suppressAutoHyphens/>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2、良，7分；（方案制定较为全面、详细；整体效果呈现良好）</w:t>
            </w:r>
          </w:p>
          <w:p>
            <w:pPr>
              <w:suppressAutoHyphens/>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3、中，4分（方案制定较为全面、但不够详细；整体效果呈现良好）</w:t>
            </w:r>
          </w:p>
          <w:p>
            <w:pPr>
              <w:suppressAutoHyphens/>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4、一般，1分（方案制定普通；整体效果呈现一般）</w:t>
            </w:r>
          </w:p>
          <w:p>
            <w:pPr>
              <w:adjustRightInd w:val="0"/>
              <w:snapToGrid w:val="0"/>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未提供的，服务方案部分为0分</w:t>
            </w:r>
          </w:p>
        </w:tc>
        <w:tc>
          <w:tcPr>
            <w:tcW w:w="2197" w:type="dxa"/>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提供服务方案并</w:t>
            </w:r>
            <w:r>
              <w:rPr>
                <w:rFonts w:hint="eastAsia" w:ascii="宋体" w:hAnsi="宋体" w:eastAsia="宋体" w:cs="宋体"/>
                <w:color w:val="000000"/>
                <w:kern w:val="0"/>
                <w:sz w:val="21"/>
                <w:szCs w:val="21"/>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75" w:type="dxa"/>
            <w:vMerge w:val="restart"/>
            <w:vAlign w:val="center"/>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76" w:type="dxa"/>
            <w:vMerge w:val="restart"/>
            <w:vAlign w:val="center"/>
          </w:tcPr>
          <w:p>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商务部分（31%）</w:t>
            </w:r>
          </w:p>
        </w:tc>
        <w:tc>
          <w:tcPr>
            <w:tcW w:w="1134" w:type="dxa"/>
            <w:vAlign w:val="center"/>
          </w:tcPr>
          <w:p>
            <w:pPr>
              <w:spacing w:line="320" w:lineRule="exact"/>
              <w:ind w:firstLine="28"/>
              <w:jc w:val="center"/>
              <w:rPr>
                <w:rFonts w:hint="eastAsia" w:ascii="宋体" w:hAnsi="宋体" w:eastAsia="宋体" w:cs="宋体"/>
                <w:sz w:val="21"/>
                <w:szCs w:val="21"/>
              </w:rPr>
            </w:pPr>
            <w:r>
              <w:rPr>
                <w:rFonts w:hint="eastAsia" w:ascii="宋体" w:hAnsi="宋体" w:eastAsia="宋体" w:cs="宋体"/>
                <w:sz w:val="21"/>
                <w:szCs w:val="21"/>
              </w:rPr>
              <w:t>国际化</w:t>
            </w:r>
          </w:p>
          <w:p>
            <w:pPr>
              <w:spacing w:line="320" w:lineRule="exact"/>
              <w:ind w:firstLine="28"/>
              <w:jc w:val="center"/>
              <w:rPr>
                <w:rFonts w:hint="eastAsia" w:ascii="宋体" w:hAnsi="宋体" w:eastAsia="宋体" w:cs="宋体"/>
                <w:sz w:val="21"/>
                <w:szCs w:val="21"/>
              </w:rPr>
            </w:pPr>
            <w:r>
              <w:rPr>
                <w:rFonts w:hint="eastAsia" w:ascii="宋体" w:hAnsi="宋体" w:eastAsia="宋体" w:cs="宋体"/>
                <w:sz w:val="21"/>
                <w:szCs w:val="21"/>
              </w:rPr>
              <w:t>平台</w:t>
            </w:r>
          </w:p>
          <w:p>
            <w:pPr>
              <w:snapToGrid w:val="0"/>
              <w:spacing w:line="320" w:lineRule="exact"/>
              <w:ind w:firstLine="262"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16分</w:t>
            </w:r>
          </w:p>
        </w:tc>
        <w:tc>
          <w:tcPr>
            <w:tcW w:w="4182" w:type="dxa"/>
            <w:vAlign w:val="center"/>
          </w:tcPr>
          <w:p>
            <w:pPr>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供应商所提供课程平台具有国际影响力，需与国外MOOC平台签署战略合作协议（如：斯坦福，Edx，Fun等），须提供国外MOOC平台官网截图、战略合作协议或相关说明，每提供一份2014年起至今的合作协议得4分，最多得16分。</w:t>
            </w:r>
          </w:p>
        </w:tc>
        <w:tc>
          <w:tcPr>
            <w:tcW w:w="2197" w:type="dxa"/>
            <w:vAlign w:val="center"/>
          </w:tcPr>
          <w:p>
            <w:pPr>
              <w:spacing w:line="24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提供相关证明并加盖供应商公章，同一国外MOOC平台的多份合作协议视为一份证明，计4分。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75" w:type="dxa"/>
            <w:vMerge w:val="continue"/>
            <w:vAlign w:val="center"/>
          </w:tcPr>
          <w:p>
            <w:pPr>
              <w:spacing w:line="320" w:lineRule="exact"/>
              <w:jc w:val="center"/>
              <w:rPr>
                <w:rFonts w:hint="eastAsia" w:ascii="宋体" w:hAnsi="宋体" w:eastAsia="宋体" w:cs="宋体"/>
                <w:color w:val="000000"/>
                <w:sz w:val="21"/>
                <w:szCs w:val="21"/>
              </w:rPr>
            </w:pPr>
          </w:p>
        </w:tc>
        <w:tc>
          <w:tcPr>
            <w:tcW w:w="1276" w:type="dxa"/>
            <w:vMerge w:val="continue"/>
            <w:vAlign w:val="center"/>
          </w:tcPr>
          <w:p>
            <w:pPr>
              <w:spacing w:line="320" w:lineRule="exact"/>
              <w:jc w:val="left"/>
              <w:rPr>
                <w:rFonts w:hint="eastAsia" w:ascii="宋体" w:hAnsi="宋体" w:eastAsia="宋体" w:cs="宋体"/>
                <w:color w:val="000000"/>
                <w:sz w:val="21"/>
                <w:szCs w:val="21"/>
              </w:rPr>
            </w:pPr>
          </w:p>
        </w:tc>
        <w:tc>
          <w:tcPr>
            <w:tcW w:w="1134" w:type="dxa"/>
            <w:vAlign w:val="center"/>
          </w:tcPr>
          <w:p>
            <w:pPr>
              <w:snapToGrid w:val="0"/>
              <w:spacing w:line="320" w:lineRule="exact"/>
              <w:rPr>
                <w:rFonts w:hint="eastAsia" w:ascii="宋体" w:hAnsi="宋体" w:eastAsia="宋体" w:cs="宋体"/>
                <w:sz w:val="21"/>
                <w:szCs w:val="21"/>
              </w:rPr>
            </w:pPr>
            <w:r>
              <w:rPr>
                <w:rFonts w:hint="eastAsia" w:ascii="宋体" w:hAnsi="宋体" w:eastAsia="宋体" w:cs="宋体"/>
                <w:sz w:val="21"/>
                <w:szCs w:val="21"/>
              </w:rPr>
              <w:t>类似业绩</w:t>
            </w:r>
          </w:p>
          <w:p>
            <w:pPr>
              <w:snapToGrid w:val="0"/>
              <w:spacing w:line="32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10分</w:t>
            </w:r>
          </w:p>
        </w:tc>
        <w:tc>
          <w:tcPr>
            <w:tcW w:w="4182" w:type="dxa"/>
            <w:vAlign w:val="center"/>
          </w:tcPr>
          <w:p>
            <w:pPr>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1.提供2018年1月1日至投标截止时间的同类项目制作案例，每提供一个得2分，最高得10分。</w:t>
            </w:r>
          </w:p>
        </w:tc>
        <w:tc>
          <w:tcPr>
            <w:tcW w:w="2197" w:type="dxa"/>
            <w:vAlign w:val="center"/>
          </w:tcPr>
          <w:p>
            <w:pPr>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注：供应商提供项目案例的制作合同（提供合同复印件并加盖单位公章。合同复印件包含合同首页、金额页、双方签字盖章页含签订日期），同一采购人的多个合同视为一个业绩。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75" w:type="dxa"/>
            <w:vMerge w:val="continue"/>
            <w:vAlign w:val="center"/>
          </w:tcPr>
          <w:p>
            <w:pPr>
              <w:spacing w:line="320" w:lineRule="exact"/>
              <w:jc w:val="center"/>
              <w:rPr>
                <w:rFonts w:hint="eastAsia" w:ascii="宋体" w:hAnsi="宋体" w:eastAsia="宋体" w:cs="宋体"/>
                <w:color w:val="000000"/>
                <w:sz w:val="21"/>
                <w:szCs w:val="21"/>
              </w:rPr>
            </w:pPr>
          </w:p>
        </w:tc>
        <w:tc>
          <w:tcPr>
            <w:tcW w:w="1276" w:type="dxa"/>
            <w:vMerge w:val="continue"/>
            <w:vAlign w:val="center"/>
          </w:tcPr>
          <w:p>
            <w:pPr>
              <w:spacing w:line="320" w:lineRule="exact"/>
              <w:jc w:val="left"/>
              <w:rPr>
                <w:rFonts w:hint="eastAsia" w:ascii="宋体" w:hAnsi="宋体" w:eastAsia="宋体" w:cs="宋体"/>
                <w:color w:val="000000"/>
                <w:sz w:val="21"/>
                <w:szCs w:val="21"/>
              </w:rPr>
            </w:pPr>
          </w:p>
        </w:tc>
        <w:tc>
          <w:tcPr>
            <w:tcW w:w="1134" w:type="dxa"/>
            <w:vAlign w:val="center"/>
          </w:tcPr>
          <w:p>
            <w:pPr>
              <w:spacing w:line="320" w:lineRule="exact"/>
              <w:ind w:firstLine="28"/>
              <w:jc w:val="center"/>
              <w:rPr>
                <w:rFonts w:hint="eastAsia" w:ascii="宋体" w:hAnsi="宋体" w:eastAsia="宋体" w:cs="宋体"/>
                <w:color w:val="000000"/>
                <w:kern w:val="0"/>
                <w:sz w:val="21"/>
                <w:szCs w:val="21"/>
              </w:rPr>
            </w:pPr>
            <w:r>
              <w:rPr>
                <w:rFonts w:hint="eastAsia" w:ascii="宋体" w:hAnsi="宋体" w:eastAsia="宋体" w:cs="宋体"/>
                <w:sz w:val="21"/>
                <w:szCs w:val="21"/>
              </w:rPr>
              <w:t>翻译</w:t>
            </w:r>
            <w:r>
              <w:rPr>
                <w:rFonts w:hint="eastAsia" w:ascii="宋体" w:hAnsi="宋体" w:eastAsia="宋体" w:cs="宋体"/>
                <w:color w:val="000000"/>
                <w:kern w:val="0"/>
                <w:sz w:val="21"/>
                <w:szCs w:val="21"/>
              </w:rPr>
              <w:t>团队5分</w:t>
            </w:r>
          </w:p>
        </w:tc>
        <w:tc>
          <w:tcPr>
            <w:tcW w:w="4182" w:type="dxa"/>
            <w:vAlign w:val="center"/>
          </w:tcPr>
          <w:p>
            <w:pPr>
              <w:spacing w:line="32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团队人员保障充足，人员素质满足招标文件全部要求，并提供资质认证相关认证证书的。</w:t>
            </w:r>
          </w:p>
          <w:p>
            <w:pPr>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1、全职</w:t>
            </w:r>
            <w:r>
              <w:rPr>
                <w:rFonts w:hint="eastAsia" w:ascii="宋体" w:hAnsi="宋体" w:eastAsia="宋体" w:cs="宋体"/>
                <w:color w:val="000000"/>
                <w:sz w:val="21"/>
                <w:szCs w:val="21"/>
                <w:lang w:eastAsia="zh-Hans"/>
              </w:rPr>
              <w:t>英语、</w:t>
            </w:r>
            <w:r>
              <w:rPr>
                <w:rFonts w:hint="eastAsia" w:ascii="宋体" w:hAnsi="宋体" w:eastAsia="宋体" w:cs="宋体"/>
                <w:color w:val="000000"/>
                <w:sz w:val="21"/>
                <w:szCs w:val="21"/>
              </w:rPr>
              <w:t>其他外语翻译人员5人以上，翻译团队负责人应至少为研究生学历，</w:t>
            </w:r>
            <w:r>
              <w:rPr>
                <w:rFonts w:hint="eastAsia" w:ascii="宋体" w:hAnsi="宋体" w:eastAsia="宋体" w:cs="宋体"/>
                <w:color w:val="000000"/>
                <w:sz w:val="21"/>
                <w:szCs w:val="21"/>
                <w:lang w:eastAsia="zh-Hans"/>
              </w:rPr>
              <w:t>并提供英语专业8级证书（</w:t>
            </w:r>
            <w:r>
              <w:rPr>
                <w:rFonts w:hint="eastAsia" w:ascii="宋体" w:hAnsi="宋体" w:eastAsia="宋体" w:cs="宋体"/>
                <w:color w:val="000000"/>
                <w:sz w:val="21"/>
                <w:szCs w:val="21"/>
              </w:rPr>
              <w:t>TEM-8</w:t>
            </w:r>
            <w:r>
              <w:rPr>
                <w:rFonts w:hint="eastAsia" w:ascii="宋体" w:hAnsi="宋体" w:eastAsia="宋体" w:cs="宋体"/>
                <w:color w:val="000000"/>
                <w:sz w:val="21"/>
                <w:szCs w:val="21"/>
                <w:lang w:eastAsia="zh-Hans"/>
              </w:rPr>
              <w:t>）证明及笔译CATTI2级二级以上证书</w:t>
            </w:r>
            <w:r>
              <w:rPr>
                <w:rFonts w:hint="eastAsia" w:ascii="宋体" w:hAnsi="宋体" w:eastAsia="宋体" w:cs="宋体"/>
                <w:color w:val="000000"/>
                <w:kern w:val="0"/>
                <w:sz w:val="21"/>
                <w:szCs w:val="21"/>
              </w:rPr>
              <w:t>，证书提供齐全得5分；</w:t>
            </w:r>
          </w:p>
          <w:p>
            <w:pPr>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2、全职英语、其他外语</w:t>
            </w:r>
            <w:r>
              <w:rPr>
                <w:rFonts w:hint="eastAsia" w:ascii="宋体" w:hAnsi="宋体" w:eastAsia="宋体" w:cs="宋体"/>
                <w:color w:val="000000"/>
                <w:sz w:val="21"/>
                <w:szCs w:val="21"/>
                <w:lang w:eastAsia="zh-Hans"/>
              </w:rPr>
              <w:t>翻译人数在</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Hans"/>
              </w:rPr>
              <w:t>人以上，并提供英语专业8级证书（</w:t>
            </w:r>
            <w:r>
              <w:rPr>
                <w:rFonts w:hint="eastAsia" w:ascii="宋体" w:hAnsi="宋体" w:eastAsia="宋体" w:cs="宋体"/>
                <w:color w:val="000000"/>
                <w:sz w:val="21"/>
                <w:szCs w:val="21"/>
              </w:rPr>
              <w:t>TEM-8</w:t>
            </w:r>
            <w:r>
              <w:rPr>
                <w:rFonts w:hint="eastAsia" w:ascii="宋体" w:hAnsi="宋体" w:eastAsia="宋体" w:cs="宋体"/>
                <w:color w:val="000000"/>
                <w:sz w:val="21"/>
                <w:szCs w:val="21"/>
                <w:lang w:eastAsia="zh-Hans"/>
              </w:rPr>
              <w:t>）证明及笔译CATTI2级二级以上证书</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证书提供齐全</w:t>
            </w:r>
            <w:r>
              <w:rPr>
                <w:rFonts w:hint="eastAsia" w:ascii="宋体" w:hAnsi="宋体" w:eastAsia="宋体" w:cs="宋体"/>
                <w:color w:val="000000"/>
                <w:sz w:val="21"/>
                <w:szCs w:val="21"/>
              </w:rPr>
              <w:t>得2分</w:t>
            </w:r>
            <w:r>
              <w:rPr>
                <w:rFonts w:hint="eastAsia" w:ascii="宋体" w:hAnsi="宋体" w:eastAsia="宋体" w:cs="宋体"/>
                <w:color w:val="000000"/>
                <w:kern w:val="0"/>
                <w:sz w:val="21"/>
                <w:szCs w:val="21"/>
              </w:rPr>
              <w:t>；</w:t>
            </w:r>
          </w:p>
          <w:p>
            <w:pPr>
              <w:spacing w:line="32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3、证书提供不齐全不得分。</w:t>
            </w:r>
          </w:p>
        </w:tc>
        <w:tc>
          <w:tcPr>
            <w:tcW w:w="2197" w:type="dxa"/>
            <w:vAlign w:val="center"/>
          </w:tcPr>
          <w:p>
            <w:pPr>
              <w:spacing w:line="240" w:lineRule="atLeast"/>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提供人员证书复印件并加盖供应商公章</w:t>
            </w:r>
          </w:p>
        </w:tc>
      </w:tr>
    </w:tbl>
    <w:p>
      <w:pPr>
        <w:pStyle w:val="20"/>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hint="eastAsia" w:ascii="宋体" w:hAnsi="Arial Narrow" w:eastAsia="宋体"/>
          <w:b/>
          <w:sz w:val="32"/>
          <w:lang w:val="en-US" w:eastAsia="zh-CN"/>
        </w:rPr>
        <w:t>27</w:t>
      </w:r>
      <w:r>
        <w:rPr>
          <w:rFonts w:hint="eastAsia" w:ascii="宋体" w:hAnsi="Arial Narrow" w:eastAsia="宋体"/>
          <w:b/>
          <w:sz w:val="32"/>
        </w:rPr>
        <w:t>0000元</w:t>
      </w:r>
    </w:p>
    <w:p>
      <w:pPr>
        <w:kinsoku w:val="0"/>
        <w:wordWrap w:val="0"/>
        <w:topLinePunct/>
        <w:ind w:firstLine="332" w:firstLineChars="100"/>
        <w:rPr>
          <w:rFonts w:hint="eastAsia" w:ascii="宋体" w:hAnsi="Arial Narrow" w:eastAsia="宋体"/>
          <w:b/>
          <w:sz w:val="21"/>
        </w:rPr>
      </w:pPr>
      <w:r>
        <w:rPr>
          <w:rFonts w:hint="eastAsia"/>
          <w:szCs w:val="28"/>
        </w:rPr>
        <w:t xml:space="preserve">  </w:t>
      </w:r>
      <w:r>
        <w:rPr>
          <w:rFonts w:hint="eastAsia" w:ascii="宋体" w:hAnsi="Arial Narrow" w:eastAsia="宋体"/>
          <w:b/>
          <w:sz w:val="21"/>
        </w:rPr>
        <w:t>医学院数字化资源国际运营项目</w:t>
      </w:r>
    </w:p>
    <w:p>
      <w:pPr>
        <w:rPr>
          <w:rFonts w:ascii="宋体" w:hAnsi="宋体" w:cs="宋体"/>
          <w:szCs w:val="21"/>
        </w:rPr>
      </w:pPr>
    </w:p>
    <w:p>
      <w:pPr>
        <w:ind w:left="438" w:leftChars="132"/>
        <w:rPr>
          <w:szCs w:val="28"/>
        </w:rPr>
      </w:pPr>
      <w:r>
        <w:rPr>
          <w:rFonts w:hint="eastAsia"/>
          <w:szCs w:val="28"/>
        </w:rPr>
        <w:t xml:space="preserve"> </w:t>
      </w:r>
    </w:p>
    <w:p>
      <w:pPr>
        <w:keepNext/>
        <w:keepLines/>
        <w:adjustRightInd w:val="0"/>
        <w:snapToGrid w:val="0"/>
        <w:spacing w:line="400" w:lineRule="exact"/>
        <w:ind w:firstLine="664" w:firstLineChars="200"/>
        <w:outlineLvl w:val="1"/>
        <w:rPr>
          <w:rFonts w:ascii="宋体" w:hAnsi="宋体" w:eastAsia="宋体" w:cs="宋体"/>
          <w:b/>
          <w:sz w:val="24"/>
          <w:szCs w:val="20"/>
        </w:rPr>
      </w:pPr>
      <w:r>
        <w:rPr>
          <w:rFonts w:hint="eastAsia"/>
          <w:szCs w:val="28"/>
        </w:rPr>
        <w:t xml:space="preserve"> </w:t>
      </w:r>
      <w:r>
        <w:rPr>
          <w:rFonts w:hint="eastAsia" w:ascii="宋体" w:hAnsi="宋体" w:eastAsia="宋体" w:cs="宋体"/>
          <w:b/>
          <w:sz w:val="24"/>
          <w:szCs w:val="20"/>
        </w:rPr>
        <w:t>一、项目一览表</w:t>
      </w:r>
    </w:p>
    <w:tbl>
      <w:tblPr>
        <w:tblStyle w:val="25"/>
        <w:tblW w:w="4652" w:type="pct"/>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4223"/>
        <w:gridCol w:w="1937"/>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3" w:type="dxa"/>
            <w:vAlign w:val="center"/>
          </w:tcPr>
          <w:p>
            <w:pPr>
              <w:widowControl/>
              <w:jc w:val="center"/>
              <w:textAlignment w:val="center"/>
              <w:rPr>
                <w:rFonts w:ascii="宋体" w:hAnsi="宋体" w:eastAsia="宋体" w:cs="宋体"/>
                <w:sz w:val="21"/>
                <w:szCs w:val="21"/>
              </w:rPr>
            </w:pPr>
            <w:r>
              <w:rPr>
                <w:rFonts w:hint="eastAsia" w:ascii="宋体" w:hAnsi="宋体" w:eastAsia="宋体" w:cs="宋体"/>
                <w:b/>
                <w:kern w:val="0"/>
                <w:sz w:val="21"/>
                <w:szCs w:val="21"/>
                <w:lang w:bidi="ar"/>
              </w:rPr>
              <w:t>序号</w:t>
            </w:r>
          </w:p>
        </w:tc>
        <w:tc>
          <w:tcPr>
            <w:tcW w:w="4223" w:type="dxa"/>
            <w:vAlign w:val="center"/>
          </w:tcPr>
          <w:p>
            <w:pPr>
              <w:jc w:val="center"/>
              <w:rPr>
                <w:rFonts w:ascii="宋体" w:hAnsi="宋体" w:eastAsia="宋体" w:cs="宋体"/>
                <w:sz w:val="21"/>
                <w:szCs w:val="21"/>
              </w:rPr>
            </w:pPr>
            <w:r>
              <w:rPr>
                <w:rFonts w:hint="eastAsia" w:ascii="宋体" w:hAnsi="宋体" w:eastAsia="宋体" w:cs="宋体"/>
                <w:b/>
                <w:sz w:val="21"/>
                <w:szCs w:val="21"/>
              </w:rPr>
              <w:t>产品名称（设备名称）</w:t>
            </w:r>
          </w:p>
        </w:tc>
        <w:tc>
          <w:tcPr>
            <w:tcW w:w="1937" w:type="dxa"/>
            <w:vAlign w:val="center"/>
          </w:tcPr>
          <w:p>
            <w:pPr>
              <w:jc w:val="center"/>
              <w:rPr>
                <w:rFonts w:ascii="宋体" w:hAnsi="宋体" w:eastAsia="宋体" w:cs="宋体"/>
                <w:sz w:val="21"/>
                <w:szCs w:val="21"/>
              </w:rPr>
            </w:pPr>
            <w:r>
              <w:rPr>
                <w:rFonts w:hint="eastAsia" w:ascii="宋体" w:hAnsi="宋体" w:eastAsia="宋体" w:cs="宋体"/>
                <w:b/>
                <w:sz w:val="21"/>
                <w:szCs w:val="21"/>
              </w:rPr>
              <w:t>数量/单位</w:t>
            </w:r>
          </w:p>
        </w:tc>
        <w:tc>
          <w:tcPr>
            <w:tcW w:w="2468" w:type="dxa"/>
            <w:vAlign w:val="center"/>
          </w:tcPr>
          <w:p>
            <w:pPr>
              <w:jc w:val="center"/>
              <w:rPr>
                <w:rFonts w:ascii="宋体" w:hAnsi="宋体" w:eastAsia="宋体" w:cs="宋体"/>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42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课程英文翻译</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restart"/>
            <w:vAlign w:val="center"/>
          </w:tcPr>
          <w:p>
            <w:pPr>
              <w:spacing w:line="400" w:lineRule="exact"/>
              <w:rPr>
                <w:rFonts w:ascii="宋体" w:hAnsi="宋体" w:eastAsia="宋体" w:cs="宋体"/>
                <w:sz w:val="21"/>
                <w:szCs w:val="21"/>
              </w:rPr>
            </w:pPr>
            <w:r>
              <w:rPr>
                <w:rFonts w:hint="eastAsia" w:ascii="宋体" w:hAnsi="宋体" w:eastAsia="宋体" w:cs="宋体"/>
                <w:sz w:val="21"/>
                <w:szCs w:val="21"/>
              </w:rPr>
              <w:t>所提供产品必须为中国关境内生产。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42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上线国际版平台</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4223" w:type="dxa"/>
            <w:vAlign w:val="center"/>
          </w:tcPr>
          <w:p>
            <w:pPr>
              <w:spacing w:line="360" w:lineRule="auto"/>
              <w:jc w:val="center"/>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首页banner推广</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4223" w:type="dxa"/>
            <w:vAlign w:val="center"/>
          </w:tcPr>
          <w:p>
            <w:pPr>
              <w:spacing w:line="360" w:lineRule="auto"/>
              <w:jc w:val="center"/>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首页好课推荐</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4223" w:type="dxa"/>
            <w:vAlign w:val="center"/>
          </w:tcPr>
          <w:p>
            <w:pPr>
              <w:spacing w:line="360" w:lineRule="auto"/>
              <w:jc w:val="center"/>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海外公众号推文</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6</w:t>
            </w:r>
          </w:p>
        </w:tc>
        <w:tc>
          <w:tcPr>
            <w:tcW w:w="4223" w:type="dxa"/>
            <w:vAlign w:val="center"/>
          </w:tcPr>
          <w:p>
            <w:pPr>
              <w:spacing w:line="360" w:lineRule="auto"/>
              <w:jc w:val="center"/>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对接线上“智慧教育”国家平台</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7</w:t>
            </w:r>
          </w:p>
        </w:tc>
        <w:tc>
          <w:tcPr>
            <w:tcW w:w="4223" w:type="dxa"/>
            <w:vAlign w:val="center"/>
          </w:tcPr>
          <w:p>
            <w:pPr>
              <w:spacing w:line="360" w:lineRule="auto"/>
              <w:jc w:val="center"/>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一对一全流程服务</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8</w:t>
            </w:r>
          </w:p>
        </w:tc>
        <w:tc>
          <w:tcPr>
            <w:tcW w:w="4223" w:type="dxa"/>
            <w:vAlign w:val="center"/>
          </w:tcPr>
          <w:p>
            <w:pPr>
              <w:spacing w:line="360" w:lineRule="auto"/>
              <w:jc w:val="center"/>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推荐国际课程“出海”服务</w:t>
            </w:r>
            <w:r>
              <w:rPr>
                <w:rFonts w:ascii="宋体" w:hAnsi="Times New Roman" w:eastAsia="宋体" w:cs="宋体"/>
                <w:color w:val="000000"/>
                <w:kern w:val="0"/>
                <w:sz w:val="21"/>
                <w:szCs w:val="21"/>
              </w:rPr>
              <w:t>1</w:t>
            </w:r>
            <w:r>
              <w:rPr>
                <w:rFonts w:hint="eastAsia" w:ascii="宋体" w:hAnsi="Times New Roman" w:eastAsia="宋体" w:cs="宋体"/>
                <w:color w:val="000000"/>
                <w:kern w:val="0"/>
                <w:sz w:val="21"/>
                <w:szCs w:val="21"/>
              </w:rPr>
              <w:t>次</w:t>
            </w:r>
          </w:p>
        </w:tc>
        <w:tc>
          <w:tcPr>
            <w:tcW w:w="193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1项</w:t>
            </w:r>
          </w:p>
        </w:tc>
        <w:tc>
          <w:tcPr>
            <w:tcW w:w="2468" w:type="dxa"/>
            <w:vMerge w:val="continue"/>
            <w:vAlign w:val="center"/>
          </w:tcPr>
          <w:p>
            <w:pPr>
              <w:spacing w:line="400" w:lineRule="exact"/>
              <w:rPr>
                <w:rFonts w:ascii="宋体" w:hAnsi="宋体" w:eastAsia="宋体" w:cs="宋体"/>
                <w:sz w:val="21"/>
                <w:szCs w:val="21"/>
              </w:rPr>
            </w:pPr>
          </w:p>
        </w:tc>
      </w:tr>
    </w:tbl>
    <w:p>
      <w:pPr>
        <w:keepNext/>
        <w:keepLines/>
        <w:adjustRightInd w:val="0"/>
        <w:snapToGrid w:val="0"/>
        <w:spacing w:line="400" w:lineRule="exact"/>
        <w:ind w:firstLine="524" w:firstLineChars="200"/>
        <w:outlineLvl w:val="1"/>
        <w:rPr>
          <w:rFonts w:ascii="宋体" w:hAnsi="宋体" w:eastAsia="宋体" w:cs="宋体"/>
          <w:b/>
          <w:sz w:val="21"/>
          <w:szCs w:val="21"/>
        </w:rPr>
      </w:pPr>
      <w:bookmarkStart w:id="0" w:name="_Toc21394"/>
      <w:r>
        <w:rPr>
          <w:rFonts w:hint="eastAsia" w:ascii="宋体" w:hAnsi="宋体" w:eastAsia="宋体" w:cs="宋体"/>
          <w:b/>
          <w:sz w:val="21"/>
          <w:szCs w:val="21"/>
        </w:rPr>
        <w:t>二、技术规格及质量要求</w:t>
      </w:r>
      <w:bookmarkEnd w:id="0"/>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本项目包含</w:t>
      </w:r>
      <w:r>
        <w:rPr>
          <w:rFonts w:ascii="宋体" w:hAnsi="Times New Roman" w:eastAsia="宋体" w:cs="宋体"/>
          <w:color w:val="000000"/>
          <w:kern w:val="0"/>
          <w:sz w:val="21"/>
          <w:szCs w:val="21"/>
        </w:rPr>
        <w:t>9</w:t>
      </w:r>
      <w:r>
        <w:rPr>
          <w:rFonts w:hint="eastAsia" w:ascii="宋体" w:hAnsi="Times New Roman" w:eastAsia="宋体" w:cs="宋体"/>
          <w:color w:val="000000"/>
          <w:kern w:val="0"/>
          <w:sz w:val="21"/>
          <w:szCs w:val="21"/>
        </w:rPr>
        <w:t>门课程的中英翻译和运行推广。服务要求包括项目制作要求、课程平台要求、课程推广要求等。</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（一）课程英文翻译</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1.项目制作要求</w:t>
      </w:r>
    </w:p>
    <w:p>
      <w:pPr>
        <w:widowControl/>
        <w:spacing w:line="340" w:lineRule="exact"/>
        <w:ind w:firstLine="262" w:firstLineChars="1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（1）</w:t>
      </w:r>
      <w:r>
        <w:rPr>
          <w:rFonts w:ascii="宋体" w:hAnsi="Times New Roman" w:eastAsia="宋体" w:cs="宋体"/>
          <w:color w:val="000000"/>
          <w:kern w:val="0"/>
          <w:sz w:val="21"/>
          <w:szCs w:val="21"/>
        </w:rPr>
        <w:t>课程制作期间</w:t>
      </w:r>
      <w:r>
        <w:rPr>
          <w:rFonts w:hint="eastAsia" w:ascii="宋体" w:hAnsi="Times New Roman" w:eastAsia="宋体" w:cs="宋体"/>
          <w:color w:val="000000"/>
          <w:kern w:val="0"/>
          <w:sz w:val="21"/>
          <w:szCs w:val="21"/>
        </w:rPr>
        <w:t>任务及要求如下：</w:t>
      </w:r>
    </w:p>
    <w:p>
      <w:pPr>
        <w:widowControl/>
        <w:numPr>
          <w:ilvl w:val="0"/>
          <w:numId w:val="9"/>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协助教师团队分析课程，完成课程标准、课程设计及实施。</w:t>
      </w:r>
    </w:p>
    <w:p>
      <w:pPr>
        <w:widowControl/>
        <w:numPr>
          <w:ilvl w:val="0"/>
          <w:numId w:val="9"/>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协助教师团队对课程知识点进行设计。</w:t>
      </w:r>
    </w:p>
    <w:p>
      <w:pPr>
        <w:widowControl/>
        <w:numPr>
          <w:ilvl w:val="0"/>
          <w:numId w:val="9"/>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协助教师团队完成慕课课程的框架设计、资源的组织与运用。</w:t>
      </w:r>
    </w:p>
    <w:p>
      <w:pPr>
        <w:widowControl/>
        <w:numPr>
          <w:ilvl w:val="0"/>
          <w:numId w:val="9"/>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协助教师团队制作与课程相关的数字教学资源的翻译。包括讲义、幻灯片、教学大纲、微课视频、课堂笔记、测验题和讨论主题等。</w:t>
      </w:r>
    </w:p>
    <w:p>
      <w:pPr>
        <w:widowControl/>
        <w:numPr>
          <w:ilvl w:val="0"/>
          <w:numId w:val="9"/>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协助教师团队完成国际化课程的平台上线与运营。</w:t>
      </w:r>
    </w:p>
    <w:p>
      <w:pPr>
        <w:widowControl/>
        <w:spacing w:line="340" w:lineRule="exact"/>
        <w:ind w:firstLine="262" w:firstLineChars="1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（2）翻译要求</w:t>
      </w:r>
    </w:p>
    <w:p>
      <w:pPr>
        <w:widowControl/>
        <w:numPr>
          <w:ilvl w:val="0"/>
          <w:numId w:val="10"/>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应拥有专业翻译人员队伍及课程建设编译能力。</w:t>
      </w:r>
    </w:p>
    <w:p>
      <w:pPr>
        <w:widowControl/>
        <w:numPr>
          <w:ilvl w:val="0"/>
          <w:numId w:val="10"/>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对该课程有一定专业理解，能广泛收集素材。</w:t>
      </w:r>
    </w:p>
    <w:p>
      <w:pPr>
        <w:widowControl/>
        <w:numPr>
          <w:ilvl w:val="0"/>
          <w:numId w:val="10"/>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应拥有全职英语翻译人数，并提供</w:t>
      </w:r>
      <w:r>
        <w:rPr>
          <w:rFonts w:hint="eastAsia" w:ascii="宋体" w:hAnsi="Times New Roman" w:eastAsia="宋体" w:cs="宋体"/>
          <w:color w:val="000000"/>
          <w:kern w:val="0"/>
          <w:sz w:val="21"/>
          <w:szCs w:val="21"/>
        </w:rPr>
        <w:t>翻译团队</w:t>
      </w:r>
      <w:r>
        <w:rPr>
          <w:rFonts w:ascii="宋体" w:hAnsi="Times New Roman" w:eastAsia="宋体" w:cs="宋体"/>
          <w:color w:val="000000"/>
          <w:kern w:val="0"/>
          <w:sz w:val="21"/>
          <w:szCs w:val="21"/>
        </w:rPr>
        <w:t>英语</w:t>
      </w:r>
      <w:r>
        <w:rPr>
          <w:rFonts w:hint="eastAsia" w:ascii="宋体" w:hAnsi="Times New Roman" w:eastAsia="宋体" w:cs="宋体"/>
          <w:color w:val="000000"/>
          <w:kern w:val="0"/>
          <w:sz w:val="21"/>
          <w:szCs w:val="21"/>
        </w:rPr>
        <w:t>相关</w:t>
      </w:r>
      <w:r>
        <w:rPr>
          <w:rFonts w:ascii="宋体" w:hAnsi="Times New Roman" w:eastAsia="宋体" w:cs="宋体"/>
          <w:color w:val="000000"/>
          <w:kern w:val="0"/>
          <w:sz w:val="21"/>
          <w:szCs w:val="21"/>
        </w:rPr>
        <w:t>证书。</w:t>
      </w:r>
    </w:p>
    <w:p>
      <w:pPr>
        <w:widowControl/>
        <w:numPr>
          <w:ilvl w:val="0"/>
          <w:numId w:val="10"/>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应拥有整体课程翻译经验，提供证明函作为佐证。（需提供截图证明并加盖供应商公章）</w:t>
      </w:r>
    </w:p>
    <w:p>
      <w:pPr>
        <w:widowControl/>
        <w:numPr>
          <w:ilvl w:val="0"/>
          <w:numId w:val="10"/>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所拥有的专业翻译人员需针对翻译的课程形成编译报告意见。</w:t>
      </w:r>
    </w:p>
    <w:p>
      <w:pPr>
        <w:widowControl/>
        <w:numPr>
          <w:ilvl w:val="0"/>
          <w:numId w:val="10"/>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翻译服务译文质量要求-中华人民共和国国家标准GB/T 19682-2005，并采用人工笔译的方式进行，要以对象国母语使用者进行忠实原文</w:t>
      </w:r>
      <w:r>
        <w:rPr>
          <w:rFonts w:hint="eastAsia" w:ascii="宋体" w:hAnsi="Times New Roman" w:eastAsia="宋体" w:cs="宋体"/>
          <w:color w:val="000000"/>
          <w:kern w:val="0"/>
          <w:sz w:val="21"/>
          <w:szCs w:val="21"/>
        </w:rPr>
        <w:t>完整、准确地表达原文信息，无核心语义差错。</w:t>
      </w:r>
      <w:r>
        <w:rPr>
          <w:rFonts w:ascii="宋体" w:hAnsi="Times New Roman" w:eastAsia="宋体" w:cs="宋体"/>
          <w:color w:val="000000"/>
          <w:kern w:val="0"/>
          <w:sz w:val="21"/>
          <w:szCs w:val="21"/>
        </w:rPr>
        <w:t>术语统一</w:t>
      </w:r>
      <w:r>
        <w:rPr>
          <w:rFonts w:hint="eastAsia" w:ascii="宋体" w:hAnsi="Times New Roman" w:eastAsia="宋体" w:cs="宋体"/>
          <w:color w:val="000000"/>
          <w:kern w:val="0"/>
          <w:sz w:val="21"/>
          <w:szCs w:val="21"/>
        </w:rPr>
        <w:t>术语符合目标语言的行业专业通用标准或习惯，并前后一致。</w:t>
      </w:r>
      <w:r>
        <w:rPr>
          <w:rFonts w:ascii="宋体" w:hAnsi="Times New Roman" w:eastAsia="宋体" w:cs="宋体"/>
          <w:color w:val="000000"/>
          <w:kern w:val="0"/>
          <w:sz w:val="21"/>
          <w:szCs w:val="21"/>
        </w:rPr>
        <w:t>行文通顺</w:t>
      </w:r>
      <w:r>
        <w:rPr>
          <w:rFonts w:hint="eastAsia" w:ascii="宋体" w:hAnsi="Times New Roman" w:eastAsia="宋体" w:cs="宋体"/>
          <w:color w:val="000000"/>
          <w:kern w:val="0"/>
          <w:sz w:val="21"/>
          <w:szCs w:val="21"/>
        </w:rPr>
        <w:t>符合目标语言文字规范和表达习惯，行文清晰易懂。</w:t>
      </w:r>
    </w:p>
    <w:p>
      <w:pPr>
        <w:widowControl/>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当采用原文的句型结构或修辞方式不能使译文通顺时，可以在不影响原文语义的前提下，在译文中改变句型结构或修辞或增删某些词句，以使译文更符合目标语言的表达习惯。</w:t>
      </w:r>
    </w:p>
    <w:p>
      <w:pPr>
        <w:widowControl/>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诗词、歌赋、广告用其他特殊文件采用特殊修辞的语句，允许在对原文核心语义的前提下，在译文中改变的基础上，变通译出。</w:t>
      </w:r>
    </w:p>
    <w:p>
      <w:pPr>
        <w:widowControl/>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原文中夹杂有其他语种的文字且无法译出或不在约定翻译范围，必须在相关位置注明，同时保留原文。</w:t>
      </w:r>
    </w:p>
    <w:p>
      <w:pPr>
        <w:widowControl/>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如果原文存在错误，译者可按原文字含义直接译出，并在译文中注明，也可予以修正并注明。如果原文存在含混、文字缺失现象而顾客又不能给出必要的说明，译者可采取合理的说明</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（3）字幕制作要求</w:t>
      </w:r>
    </w:p>
    <w:p>
      <w:pPr>
        <w:snapToGrid w:val="0"/>
        <w:spacing w:line="360" w:lineRule="auto"/>
        <w:ind w:left="664" w:leftChars="200"/>
        <w:rPr>
          <w:rFonts w:ascii="宋体" w:hAnsi="Times New Roman" w:eastAsia="宋体" w:cs="宋体"/>
          <w:color w:val="000000"/>
          <w:sz w:val="21"/>
          <w:szCs w:val="21"/>
        </w:rPr>
      </w:pPr>
      <w:r>
        <w:rPr>
          <w:rFonts w:hint="eastAsia" w:ascii="宋体" w:hAnsi="Times New Roman" w:eastAsia="宋体" w:cs="宋体"/>
          <w:color w:val="000000"/>
          <w:sz w:val="21"/>
          <w:szCs w:val="21"/>
        </w:rPr>
        <w:t>准确性- 成品无错别字等低级错误。</w:t>
      </w:r>
    </w:p>
    <w:p>
      <w:pPr>
        <w:numPr>
          <w:ilvl w:val="0"/>
          <w:numId w:val="11"/>
        </w:numPr>
        <w:snapToGrid w:val="0"/>
        <w:spacing w:line="360" w:lineRule="auto"/>
        <w:ind w:firstLine="524" w:firstLineChars="200"/>
        <w:rPr>
          <w:rFonts w:ascii="宋体" w:hAnsi="Times New Roman" w:eastAsia="宋体" w:cs="宋体"/>
          <w:color w:val="000000"/>
          <w:sz w:val="21"/>
          <w:szCs w:val="21"/>
        </w:rPr>
      </w:pPr>
      <w:r>
        <w:rPr>
          <w:rFonts w:hint="eastAsia" w:ascii="宋体" w:hAnsi="Times New Roman" w:eastAsia="宋体" w:cs="宋体"/>
          <w:color w:val="000000"/>
          <w:sz w:val="21"/>
          <w:szCs w:val="21"/>
        </w:rPr>
        <w:t>一致性- 字幕在形式和陈述时保持一致性</w:t>
      </w:r>
    </w:p>
    <w:p>
      <w:pPr>
        <w:numPr>
          <w:ilvl w:val="0"/>
          <w:numId w:val="11"/>
        </w:numPr>
        <w:snapToGrid w:val="0"/>
        <w:spacing w:line="360" w:lineRule="auto"/>
        <w:ind w:firstLine="524" w:firstLineChars="200"/>
        <w:rPr>
          <w:rFonts w:ascii="宋体" w:hAnsi="Times New Roman" w:eastAsia="宋体" w:cs="宋体"/>
          <w:color w:val="000000"/>
          <w:sz w:val="21"/>
          <w:szCs w:val="21"/>
        </w:rPr>
      </w:pPr>
      <w:r>
        <w:rPr>
          <w:rFonts w:hint="eastAsia" w:ascii="宋体" w:hAnsi="Times New Roman" w:eastAsia="宋体" w:cs="宋体"/>
          <w:color w:val="000000"/>
          <w:sz w:val="21"/>
          <w:szCs w:val="21"/>
        </w:rPr>
        <w:t>清晰性- 音频的完整陈述,包括说话者识别以及非谈话内容,均需用字幕清晰呈现。</w:t>
      </w:r>
    </w:p>
    <w:p>
      <w:pPr>
        <w:numPr>
          <w:ilvl w:val="0"/>
          <w:numId w:val="11"/>
        </w:numPr>
        <w:snapToGrid w:val="0"/>
        <w:spacing w:line="360" w:lineRule="auto"/>
        <w:ind w:firstLine="524" w:firstLineChars="200"/>
        <w:rPr>
          <w:rFonts w:ascii="宋体" w:hAnsi="Times New Roman" w:eastAsia="宋体" w:cs="宋体"/>
          <w:color w:val="000000"/>
          <w:sz w:val="21"/>
          <w:szCs w:val="21"/>
        </w:rPr>
      </w:pPr>
      <w:r>
        <w:rPr>
          <w:rFonts w:hint="eastAsia" w:ascii="宋体" w:hAnsi="Times New Roman" w:eastAsia="宋体" w:cs="宋体"/>
          <w:color w:val="000000"/>
          <w:sz w:val="21"/>
          <w:szCs w:val="21"/>
        </w:rPr>
        <w:t>可读性- 字幕出现的时间要足够观众阅读,和音频同步且字幕不遮盖画面本身有效内容。</w:t>
      </w:r>
    </w:p>
    <w:p>
      <w:pPr>
        <w:numPr>
          <w:ilvl w:val="0"/>
          <w:numId w:val="11"/>
        </w:numPr>
        <w:snapToGrid w:val="0"/>
        <w:spacing w:line="360" w:lineRule="auto"/>
        <w:ind w:firstLine="524" w:firstLineChars="200"/>
        <w:rPr>
          <w:rFonts w:ascii="宋体" w:hAnsi="Times New Roman" w:eastAsia="宋体" w:cs="宋体"/>
          <w:color w:val="000000"/>
          <w:sz w:val="21"/>
          <w:szCs w:val="21"/>
        </w:rPr>
      </w:pPr>
      <w:r>
        <w:rPr>
          <w:rFonts w:hint="eastAsia" w:ascii="宋体" w:hAnsi="Times New Roman" w:eastAsia="宋体" w:cs="宋体"/>
          <w:color w:val="000000"/>
          <w:sz w:val="21"/>
          <w:szCs w:val="21"/>
        </w:rPr>
        <w:t>同等性- 字幕应完整传达视频素材的内容和意图,二者内容同等。</w:t>
      </w:r>
    </w:p>
    <w:p>
      <w:pPr>
        <w:widowControl/>
        <w:spacing w:line="340" w:lineRule="exact"/>
        <w:ind w:firstLine="524" w:firstLineChars="200"/>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hint="eastAsia" w:ascii="宋体" w:hAnsi="Times New Roman" w:eastAsia="宋体" w:cs="宋体"/>
          <w:color w:val="000000"/>
          <w:kern w:val="0"/>
          <w:sz w:val="21"/>
          <w:szCs w:val="21"/>
        </w:rPr>
        <w:t>（4）</w:t>
      </w:r>
      <w:r>
        <w:rPr>
          <w:rFonts w:ascii="宋体" w:hAnsi="Times New Roman" w:eastAsia="宋体" w:cs="宋体"/>
          <w:color w:val="000000"/>
          <w:kern w:val="0"/>
          <w:sz w:val="21"/>
          <w:szCs w:val="21"/>
        </w:rPr>
        <w:t>教学效果与影响</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要求服务供应商提供</w:t>
      </w:r>
      <w:r>
        <w:rPr>
          <w:rFonts w:ascii="宋体" w:hAnsi="Times New Roman" w:eastAsia="宋体" w:cs="宋体"/>
          <w:color w:val="000000"/>
          <w:kern w:val="0"/>
          <w:sz w:val="21"/>
          <w:szCs w:val="21"/>
        </w:rPr>
        <w:t>3门课程的运行报告，要求运行报告的大数据分析至少包含课程参与学生人数，在线学习进度分析、学生学习行为分析、线下课程出席及表现情况、学生满意度，意见收集等信息</w:t>
      </w:r>
      <w:r>
        <w:rPr>
          <w:rFonts w:hint="eastAsia" w:ascii="宋体" w:hAnsi="Times New Roman" w:eastAsia="宋体" w:cs="宋体"/>
          <w:color w:val="000000"/>
          <w:kern w:val="0"/>
          <w:sz w:val="21"/>
          <w:szCs w:val="21"/>
        </w:rPr>
        <w:t>。（</w:t>
      </w:r>
      <w:r>
        <w:rPr>
          <w:rFonts w:ascii="宋体" w:hAnsi="Times New Roman" w:eastAsia="宋体" w:cs="宋体"/>
          <w:color w:val="000000"/>
          <w:kern w:val="0"/>
          <w:sz w:val="21"/>
          <w:szCs w:val="21"/>
        </w:rPr>
        <w:t>提供运行报告的扫描件并加盖供应商公章</w:t>
      </w:r>
      <w:r>
        <w:rPr>
          <w:rFonts w:hint="eastAsia" w:ascii="宋体" w:hAnsi="Times New Roman" w:eastAsia="宋体" w:cs="宋体"/>
          <w:color w:val="000000"/>
          <w:kern w:val="0"/>
          <w:sz w:val="21"/>
          <w:szCs w:val="21"/>
        </w:rPr>
        <w:t>）</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（5）</w:t>
      </w:r>
      <w:r>
        <w:rPr>
          <w:rFonts w:ascii="宋体" w:hAnsi="Times New Roman" w:eastAsia="宋体" w:cs="宋体"/>
          <w:color w:val="000000"/>
          <w:kern w:val="0"/>
          <w:sz w:val="21"/>
          <w:szCs w:val="21"/>
        </w:rPr>
        <w:t>移动教学</w:t>
      </w:r>
    </w:p>
    <w:p>
      <w:pPr>
        <w:widowControl/>
        <w:numPr>
          <w:ilvl w:val="0"/>
          <w:numId w:val="12"/>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基于微信、PPT学校现有办公软件，无需安装APP,实现翻转教学；</w:t>
      </w:r>
    </w:p>
    <w:p>
      <w:pPr>
        <w:widowControl/>
        <w:numPr>
          <w:ilvl w:val="0"/>
          <w:numId w:val="12"/>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需支持iOS和Android两大在主流操作系统，同时满足手机、平板电脑智能移动终端使用</w:t>
      </w:r>
      <w:r>
        <w:rPr>
          <w:rFonts w:hint="eastAsia" w:ascii="宋体" w:hAnsi="Times New Roman" w:eastAsia="宋体" w:cs="宋体"/>
          <w:color w:val="000000"/>
          <w:kern w:val="0"/>
          <w:sz w:val="21"/>
          <w:szCs w:val="21"/>
        </w:rPr>
        <w:t>。</w:t>
      </w:r>
    </w:p>
    <w:p>
      <w:pPr>
        <w:widowControl/>
        <w:numPr>
          <w:ilvl w:val="0"/>
          <w:numId w:val="12"/>
        </w:numPr>
        <w:spacing w:line="340" w:lineRule="exact"/>
        <w:ind w:firstLineChars="200"/>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ascii="宋体" w:hAnsi="Times New Roman" w:eastAsia="宋体" w:cs="宋体"/>
          <w:color w:val="000000"/>
          <w:kern w:val="0"/>
          <w:sz w:val="21"/>
          <w:szCs w:val="21"/>
        </w:rPr>
        <w:t>课前推送预习材料</w:t>
      </w:r>
    </w:p>
    <w:p>
      <w:pPr>
        <w:widowControl/>
        <w:numPr>
          <w:ilvl w:val="0"/>
          <w:numId w:val="13"/>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以在ppt中插入多种类型考题，插入mooc视频和优酷土豆等第三方视频插入，可以根据学生专业基础，所在学校的培养目标定位和所在教学团队的所长，借用MOOC视频和课件自由组合成属于自己的教学方案，定制符合自己教学风格和教学节奏的教学设计。</w:t>
      </w:r>
    </w:p>
    <w:p>
      <w:pPr>
        <w:widowControl/>
        <w:numPr>
          <w:ilvl w:val="0"/>
          <w:numId w:val="13"/>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教师可以将预习材料上传至手机，推送到学生微信。（需提供截图并加盖供应商公章）</w:t>
      </w:r>
    </w:p>
    <w:p>
      <w:pPr>
        <w:widowControl/>
        <w:numPr>
          <w:ilvl w:val="0"/>
          <w:numId w:val="13"/>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教师可以对每一页课件进行语音讲解，进行重点提点和针对性讲解，丰富课件内容，方便学生理解和学习。</w:t>
      </w:r>
    </w:p>
    <w:p>
      <w:pPr>
        <w:widowControl/>
        <w:numPr>
          <w:ilvl w:val="0"/>
          <w:numId w:val="13"/>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教师可以设置预习截止时间，在节点前没有预习的学生会收到信息提示。</w:t>
      </w:r>
    </w:p>
    <w:p>
      <w:pPr>
        <w:widowControl/>
        <w:numPr>
          <w:ilvl w:val="0"/>
          <w:numId w:val="13"/>
        </w:numPr>
        <w:spacing w:line="340" w:lineRule="exact"/>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ascii="宋体" w:hAnsi="Times New Roman" w:eastAsia="宋体" w:cs="宋体"/>
          <w:color w:val="000000"/>
          <w:kern w:val="0"/>
          <w:sz w:val="21"/>
          <w:szCs w:val="21"/>
        </w:rPr>
        <w:t>教师可以详细查看学生预习情况：是否预习，预习时间及时长（默认每页PPT停留3秒以上做预习记录）。（需提供截图并加盖供应商公章）</w:t>
      </w:r>
    </w:p>
    <w:p>
      <w:pPr>
        <w:widowControl/>
        <w:numPr>
          <w:ilvl w:val="0"/>
          <w:numId w:val="13"/>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教师可以随时预览课件。</w:t>
      </w:r>
    </w:p>
    <w:p>
      <w:pPr>
        <w:widowControl/>
        <w:numPr>
          <w:ilvl w:val="0"/>
          <w:numId w:val="13"/>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教师在手机端可以随时查看班级课件。</w:t>
      </w:r>
    </w:p>
    <w:p>
      <w:pPr>
        <w:widowControl/>
        <w:numPr>
          <w:ilvl w:val="0"/>
          <w:numId w:val="12"/>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课程教学</w:t>
      </w:r>
    </w:p>
    <w:p>
      <w:pPr>
        <w:widowControl/>
        <w:numPr>
          <w:ilvl w:val="0"/>
          <w:numId w:val="14"/>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支持课堂签到：教师一键开启授课，学生扫描课堂二维码、或输入教师分享的邀请码等方式进行签到；</w:t>
      </w:r>
    </w:p>
    <w:p>
      <w:pPr>
        <w:widowControl/>
        <w:numPr>
          <w:ilvl w:val="0"/>
          <w:numId w:val="14"/>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 xml:space="preserve"> </w:t>
      </w:r>
      <w:r>
        <w:rPr>
          <w:rFonts w:ascii="Arial" w:hAnsi="Arial" w:cs="Arial"/>
          <w:color w:val="333333"/>
          <w:sz w:val="21"/>
          <w:szCs w:val="21"/>
          <w:shd w:val="clear" w:color="auto" w:fill="FFFFFF"/>
        </w:rPr>
        <w:t>▲</w:t>
      </w:r>
      <w:r>
        <w:rPr>
          <w:rFonts w:ascii="宋体" w:hAnsi="Times New Roman" w:eastAsia="宋体" w:cs="宋体"/>
          <w:color w:val="000000"/>
          <w:kern w:val="0"/>
          <w:sz w:val="21"/>
          <w:szCs w:val="21"/>
        </w:rPr>
        <w:t>支持课件同步：课件实时同步到学生手机端（免去学生上课忙于抄写、拍照，课后要ppt的情形，可随时再现复习课堂教学内容）；（需提供截图并加盖供应商公章）</w:t>
      </w:r>
    </w:p>
    <w:p>
      <w:pPr>
        <w:widowControl/>
        <w:numPr>
          <w:ilvl w:val="0"/>
          <w:numId w:val="14"/>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支持学习反馈：课堂教学中如有学生不懂，可以点击不懂，也可以收藏课件以备后续复习；</w:t>
      </w:r>
    </w:p>
    <w:p>
      <w:pPr>
        <w:widowControl/>
        <w:numPr>
          <w:ilvl w:val="0"/>
          <w:numId w:val="14"/>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支持随堂小测：课堂支持限时随堂测验，支持单选，多选和投票题。随堂测试结果实时显示，方便教师实时了解答题情况。</w:t>
      </w:r>
    </w:p>
    <w:p>
      <w:pPr>
        <w:widowControl/>
        <w:numPr>
          <w:ilvl w:val="0"/>
          <w:numId w:val="14"/>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支持随堂考试：课堂结束后，教师可以查看学生答题情况；</w:t>
      </w:r>
    </w:p>
    <w:p>
      <w:pPr>
        <w:widowControl/>
        <w:numPr>
          <w:ilvl w:val="0"/>
          <w:numId w:val="14"/>
        </w:numPr>
        <w:spacing w:line="340" w:lineRule="exact"/>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ascii="宋体" w:hAnsi="Times New Roman" w:eastAsia="宋体" w:cs="宋体"/>
          <w:color w:val="000000"/>
          <w:kern w:val="0"/>
          <w:sz w:val="21"/>
          <w:szCs w:val="21"/>
        </w:rPr>
        <w:t>弹幕互动：教师可根据课堂教学情况随时开启弹幕，组织学生讨论，活跃课堂气氛，增加师生实时互动（需提供截图并加盖供应商公章）；</w:t>
      </w:r>
    </w:p>
    <w:p>
      <w:pPr>
        <w:widowControl/>
        <w:numPr>
          <w:ilvl w:val="0"/>
          <w:numId w:val="14"/>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支持教学反馈：老师结束授课后，收到“课程小结”和随堂小测数据，“不懂”课件数据，教学课件详情，考卷数据，弹幕详情，教学笔记等）。（需提供截图并加盖供应商公章）</w:t>
      </w:r>
    </w:p>
    <w:p>
      <w:pPr>
        <w:widowControl/>
        <w:numPr>
          <w:ilvl w:val="0"/>
          <w:numId w:val="12"/>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课后练习</w:t>
      </w:r>
    </w:p>
    <w:p>
      <w:pPr>
        <w:widowControl/>
        <w:numPr>
          <w:ilvl w:val="0"/>
          <w:numId w:val="15"/>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教师可从试卷库选择考卷发送给指定的</w:t>
      </w:r>
      <w:r>
        <w:rPr>
          <w:rFonts w:hint="eastAsia" w:ascii="宋体" w:hAnsi="Times New Roman" w:eastAsia="宋体" w:cs="宋体"/>
          <w:color w:val="000000"/>
          <w:kern w:val="0"/>
          <w:sz w:val="21"/>
          <w:szCs w:val="21"/>
        </w:rPr>
        <w:t>班级。</w:t>
      </w:r>
    </w:p>
    <w:p>
      <w:pPr>
        <w:widowControl/>
        <w:numPr>
          <w:ilvl w:val="0"/>
          <w:numId w:val="15"/>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教师可自定义答案显示时间。延迟显示答案，防止作弊。</w:t>
      </w:r>
    </w:p>
    <w:p>
      <w:pPr>
        <w:widowControl/>
        <w:numPr>
          <w:ilvl w:val="0"/>
          <w:numId w:val="15"/>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教师可以设置答卷截止日期，截止日期前没有答卷的学生会收到提醒。</w:t>
      </w:r>
    </w:p>
    <w:p>
      <w:pPr>
        <w:widowControl/>
        <w:numPr>
          <w:ilvl w:val="0"/>
          <w:numId w:val="15"/>
        </w:numPr>
        <w:spacing w:line="340" w:lineRule="exact"/>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试卷小结：教师可实时查看考卷数据，包括考卷预览，考卷完成情况，学生得分分布情况，学生答题正确率对比图，学生答题详情。</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w:t>
      </w:r>
      <w:r>
        <w:rPr>
          <w:rFonts w:ascii="宋体" w:hAnsi="Times New Roman" w:eastAsia="宋体" w:cs="宋体"/>
          <w:color w:val="000000"/>
          <w:kern w:val="0"/>
          <w:sz w:val="21"/>
          <w:szCs w:val="21"/>
        </w:rPr>
        <w:t>6</w:t>
      </w:r>
      <w:r>
        <w:rPr>
          <w:rFonts w:hint="eastAsia" w:ascii="宋体" w:hAnsi="Times New Roman" w:eastAsia="宋体" w:cs="宋体"/>
          <w:color w:val="000000"/>
          <w:kern w:val="0"/>
          <w:sz w:val="21"/>
          <w:szCs w:val="21"/>
        </w:rPr>
        <w:t>）</w:t>
      </w:r>
      <w:r>
        <w:rPr>
          <w:rFonts w:ascii="宋体" w:hAnsi="Times New Roman" w:eastAsia="宋体" w:cs="宋体"/>
          <w:color w:val="000000"/>
          <w:kern w:val="0"/>
          <w:sz w:val="21"/>
          <w:szCs w:val="21"/>
        </w:rPr>
        <w:t>教学平台</w:t>
      </w:r>
    </w:p>
    <w:p>
      <w:pPr>
        <w:widowControl/>
        <w:numPr>
          <w:ilvl w:val="0"/>
          <w:numId w:val="16"/>
        </w:numPr>
        <w:spacing w:line="340" w:lineRule="exact"/>
        <w:ind w:firstLineChars="200"/>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ascii="宋体" w:hAnsi="Times New Roman" w:eastAsia="宋体" w:cs="宋体"/>
          <w:color w:val="000000"/>
          <w:kern w:val="0"/>
          <w:sz w:val="21"/>
          <w:szCs w:val="21"/>
        </w:rPr>
        <w:t>符合《教育部办公厅关于开展2017年国家精品在线开放课程认定工作的通知》中规定的“全国性公开课程平台，可面向高校和社会学习者开展教学活动”注册用户数在300万注册用户以上，（需提供截图并加盖供应商公章）</w:t>
      </w:r>
    </w:p>
    <w:p>
      <w:pPr>
        <w:widowControl/>
        <w:numPr>
          <w:ilvl w:val="0"/>
          <w:numId w:val="16"/>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符合《教育信息化十年发展规划》第十一章：推动教育信息化国际交流与合作。加强国际交流，参与教育信息化相关国际组织活动，参与国际标准制订，学习借鉴国外先进理念，学习引进国外优质数字教育资源和先进技术，缩小与国际先进水平的差距；利用信息化手段加强各级各类教育机构和学校在人才培养、科学研究等方面的国际合作</w:t>
      </w:r>
      <w:r>
        <w:rPr>
          <w:rFonts w:hint="eastAsia" w:ascii="宋体" w:hAnsi="Times New Roman" w:eastAsia="宋体" w:cs="宋体"/>
          <w:color w:val="000000"/>
          <w:kern w:val="0"/>
          <w:sz w:val="21"/>
          <w:szCs w:val="21"/>
        </w:rPr>
        <w:t>。</w:t>
      </w:r>
    </w:p>
    <w:p>
      <w:pPr>
        <w:widowControl/>
        <w:numPr>
          <w:ilvl w:val="0"/>
          <w:numId w:val="16"/>
        </w:numPr>
        <w:spacing w:line="340" w:lineRule="exact"/>
        <w:ind w:firstLineChars="200"/>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hint="eastAsia" w:ascii="宋体" w:hAnsi="Times New Roman" w:eastAsia="宋体" w:cs="宋体"/>
          <w:color w:val="000000"/>
          <w:kern w:val="0"/>
          <w:sz w:val="21"/>
          <w:szCs w:val="21"/>
        </w:rPr>
        <w:t>供应商所提供服务的</w:t>
      </w:r>
      <w:r>
        <w:rPr>
          <w:rFonts w:ascii="宋体" w:hAnsi="Times New Roman" w:eastAsia="宋体" w:cs="宋体"/>
          <w:color w:val="000000"/>
          <w:kern w:val="0"/>
          <w:sz w:val="21"/>
          <w:szCs w:val="21"/>
        </w:rPr>
        <w:t>MOOC平台具有国际影响力，需提供与其他国际平台签署合作协议与国内课程上线其他国际平台证明（需提供截图并加盖供应商公章。</w:t>
      </w:r>
    </w:p>
    <w:p>
      <w:pPr>
        <w:widowControl/>
        <w:numPr>
          <w:ilvl w:val="0"/>
          <w:numId w:val="16"/>
        </w:numPr>
        <w:spacing w:line="340" w:lineRule="exact"/>
        <w:ind w:firstLineChars="200"/>
        <w:jc w:val="left"/>
        <w:rPr>
          <w:rFonts w:ascii="宋体" w:hAnsi="Times New Roman" w:eastAsia="宋体" w:cs="宋体"/>
          <w:color w:val="000000"/>
          <w:kern w:val="0"/>
          <w:sz w:val="21"/>
          <w:szCs w:val="21"/>
        </w:rPr>
      </w:pPr>
      <w:r>
        <w:rPr>
          <w:rFonts w:ascii="Arial" w:hAnsi="Arial" w:cs="Arial"/>
          <w:color w:val="333333"/>
          <w:sz w:val="21"/>
          <w:szCs w:val="21"/>
          <w:shd w:val="clear" w:color="auto" w:fill="FFFFFF"/>
        </w:rPr>
        <w:t>▲</w:t>
      </w:r>
      <w:r>
        <w:rPr>
          <w:rFonts w:hint="eastAsia" w:ascii="宋体" w:hAnsi="Times New Roman" w:eastAsia="宋体" w:cs="宋体"/>
          <w:color w:val="000000"/>
          <w:kern w:val="0"/>
          <w:sz w:val="21"/>
          <w:szCs w:val="21"/>
        </w:rPr>
        <w:t>供应商提供的</w:t>
      </w:r>
      <w:r>
        <w:rPr>
          <w:rFonts w:ascii="宋体" w:hAnsi="Times New Roman" w:eastAsia="宋体" w:cs="宋体"/>
          <w:color w:val="000000"/>
          <w:kern w:val="0"/>
          <w:sz w:val="21"/>
          <w:szCs w:val="21"/>
        </w:rPr>
        <w:t>国际化课程所运营MOOC平台具有教育部认可并推出的高校在线教学国际平台。（需提供截图证明并加盖供应商公章）</w:t>
      </w:r>
    </w:p>
    <w:p>
      <w:pPr>
        <w:widowControl/>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（二）一对一全流程服务</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全程有专人负责，提供对接服务。</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采购人向</w:t>
      </w: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提供制作所需的相关脚本资料，并配合</w:t>
      </w: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工作；双方共同商议教学设计和设计环节等，由采购人最终确定教学设计和脚本。</w:t>
      </w: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必须严格按照采购人确定的教学设计及脚本要求进行翻译及字幕制作，且成片各项技术指标均需达到脚本要求，若未达到采购人要求的，</w:t>
      </w: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承担责任，并采取相应补救措施。</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课程制作及课程在平台上运行期间，采购人有权要求</w:t>
      </w:r>
      <w:r>
        <w:rPr>
          <w:rFonts w:hint="eastAsia" w:ascii="宋体" w:hAnsi="Times New Roman" w:eastAsia="宋体" w:cs="宋体"/>
          <w:color w:val="000000"/>
          <w:kern w:val="0"/>
          <w:sz w:val="21"/>
          <w:szCs w:val="21"/>
        </w:rPr>
        <w:t>成交供应商</w:t>
      </w:r>
      <w:r>
        <w:rPr>
          <w:rFonts w:ascii="宋体" w:hAnsi="Times New Roman" w:eastAsia="宋体" w:cs="宋体"/>
          <w:color w:val="000000"/>
          <w:kern w:val="0"/>
          <w:sz w:val="21"/>
          <w:szCs w:val="21"/>
        </w:rPr>
        <w:t>修改，</w:t>
      </w:r>
      <w:r>
        <w:rPr>
          <w:rFonts w:hint="eastAsia" w:ascii="宋体" w:hAnsi="Times New Roman" w:eastAsia="宋体" w:cs="宋体"/>
          <w:color w:val="000000"/>
          <w:kern w:val="0"/>
          <w:sz w:val="21"/>
          <w:szCs w:val="21"/>
        </w:rPr>
        <w:t>成交供应商</w:t>
      </w:r>
      <w:r>
        <w:rPr>
          <w:rFonts w:ascii="宋体" w:hAnsi="Times New Roman" w:eastAsia="宋体" w:cs="宋体"/>
          <w:color w:val="000000"/>
          <w:kern w:val="0"/>
          <w:sz w:val="21"/>
          <w:szCs w:val="21"/>
        </w:rPr>
        <w:t>必须满足采购人要求，</w:t>
      </w:r>
      <w:r>
        <w:rPr>
          <w:rFonts w:hint="eastAsia" w:ascii="宋体" w:hAnsi="Times New Roman" w:eastAsia="宋体" w:cs="宋体"/>
          <w:color w:val="000000"/>
          <w:kern w:val="0"/>
          <w:sz w:val="21"/>
          <w:szCs w:val="21"/>
        </w:rPr>
        <w:t>成交供应商</w:t>
      </w:r>
      <w:r>
        <w:rPr>
          <w:rFonts w:ascii="宋体" w:hAnsi="Times New Roman" w:eastAsia="宋体" w:cs="宋体"/>
          <w:color w:val="000000"/>
          <w:kern w:val="0"/>
          <w:sz w:val="21"/>
          <w:szCs w:val="21"/>
        </w:rPr>
        <w:t>不得以资金等条件限制采购人修改要求。</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不得向外泄露采购人提供的相关资料，并应对</w:t>
      </w:r>
      <w:r>
        <w:rPr>
          <w:rFonts w:hint="eastAsia" w:ascii="宋体" w:hAnsi="Times New Roman" w:eastAsia="宋体" w:cs="宋体"/>
          <w:color w:val="000000"/>
          <w:kern w:val="0"/>
          <w:sz w:val="21"/>
          <w:szCs w:val="21"/>
        </w:rPr>
        <w:t>采购人</w:t>
      </w:r>
      <w:r>
        <w:rPr>
          <w:rFonts w:ascii="宋体" w:hAnsi="Times New Roman" w:eastAsia="宋体" w:cs="宋体"/>
          <w:color w:val="000000"/>
          <w:kern w:val="0"/>
          <w:sz w:val="21"/>
          <w:szCs w:val="21"/>
        </w:rPr>
        <w:t>的涉密资料进行绝对保密。所开发的全部成果、知识产权与版权归采购人所有。</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应根据采购人课程内容实际情况，在摄制课程中须按采购人要求字幕、翻译等一切技术手段，增强课程的表现力，不得以资金等条件加以限制。</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能免费提供符合教育部在线教育研究中心《大规模开放在线课程（MOOCs）制作手册》的在线开放课程平台。</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供应商须</w:t>
      </w:r>
      <w:r>
        <w:rPr>
          <w:rFonts w:ascii="宋体" w:hAnsi="Times New Roman" w:eastAsia="宋体" w:cs="宋体"/>
          <w:color w:val="000000"/>
          <w:kern w:val="0"/>
          <w:sz w:val="21"/>
          <w:szCs w:val="21"/>
        </w:rPr>
        <w:t>协助采购人按在线课程平台格式要求进行文档、题库、教案、PPT文件等课程资源的整理、优化、美化、加工、上传到课程平台，并保证能正常使用。</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hint="eastAsia" w:ascii="宋体" w:hAnsi="Times New Roman" w:eastAsia="宋体" w:cs="宋体"/>
          <w:color w:val="000000"/>
          <w:kern w:val="0"/>
          <w:sz w:val="21"/>
          <w:szCs w:val="21"/>
        </w:rPr>
        <w:t>供应商</w:t>
      </w:r>
      <w:r>
        <w:rPr>
          <w:rFonts w:ascii="宋体" w:hAnsi="Times New Roman" w:eastAsia="宋体" w:cs="宋体"/>
          <w:color w:val="000000"/>
          <w:kern w:val="0"/>
          <w:sz w:val="21"/>
          <w:szCs w:val="21"/>
        </w:rPr>
        <w:t>须积极协助</w:t>
      </w:r>
      <w:r>
        <w:rPr>
          <w:rFonts w:hint="eastAsia" w:ascii="宋体" w:hAnsi="Times New Roman" w:eastAsia="宋体" w:cs="宋体"/>
          <w:color w:val="000000"/>
          <w:kern w:val="0"/>
          <w:sz w:val="21"/>
          <w:szCs w:val="21"/>
        </w:rPr>
        <w:t>采购人课程在相关</w:t>
      </w:r>
      <w:r>
        <w:rPr>
          <w:rFonts w:ascii="宋体" w:hAnsi="Times New Roman" w:eastAsia="宋体" w:cs="宋体"/>
          <w:color w:val="000000"/>
          <w:kern w:val="0"/>
          <w:sz w:val="21"/>
          <w:szCs w:val="21"/>
        </w:rPr>
        <w:t>平台运行和推广。</w:t>
      </w:r>
    </w:p>
    <w:p>
      <w:pPr>
        <w:widowControl/>
        <w:numPr>
          <w:ilvl w:val="0"/>
          <w:numId w:val="17"/>
        </w:numPr>
        <w:spacing w:line="340" w:lineRule="exact"/>
        <w:ind w:firstLine="524" w:firstLineChars="200"/>
        <w:jc w:val="left"/>
        <w:rPr>
          <w:rFonts w:ascii="宋体" w:hAnsi="Times New Roman" w:eastAsia="宋体" w:cs="宋体"/>
          <w:color w:val="000000"/>
          <w:kern w:val="0"/>
          <w:sz w:val="21"/>
          <w:szCs w:val="21"/>
        </w:rPr>
      </w:pPr>
      <w:r>
        <w:rPr>
          <w:rFonts w:ascii="宋体" w:hAnsi="Times New Roman" w:eastAsia="宋体" w:cs="宋体"/>
          <w:color w:val="000000"/>
          <w:kern w:val="0"/>
          <w:sz w:val="21"/>
          <w:szCs w:val="21"/>
        </w:rPr>
        <w:t>课程建设团队成员全程参与课程资源的建设，合作企业应该从课程资源建设教学设计方法、脚本设计方法、效果实现手段、教师指导培训、成品优化完善等角度，带动教师掌握相关方法与技能，形成开发成果；本课程必须基于本课程团队新编写的教材及教材资源，并结合本校教学实际需要进行建设，本课程不接受将其它学校的建设成果的移植。</w:t>
      </w:r>
    </w:p>
    <w:p>
      <w:pPr>
        <w:widowControl/>
        <w:spacing w:line="360" w:lineRule="auto"/>
        <w:ind w:firstLine="524" w:firstLineChars="200"/>
        <w:jc w:val="left"/>
        <w:rPr>
          <w:rFonts w:ascii="宋体" w:hAnsi="Times New Roman" w:eastAsia="宋体" w:cs="宋体"/>
          <w:kern w:val="0"/>
          <w:sz w:val="21"/>
          <w:szCs w:val="21"/>
        </w:rPr>
      </w:pPr>
      <w:r>
        <w:rPr>
          <w:rFonts w:ascii="Arial" w:hAnsi="Arial" w:cs="Arial"/>
          <w:color w:val="333333"/>
          <w:sz w:val="21"/>
          <w:szCs w:val="21"/>
          <w:shd w:val="clear" w:color="auto" w:fill="FFFFFF"/>
        </w:rPr>
        <w:t>▲</w:t>
      </w:r>
      <w:r>
        <w:rPr>
          <w:rFonts w:hint="eastAsia" w:ascii="宋体" w:hAnsi="Times New Roman" w:eastAsia="宋体" w:cs="宋体"/>
          <w:kern w:val="0"/>
          <w:sz w:val="21"/>
          <w:szCs w:val="21"/>
        </w:rPr>
        <w:t>（三）课程推广</w:t>
      </w:r>
    </w:p>
    <w:p>
      <w:pPr>
        <w:numPr>
          <w:ilvl w:val="0"/>
          <w:numId w:val="18"/>
        </w:numPr>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上线国际版平台：协助课程上线国际版平台；</w:t>
      </w:r>
    </w:p>
    <w:p>
      <w:pPr>
        <w:numPr>
          <w:ilvl w:val="0"/>
          <w:numId w:val="18"/>
        </w:numPr>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完成在平台国际版首页banner位推广：国际版首页banner位推广2天；</w:t>
      </w:r>
    </w:p>
    <w:p>
      <w:pPr>
        <w:numPr>
          <w:ilvl w:val="0"/>
          <w:numId w:val="18"/>
        </w:numPr>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国际版首页好课推荐：国际版首页好课推荐1周；</w:t>
      </w:r>
    </w:p>
    <w:p>
      <w:pPr>
        <w:numPr>
          <w:ilvl w:val="0"/>
          <w:numId w:val="18"/>
        </w:numPr>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海外公众号推文：海外公众号推文展示2次；</w:t>
      </w:r>
    </w:p>
    <w:p>
      <w:pPr>
        <w:numPr>
          <w:ilvl w:val="0"/>
          <w:numId w:val="18"/>
        </w:numPr>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对接线上“智慧教育”国家平台：协助课程上线“智慧教育”国家平台；</w:t>
      </w:r>
    </w:p>
    <w:p>
      <w:pPr>
        <w:numPr>
          <w:ilvl w:val="0"/>
          <w:numId w:val="18"/>
        </w:numPr>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推荐国际课程“出海”服务</w:t>
      </w:r>
      <w:r>
        <w:rPr>
          <w:rFonts w:ascii="宋体" w:hAnsi="宋体" w:eastAsia="宋体" w:cs="宋体"/>
          <w:kern w:val="0"/>
          <w:sz w:val="21"/>
          <w:szCs w:val="21"/>
        </w:rPr>
        <w:t>1</w:t>
      </w:r>
      <w:r>
        <w:rPr>
          <w:rFonts w:hint="eastAsia" w:ascii="宋体" w:hAnsi="宋体" w:eastAsia="宋体" w:cs="宋体"/>
          <w:kern w:val="0"/>
          <w:sz w:val="21"/>
          <w:szCs w:val="21"/>
        </w:rPr>
        <w:t>次：</w:t>
      </w:r>
    </w:p>
    <w:p>
      <w:pPr>
        <w:spacing w:line="360" w:lineRule="auto"/>
        <w:ind w:firstLine="1048" w:firstLineChars="400"/>
        <w:jc w:val="left"/>
        <w:rPr>
          <w:rFonts w:ascii="宋体" w:hAnsi="宋体" w:eastAsia="宋体" w:cs="宋体"/>
          <w:kern w:val="0"/>
          <w:sz w:val="21"/>
          <w:szCs w:val="21"/>
        </w:rPr>
      </w:pPr>
      <w:r>
        <w:rPr>
          <w:rFonts w:hint="eastAsia" w:ascii="宋体" w:hAnsi="宋体" w:eastAsia="宋体" w:cs="宋体"/>
          <w:kern w:val="0"/>
          <w:sz w:val="21"/>
          <w:szCs w:val="21"/>
        </w:rPr>
        <w:t>帮助院校递交上线海外国际平台申请流程：向国际慕课合作平台申请课程上线，为促成合作向院校提供必要的修改反馈。</w:t>
      </w:r>
    </w:p>
    <w:p>
      <w:pPr>
        <w:spacing w:line="360" w:lineRule="auto"/>
        <w:ind w:firstLine="917" w:firstLineChars="350"/>
        <w:jc w:val="left"/>
        <w:rPr>
          <w:rFonts w:ascii="宋体" w:hAnsi="宋体" w:eastAsia="宋体" w:cs="宋体"/>
          <w:kern w:val="0"/>
          <w:sz w:val="21"/>
          <w:szCs w:val="21"/>
        </w:rPr>
      </w:pPr>
      <w:r>
        <w:rPr>
          <w:rFonts w:hint="eastAsia" w:ascii="宋体" w:hAnsi="宋体" w:eastAsia="宋体" w:cs="宋体"/>
          <w:kern w:val="0"/>
          <w:sz w:val="21"/>
          <w:szCs w:val="21"/>
        </w:rPr>
        <w:t>院校及国际化平台建立沟通桥梁：课程通过国际平台审核后，协助双方沟通开课计划，确定运行内容。帮助搭建平台方及院校方桥梁。定期参加国际化平台方组织相关的活动。</w:t>
      </w:r>
    </w:p>
    <w:p>
      <w:pPr>
        <w:spacing w:line="360" w:lineRule="auto"/>
        <w:ind w:firstLine="917" w:firstLineChars="350"/>
        <w:jc w:val="left"/>
        <w:rPr>
          <w:rFonts w:ascii="宋体" w:hAnsi="宋体" w:eastAsia="宋体" w:cs="宋体"/>
          <w:kern w:val="0"/>
          <w:sz w:val="21"/>
          <w:szCs w:val="21"/>
        </w:rPr>
      </w:pPr>
      <w:r>
        <w:rPr>
          <w:rFonts w:hint="eastAsia" w:ascii="宋体" w:hAnsi="宋体" w:eastAsia="宋体" w:cs="宋体"/>
          <w:kern w:val="0"/>
          <w:sz w:val="21"/>
          <w:szCs w:val="21"/>
        </w:rPr>
        <w:t>账号部署：沟通协调国际平台为院校开通平台账号。</w:t>
      </w:r>
    </w:p>
    <w:p>
      <w:pPr>
        <w:rPr>
          <w:rFonts w:ascii="Times New Roman" w:hAnsi="Times New Roman" w:eastAsia="宋体" w:cs="宋体"/>
          <w:kern w:val="0"/>
          <w:szCs w:val="21"/>
        </w:rPr>
      </w:pPr>
      <w:r>
        <w:rPr>
          <w:rFonts w:hint="eastAsia" w:ascii="Times New Roman" w:hAnsi="Times New Roman" w:eastAsia="宋体" w:cs="宋体"/>
          <w:kern w:val="0"/>
          <w:sz w:val="21"/>
          <w:szCs w:val="21"/>
        </w:rPr>
        <w:t>运营推广服务：根据学校意愿和国际平台要求，协调国际平台推广课程。</w:t>
      </w:r>
    </w:p>
    <w:p>
      <w:pPr>
        <w:ind w:left="438" w:leftChars="132"/>
        <w:rPr>
          <w:rFonts w:ascii="宋体" w:hAnsi="宋体" w:eastAsia="宋体"/>
          <w:b/>
          <w:sz w:val="21"/>
          <w:szCs w:val="21"/>
        </w:rPr>
      </w:pP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hint="eastAsia" w:ascii="仿宋_GB2312" w:hAnsi="宋体" w:eastAsia="仿宋_GB2312"/>
          <w:sz w:val="24"/>
          <w:lang w:eastAsia="zh-CN"/>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签订地点：</w:t>
      </w:r>
      <w:r>
        <w:rPr>
          <w:rFonts w:hint="eastAsia" w:ascii="仿宋_GB2312" w:hAnsi="宋体"/>
          <w:sz w:val="24"/>
          <w:lang w:eastAsia="zh-CN"/>
        </w:rPr>
        <w:t>汕头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w:t>
      </w:r>
      <w:r>
        <w:rPr>
          <w:rFonts w:hint="eastAsia" w:ascii="仿宋_GB2312" w:hAnsi="宋体"/>
          <w:sz w:val="21"/>
          <w:lang w:eastAsia="zh-CN"/>
        </w:rPr>
        <w:t>民典</w:t>
      </w:r>
      <w:r>
        <w:rPr>
          <w:rFonts w:hint="eastAsia" w:ascii="仿宋_GB2312" w:hAnsi="宋体"/>
          <w:sz w:val="21"/>
        </w:rPr>
        <w:t>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_GB2312" w:hAnsi="宋体"/>
          <w:sz w:val="21"/>
        </w:rPr>
      </w:pPr>
      <w:r>
        <w:rPr>
          <w:rFonts w:hint="eastAsia" w:ascii="仿宋_GB2312" w:hAnsi="宋体"/>
          <w:sz w:val="21"/>
        </w:rPr>
        <w:t>一．下列合同文件是构成本合同不可分割的部分：</w:t>
      </w: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_GB2312" w:hAnsi="宋体"/>
          <w:sz w:val="21"/>
        </w:rPr>
      </w:pPr>
      <w:r>
        <w:rPr>
          <w:rFonts w:hint="eastAsia" w:ascii="仿宋_GB2312" w:hAnsi="宋体"/>
          <w:sz w:val="21"/>
        </w:rPr>
        <w:t>1. 合同条款</w:t>
      </w: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_GB2312" w:hAnsi="宋体"/>
          <w:sz w:val="21"/>
        </w:rPr>
      </w:pPr>
      <w:r>
        <w:rPr>
          <w:rFonts w:hint="eastAsia" w:ascii="仿宋_GB2312" w:hAnsi="宋体"/>
          <w:sz w:val="21"/>
        </w:rPr>
        <w:t>2.</w:t>
      </w:r>
      <w:r>
        <w:rPr>
          <w:rFonts w:hint="eastAsia" w:ascii="仿宋_GB2312" w:hAnsi="宋体"/>
          <w:sz w:val="21"/>
          <w:lang w:val="en-US" w:eastAsia="zh-CN"/>
        </w:rPr>
        <w:t>中标通知书</w:t>
      </w: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hint="eastAsia" w:ascii="仿宋_GB2312" w:hAnsi="宋体"/>
          <w:sz w:val="21"/>
        </w:rPr>
      </w:pPr>
      <w:r>
        <w:rPr>
          <w:rFonts w:hint="eastAsia" w:ascii="仿宋_GB2312" w:hAnsi="宋体"/>
          <w:sz w:val="21"/>
          <w:lang w:val="en-US" w:eastAsia="zh-CN"/>
        </w:rPr>
        <w:t>3</w:t>
      </w:r>
      <w:r>
        <w:rPr>
          <w:rFonts w:hint="eastAsia" w:ascii="仿宋_GB2312" w:hAnsi="宋体"/>
          <w:sz w:val="21"/>
        </w:rPr>
        <w:t>. 其他文件或材料</w:t>
      </w:r>
    </w:p>
    <w:p>
      <w:pPr>
        <w:numPr>
          <w:ilvl w:val="0"/>
          <w:numId w:val="0"/>
        </w:numPr>
        <w:kinsoku w:val="0"/>
        <w:wordWrap w:val="0"/>
        <w:topLinePunct/>
        <w:spacing w:line="340" w:lineRule="exact"/>
        <w:ind w:leftChars="0"/>
        <w:rPr>
          <w:rFonts w:ascii="仿宋_GB2312" w:hAnsi="宋体"/>
          <w:b/>
          <w:sz w:val="21"/>
        </w:rPr>
      </w:pPr>
      <w:r>
        <w:rPr>
          <w:rFonts w:hint="eastAsia" w:ascii="仿宋_GB2312" w:hAnsi="宋体"/>
          <w:b/>
          <w:sz w:val="21"/>
          <w:lang w:eastAsia="zh-CN"/>
        </w:rPr>
        <w:t>二．</w:t>
      </w: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5"/>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5"/>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20"/>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2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2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2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2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2"/>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2"/>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2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2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2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2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2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22"/>
        </w:numPr>
        <w:tabs>
          <w:tab w:val="left" w:pos="0"/>
          <w:tab w:val="left" w:pos="425"/>
        </w:tabs>
        <w:kinsoku w:val="0"/>
        <w:wordWrap w:val="0"/>
        <w:topLinePunct/>
        <w:spacing w:line="340" w:lineRule="exact"/>
        <w:ind w:left="830" w:hanging="332"/>
        <w:rPr>
          <w:rFonts w:ascii="仿宋_GB2312" w:hAnsi="宋体"/>
          <w:sz w:val="21"/>
        </w:rPr>
      </w:pP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5"/>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7"/>
        <w:numPr>
          <w:ilvl w:val="3"/>
          <w:numId w:val="2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7"/>
        <w:numPr>
          <w:ilvl w:val="3"/>
          <w:numId w:val="2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7"/>
        <w:numPr>
          <w:ilvl w:val="3"/>
          <w:numId w:val="2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7"/>
        <w:numPr>
          <w:ilvl w:val="3"/>
          <w:numId w:val="2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7"/>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15</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F331"/>
    <w:multiLevelType w:val="singleLevel"/>
    <w:tmpl w:val="8BFBF331"/>
    <w:lvl w:ilvl="0" w:tentative="0">
      <w:start w:val="1"/>
      <w:numFmt w:val="decimalEnclosedCircleChinese"/>
      <w:suff w:val="nothing"/>
      <w:lvlText w:val="%1　"/>
      <w:lvlJc w:val="left"/>
      <w:pPr>
        <w:ind w:left="0" w:firstLine="400"/>
      </w:pPr>
      <w:rPr>
        <w:rFonts w:hint="eastAsia"/>
      </w:rPr>
    </w:lvl>
  </w:abstractNum>
  <w:abstractNum w:abstractNumId="1">
    <w:nsid w:val="969EFE50"/>
    <w:multiLevelType w:val="singleLevel"/>
    <w:tmpl w:val="969EFE50"/>
    <w:lvl w:ilvl="0" w:tentative="0">
      <w:start w:val="1"/>
      <w:numFmt w:val="decimalEnclosedCircleChinese"/>
      <w:suff w:val="nothing"/>
      <w:lvlText w:val="%1　"/>
      <w:lvlJc w:val="left"/>
      <w:pPr>
        <w:ind w:left="0" w:firstLine="400"/>
      </w:pPr>
      <w:rPr>
        <w:rFonts w:hint="eastAsia"/>
      </w:rPr>
    </w:lvl>
  </w:abstractNum>
  <w:abstractNum w:abstractNumId="2">
    <w:nsid w:val="A197DBDA"/>
    <w:multiLevelType w:val="singleLevel"/>
    <w:tmpl w:val="A197DBDA"/>
    <w:lvl w:ilvl="0" w:tentative="0">
      <w:start w:val="1"/>
      <w:numFmt w:val="decimalEnclosedCircleChinese"/>
      <w:suff w:val="nothing"/>
      <w:lvlText w:val="%1　"/>
      <w:lvlJc w:val="left"/>
      <w:pPr>
        <w:ind w:left="0" w:firstLine="400"/>
      </w:pPr>
      <w:rPr>
        <w:rFonts w:hint="eastAsia"/>
      </w:rPr>
    </w:lvl>
  </w:abstractNum>
  <w:abstractNum w:abstractNumId="3">
    <w:nsid w:val="C4CF32B4"/>
    <w:multiLevelType w:val="singleLevel"/>
    <w:tmpl w:val="C4CF32B4"/>
    <w:lvl w:ilvl="0" w:tentative="0">
      <w:start w:val="1"/>
      <w:numFmt w:val="decimal"/>
      <w:lvlText w:val="%1)"/>
      <w:lvlJc w:val="left"/>
      <w:pPr>
        <w:ind w:left="425" w:hanging="425"/>
      </w:pPr>
      <w:rPr>
        <w:rFonts w:hint="default"/>
      </w:rPr>
    </w:lvl>
  </w:abstractNum>
  <w:abstractNum w:abstractNumId="4">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5">
    <w:nsid w:val="06EFBACB"/>
    <w:multiLevelType w:val="singleLevel"/>
    <w:tmpl w:val="06EFBACB"/>
    <w:lvl w:ilvl="0" w:tentative="0">
      <w:start w:val="1"/>
      <w:numFmt w:val="decimal"/>
      <w:lvlText w:val="%1)"/>
      <w:lvlJc w:val="left"/>
      <w:pPr>
        <w:ind w:left="425" w:hanging="425"/>
      </w:pPr>
      <w:rPr>
        <w:rFonts w:hint="default"/>
      </w:rPr>
    </w:lvl>
  </w:abstractNum>
  <w:abstractNum w:abstractNumId="6">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7">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9">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10">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11">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B802074"/>
    <w:multiLevelType w:val="singleLevel"/>
    <w:tmpl w:val="4B802074"/>
    <w:lvl w:ilvl="0" w:tentative="0">
      <w:start w:val="1"/>
      <w:numFmt w:val="decimal"/>
      <w:suff w:val="nothing"/>
      <w:lvlText w:val="（%1）"/>
      <w:lvlJc w:val="left"/>
    </w:lvl>
  </w:abstractNum>
  <w:abstractNum w:abstractNumId="13">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4">
    <w:nsid w:val="5312D3A5"/>
    <w:multiLevelType w:val="singleLevel"/>
    <w:tmpl w:val="5312D3A5"/>
    <w:lvl w:ilvl="0" w:tentative="0">
      <w:start w:val="1"/>
      <w:numFmt w:val="decimalEnclosedCircleChinese"/>
      <w:suff w:val="nothing"/>
      <w:lvlText w:val="%1　"/>
      <w:lvlJc w:val="left"/>
      <w:pPr>
        <w:ind w:left="0" w:firstLine="400"/>
      </w:pPr>
      <w:rPr>
        <w:rFonts w:hint="eastAsia"/>
      </w:rPr>
    </w:lvl>
  </w:abstractNum>
  <w:abstractNum w:abstractNumId="15">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6">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7">
    <w:nsid w:val="698BDBB5"/>
    <w:multiLevelType w:val="singleLevel"/>
    <w:tmpl w:val="698BDBB5"/>
    <w:lvl w:ilvl="0" w:tentative="0">
      <w:start w:val="1"/>
      <w:numFmt w:val="decimal"/>
      <w:lvlText w:val="%1)"/>
      <w:lvlJc w:val="left"/>
      <w:pPr>
        <w:ind w:left="425" w:hanging="425"/>
      </w:pPr>
      <w:rPr>
        <w:rFonts w:hint="default"/>
      </w:rPr>
    </w:lvl>
  </w:abstractNum>
  <w:abstractNum w:abstractNumId="18">
    <w:nsid w:val="730801AB"/>
    <w:multiLevelType w:val="singleLevel"/>
    <w:tmpl w:val="730801AB"/>
    <w:lvl w:ilvl="0" w:tentative="0">
      <w:start w:val="1"/>
      <w:numFmt w:val="decimalEnclosedCircleChinese"/>
      <w:suff w:val="nothing"/>
      <w:lvlText w:val="%1　"/>
      <w:lvlJc w:val="left"/>
      <w:pPr>
        <w:ind w:left="0" w:firstLine="400"/>
      </w:pPr>
      <w:rPr>
        <w:rFonts w:hint="eastAsia"/>
      </w:rPr>
    </w:lvl>
  </w:abstractNum>
  <w:abstractNum w:abstractNumId="19">
    <w:nsid w:val="7B965FBF"/>
    <w:multiLevelType w:val="singleLevel"/>
    <w:tmpl w:val="7B965FBF"/>
    <w:lvl w:ilvl="0" w:tentative="0">
      <w:start w:val="1"/>
      <w:numFmt w:val="decimal"/>
      <w:lvlText w:val="(%1)"/>
      <w:lvlJc w:val="left"/>
      <w:pPr>
        <w:ind w:left="425" w:hanging="425"/>
      </w:pPr>
      <w:rPr>
        <w:rFonts w:hint="default"/>
      </w:rPr>
    </w:lvl>
  </w:abstractNum>
  <w:abstractNum w:abstractNumId="2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21">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8"/>
  </w:num>
  <w:num w:numId="2">
    <w:abstractNumId w:val="7"/>
  </w:num>
  <w:num w:numId="3">
    <w:abstractNumId w:val="20"/>
  </w:num>
  <w:num w:numId="4">
    <w:abstractNumId w:val="9"/>
  </w:num>
  <w:num w:numId="5">
    <w:abstractNumId w:val="4"/>
  </w:num>
  <w:num w:numId="6">
    <w:abstractNumId w:val="13"/>
  </w:num>
  <w:num w:numId="7">
    <w:abstractNumId w:val="16"/>
  </w:num>
  <w:num w:numId="8">
    <w:abstractNumId w:val="6"/>
  </w:num>
  <w:num w:numId="9">
    <w:abstractNumId w:val="14"/>
  </w:num>
  <w:num w:numId="10">
    <w:abstractNumId w:val="2"/>
  </w:num>
  <w:num w:numId="11">
    <w:abstractNumId w:val="1"/>
  </w:num>
  <w:num w:numId="12">
    <w:abstractNumId w:val="18"/>
  </w:num>
  <w:num w:numId="13">
    <w:abstractNumId w:val="5"/>
  </w:num>
  <w:num w:numId="14">
    <w:abstractNumId w:val="3"/>
  </w:num>
  <w:num w:numId="15">
    <w:abstractNumId w:val="17"/>
  </w:num>
  <w:num w:numId="16">
    <w:abstractNumId w:val="0"/>
  </w:num>
  <w:num w:numId="17">
    <w:abstractNumId w:val="19"/>
  </w:num>
  <w:num w:numId="18">
    <w:abstractNumId w:val="12"/>
  </w:num>
  <w:num w:numId="19">
    <w:abstractNumId w:val="10"/>
    <w:lvlOverride w:ilvl="0">
      <w:startOverride w:val="1"/>
    </w:lvlOverride>
  </w:num>
  <w:num w:numId="20">
    <w:abstractNumId w:val="15"/>
    <w:lvlOverride w:ilvl="0">
      <w:startOverride w:val="1"/>
    </w:lvlOverride>
  </w:num>
  <w:num w:numId="21">
    <w:abstractNumId w:val="21"/>
    <w:lvlOverride w:ilvl="0">
      <w:startOverride w:val="1"/>
    </w:lvlOverride>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1F327E9"/>
    <w:rsid w:val="0A1D0E2A"/>
    <w:rsid w:val="18D90DDD"/>
    <w:rsid w:val="19A32D57"/>
    <w:rsid w:val="33CD400D"/>
    <w:rsid w:val="3C7E7C5A"/>
    <w:rsid w:val="44A1597D"/>
    <w:rsid w:val="471637BF"/>
    <w:rsid w:val="498774ED"/>
    <w:rsid w:val="4B607184"/>
    <w:rsid w:val="4C376F2D"/>
    <w:rsid w:val="4DD6390E"/>
    <w:rsid w:val="535E1403"/>
    <w:rsid w:val="548E7BF1"/>
    <w:rsid w:val="682827B6"/>
    <w:rsid w:val="69102770"/>
    <w:rsid w:val="70100BA5"/>
    <w:rsid w:val="71337F96"/>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link w:val="99"/>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1"/>
    <w:qFormat/>
    <w:uiPriority w:val="0"/>
    <w:pPr>
      <w:keepNext/>
      <w:numPr>
        <w:ilvl w:val="0"/>
        <w:numId w:val="1"/>
      </w:numPr>
      <w:outlineLvl w:val="1"/>
    </w:pPr>
    <w:rPr>
      <w:b/>
      <w:bCs/>
    </w:rPr>
  </w:style>
  <w:style w:type="paragraph" w:styleId="5">
    <w:name w:val="heading 3"/>
    <w:basedOn w:val="1"/>
    <w:next w:val="1"/>
    <w:qFormat/>
    <w:uiPriority w:val="0"/>
    <w:pPr>
      <w:keepNext/>
      <w:numPr>
        <w:ilvl w:val="1"/>
        <w:numId w:val="2"/>
      </w:numPr>
      <w:outlineLvl w:val="2"/>
    </w:pPr>
    <w:rPr>
      <w:b/>
      <w:bCs/>
    </w:rPr>
  </w:style>
  <w:style w:type="paragraph" w:styleId="6">
    <w:name w:val="heading 4"/>
    <w:basedOn w:val="1"/>
    <w:next w:val="1"/>
    <w:qFormat/>
    <w:uiPriority w:val="0"/>
    <w:pPr>
      <w:keepNext/>
      <w:outlineLvl w:val="3"/>
    </w:pPr>
    <w:rPr>
      <w:rFonts w:ascii="宋体" w:hAnsi="宋体" w:eastAsia="宋体"/>
      <w:b/>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semiHidden/>
    <w:qFormat/>
    <w:uiPriority w:val="0"/>
    <w:pPr>
      <w:shd w:val="clear" w:color="auto" w:fill="000080"/>
    </w:pPr>
  </w:style>
  <w:style w:type="paragraph" w:styleId="9">
    <w:name w:val="annotation text"/>
    <w:basedOn w:val="1"/>
    <w:link w:val="103"/>
    <w:semiHidden/>
    <w:qFormat/>
    <w:uiPriority w:val="0"/>
    <w:pPr>
      <w:jc w:val="left"/>
    </w:pPr>
  </w:style>
  <w:style w:type="paragraph" w:styleId="10">
    <w:name w:val="Body Text 3"/>
    <w:basedOn w:val="1"/>
    <w:qFormat/>
    <w:uiPriority w:val="0"/>
    <w:rPr>
      <w:rFonts w:eastAsia="楷体_GB2312"/>
      <w:sz w:val="24"/>
      <w:szCs w:val="27"/>
    </w:rPr>
  </w:style>
  <w:style w:type="paragraph" w:styleId="11">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2">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Plain Text"/>
    <w:basedOn w:val="1"/>
    <w:link w:val="101"/>
    <w:qFormat/>
    <w:uiPriority w:val="0"/>
    <w:rPr>
      <w:rFonts w:ascii="宋体" w:hAnsi="Courier New" w:eastAsia="宋体"/>
      <w:kern w:val="0"/>
      <w:sz w:val="24"/>
    </w:rPr>
  </w:style>
  <w:style w:type="paragraph" w:styleId="15">
    <w:name w:val="Body Text Indent 2"/>
    <w:basedOn w:val="1"/>
    <w:qFormat/>
    <w:uiPriority w:val="0"/>
    <w:pPr>
      <w:topLinePunct/>
      <w:spacing w:line="500" w:lineRule="exact"/>
      <w:ind w:firstLine="664"/>
    </w:pPr>
    <w:rPr>
      <w:rFonts w:ascii="仿宋_GB2312" w:hAnsi="宋体"/>
      <w:sz w:val="24"/>
    </w:rPr>
  </w:style>
  <w:style w:type="paragraph" w:styleId="16">
    <w:name w:val="Balloon Text"/>
    <w:basedOn w:val="1"/>
    <w:link w:val="105"/>
    <w:qFormat/>
    <w:uiPriority w:val="0"/>
    <w:rPr>
      <w:sz w:val="18"/>
      <w:szCs w:val="18"/>
    </w:rPr>
  </w:style>
  <w:style w:type="paragraph" w:styleId="17">
    <w:name w:val="footer"/>
    <w:basedOn w:val="1"/>
    <w:qFormat/>
    <w:uiPriority w:val="0"/>
    <w:pPr>
      <w:tabs>
        <w:tab w:val="center" w:pos="4153"/>
        <w:tab w:val="right" w:pos="8306"/>
      </w:tabs>
      <w:snapToGrid w:val="0"/>
      <w:jc w:val="left"/>
    </w:pPr>
    <w:rPr>
      <w:rFonts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20">
    <w:name w:val="Body Text Indent 3"/>
    <w:basedOn w:val="1"/>
    <w:qFormat/>
    <w:uiPriority w:val="0"/>
    <w:pPr>
      <w:ind w:firstLine="777"/>
    </w:pPr>
    <w:rPr>
      <w:rFonts w:ascii="楷体_GB2312" w:hAnsi="Arial Narrow" w:eastAsia="楷体_GB2312"/>
    </w:rPr>
  </w:style>
  <w:style w:type="paragraph" w:styleId="21">
    <w:name w:val="Body Text 2"/>
    <w:basedOn w:val="1"/>
    <w:qFormat/>
    <w:uiPriority w:val="0"/>
    <w:rPr>
      <w:rFonts w:ascii="Arial Narrow" w:hAnsi="Arial Narrow" w:eastAsia="楷体_GB2312"/>
      <w:sz w:val="21"/>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4">
    <w:name w:val="annotation subject"/>
    <w:basedOn w:val="9"/>
    <w:next w:val="9"/>
    <w:link w:val="104"/>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0"/>
    <w:rPr>
      <w:color w:val="CC0033"/>
    </w:rPr>
  </w:style>
  <w:style w:type="character" w:styleId="32">
    <w:name w:val="Hyperlink"/>
    <w:basedOn w:val="27"/>
    <w:qFormat/>
    <w:uiPriority w:val="0"/>
    <w:rPr>
      <w:color w:val="0000FF"/>
      <w:u w:val="single"/>
    </w:rPr>
  </w:style>
  <w:style w:type="character" w:styleId="33">
    <w:name w:val="annotation reference"/>
    <w:basedOn w:val="27"/>
    <w:semiHidden/>
    <w:qFormat/>
    <w:uiPriority w:val="0"/>
    <w:rPr>
      <w:sz w:val="21"/>
    </w:rPr>
  </w:style>
  <w:style w:type="character" w:customStyle="1" w:styleId="34">
    <w:name w:val="font141"/>
    <w:basedOn w:val="27"/>
    <w:qFormat/>
    <w:uiPriority w:val="0"/>
  </w:style>
  <w:style w:type="character" w:customStyle="1" w:styleId="35">
    <w:name w:val="style31"/>
    <w:basedOn w:val="27"/>
    <w:qFormat/>
    <w:uiPriority w:val="0"/>
    <w:rPr>
      <w:b/>
      <w:bCs/>
      <w:color w:val="A16601"/>
    </w:rPr>
  </w:style>
  <w:style w:type="character" w:customStyle="1" w:styleId="36">
    <w:name w:val="dct-tt"/>
    <w:basedOn w:val="27"/>
    <w:qFormat/>
    <w:uiPriority w:val="0"/>
    <w:rPr>
      <w:rFonts w:hint="default" w:ascii="Arial" w:hAnsi="Arial" w:cs="Arial"/>
    </w:rPr>
  </w:style>
  <w:style w:type="character" w:customStyle="1" w:styleId="37">
    <w:name w:val="style36"/>
    <w:basedOn w:val="27"/>
    <w:qFormat/>
    <w:uiPriority w:val="0"/>
  </w:style>
  <w:style w:type="character" w:customStyle="1" w:styleId="38">
    <w:name w:val="search_highlight2"/>
    <w:basedOn w:val="27"/>
    <w:qFormat/>
    <w:uiPriority w:val="0"/>
    <w:rPr>
      <w:rFonts w:hint="default" w:ascii="Arial" w:hAnsi="Arial" w:cs="Arial"/>
      <w:shd w:val="clear" w:color="auto" w:fill="FFFFB0"/>
    </w:rPr>
  </w:style>
  <w:style w:type="character" w:customStyle="1" w:styleId="39">
    <w:name w:val="style4"/>
    <w:basedOn w:val="27"/>
    <w:qFormat/>
    <w:uiPriority w:val="0"/>
  </w:style>
  <w:style w:type="character" w:customStyle="1" w:styleId="40">
    <w:name w:val="f141"/>
    <w:basedOn w:val="27"/>
    <w:qFormat/>
    <w:uiPriority w:val="0"/>
    <w:rPr>
      <w:b/>
      <w:bCs/>
      <w:sz w:val="21"/>
      <w:szCs w:val="21"/>
    </w:rPr>
  </w:style>
  <w:style w:type="character" w:customStyle="1" w:styleId="41">
    <w:name w:val="hei12b"/>
    <w:basedOn w:val="27"/>
    <w:qFormat/>
    <w:uiPriority w:val="0"/>
  </w:style>
  <w:style w:type="paragraph" w:customStyle="1" w:styleId="42">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3">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4">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6">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0">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1">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2">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4">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5">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1">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3">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4">
    <w:name w:val="Char Char Char Char"/>
    <w:basedOn w:val="1"/>
    <w:qFormat/>
    <w:uiPriority w:val="0"/>
    <w:rPr>
      <w:rFonts w:eastAsia="宋体"/>
      <w:sz w:val="21"/>
    </w:rPr>
  </w:style>
  <w:style w:type="paragraph" w:customStyle="1" w:styleId="65">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7">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8">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9">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70">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1">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3">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4">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5">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6">
    <w:name w:val="列出段落1"/>
    <w:basedOn w:val="1"/>
    <w:qFormat/>
    <w:uiPriority w:val="0"/>
    <w:pPr>
      <w:suppressAutoHyphens/>
      <w:ind w:left="720"/>
      <w:jc w:val="left"/>
    </w:pPr>
    <w:rPr>
      <w:rFonts w:eastAsia="Times New Roman"/>
      <w:kern w:val="0"/>
      <w:sz w:val="24"/>
      <w:szCs w:val="24"/>
      <w:lang w:eastAsia="ar-SA"/>
    </w:rPr>
  </w:style>
  <w:style w:type="paragraph" w:customStyle="1" w:styleId="77">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9">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8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1">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UP标题3"/>
    <w:basedOn w:val="1"/>
    <w:qFormat/>
    <w:uiPriority w:val="0"/>
    <w:pPr>
      <w:spacing w:line="360" w:lineRule="auto"/>
      <w:ind w:firstLine="149" w:firstLineChars="149"/>
    </w:pPr>
    <w:rPr>
      <w:rFonts w:ascii="黑体" w:hAnsi="Calibri" w:eastAsia="黑体" w:cs="宋体"/>
      <w:szCs w:val="28"/>
    </w:rPr>
  </w:style>
  <w:style w:type="paragraph" w:customStyle="1" w:styleId="8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7">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列表段落1"/>
    <w:basedOn w:val="1"/>
    <w:qFormat/>
    <w:uiPriority w:val="34"/>
    <w:pPr>
      <w:ind w:firstLine="420" w:firstLineChars="200"/>
    </w:pPr>
    <w:rPr>
      <w:rFonts w:eastAsia="Times New Roman"/>
      <w:sz w:val="21"/>
      <w:szCs w:val="24"/>
    </w:rPr>
  </w:style>
  <w:style w:type="paragraph" w:customStyle="1" w:styleId="91">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4">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8">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9">
    <w:name w:val="标题 1 字符"/>
    <w:basedOn w:val="27"/>
    <w:link w:val="3"/>
    <w:qFormat/>
    <w:uiPriority w:val="0"/>
    <w:rPr>
      <w:rFonts w:ascii="黑体" w:eastAsia="黑体"/>
      <w:sz w:val="60"/>
    </w:rPr>
  </w:style>
  <w:style w:type="character" w:customStyle="1" w:styleId="100">
    <w:name w:val="纯文本 Char"/>
    <w:qFormat/>
    <w:uiPriority w:val="0"/>
    <w:rPr>
      <w:rFonts w:ascii="宋体" w:hAnsi="Courier New"/>
      <w:sz w:val="24"/>
    </w:rPr>
  </w:style>
  <w:style w:type="character" w:customStyle="1" w:styleId="101">
    <w:name w:val="纯文本 字符"/>
    <w:basedOn w:val="27"/>
    <w:link w:val="14"/>
    <w:qFormat/>
    <w:uiPriority w:val="0"/>
    <w:rPr>
      <w:rFonts w:ascii="宋体" w:hAnsi="Courier New" w:cs="Courier New"/>
      <w:kern w:val="2"/>
      <w:sz w:val="21"/>
      <w:szCs w:val="21"/>
    </w:rPr>
  </w:style>
  <w:style w:type="paragraph" w:customStyle="1" w:styleId="10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3">
    <w:name w:val="批注文字 字符"/>
    <w:basedOn w:val="27"/>
    <w:link w:val="9"/>
    <w:semiHidden/>
    <w:qFormat/>
    <w:uiPriority w:val="0"/>
    <w:rPr>
      <w:rFonts w:eastAsia="仿宋_GB2312"/>
      <w:kern w:val="2"/>
      <w:sz w:val="28"/>
    </w:rPr>
  </w:style>
  <w:style w:type="character" w:customStyle="1" w:styleId="104">
    <w:name w:val="批注主题 字符"/>
    <w:basedOn w:val="103"/>
    <w:link w:val="24"/>
    <w:qFormat/>
    <w:uiPriority w:val="0"/>
    <w:rPr>
      <w:rFonts w:eastAsia="仿宋_GB2312"/>
      <w:b/>
      <w:bCs/>
      <w:kern w:val="2"/>
      <w:sz w:val="28"/>
    </w:rPr>
  </w:style>
  <w:style w:type="character" w:customStyle="1" w:styleId="105">
    <w:name w:val="批注框文本 字符"/>
    <w:basedOn w:val="27"/>
    <w:link w:val="1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16</Pages>
  <Words>8238</Words>
  <Characters>8677</Characters>
  <Lines>72</Lines>
  <Paragraphs>20</Paragraphs>
  <TotalTime>7</TotalTime>
  <ScaleCrop>false</ScaleCrop>
  <LinksUpToDate>false</LinksUpToDate>
  <CharactersWithSpaces>9680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2022-09-19T01:35:00Z</cp:lastPrinted>
  <dcterms:modified xsi:type="dcterms:W3CDTF">2023-11-01T07:06:26Z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F8EBA0EB53054367AB096538EDEC7DB5_13</vt:lpwstr>
  </property>
</Properties>
</file>