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wordWrap w:val="0"/>
        <w:topLinePunct/>
        <w:autoSpaceDE/>
        <w:spacing w:line="240" w:lineRule="auto"/>
        <w:ind w:right="-1132" w:rightChars="-341"/>
        <w:jc w:val="center"/>
        <w:rPr>
          <w:rFonts w:ascii="宋体" w:hAnsi="宋体" w:eastAsia="宋体"/>
          <w:sz w:val="32"/>
        </w:rPr>
      </w:pPr>
    </w:p>
    <w:p>
      <w:pPr>
        <w:pStyle w:val="3"/>
        <w:kinsoku w:val="0"/>
        <w:wordWrap w:val="0"/>
        <w:topLinePunct/>
        <w:autoSpaceDE/>
        <w:spacing w:line="240" w:lineRule="auto"/>
        <w:jc w:val="center"/>
        <w:rPr>
          <w:rFonts w:hint="eastAsia" w:ascii="宋体" w:hAnsi="宋体" w:eastAsia="宋体"/>
          <w:sz w:val="44"/>
        </w:rPr>
      </w:pPr>
      <w:r>
        <w:rPr>
          <w:rFonts w:hint="eastAsia" w:ascii="宋体" w:hAnsi="宋体" w:eastAsia="宋体"/>
          <w:sz w:val="44"/>
        </w:rPr>
        <w:t>汕头大学医学院医学院数字化资源国际运营项目（九门全英慕课课程）</w:t>
      </w:r>
    </w:p>
    <w:p>
      <w:pPr>
        <w:kinsoku w:val="0"/>
        <w:wordWrap w:val="0"/>
        <w:topLinePunct/>
        <w:rPr>
          <w:rFonts w:ascii="宋体" w:eastAsia="宋体"/>
        </w:rPr>
      </w:pPr>
    </w:p>
    <w:p>
      <w:pPr>
        <w:pStyle w:val="3"/>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3</w:t>
      </w:r>
      <w:r>
        <w:rPr>
          <w:rFonts w:hint="eastAsia" w:ascii="宋体" w:hAnsi="宋体" w:eastAsia="宋体"/>
          <w:sz w:val="36"/>
        </w:rPr>
        <w:t>-</w:t>
      </w:r>
      <w:r>
        <w:rPr>
          <w:rFonts w:hint="eastAsia" w:ascii="宋体" w:hAnsi="宋体" w:eastAsia="宋体"/>
          <w:sz w:val="36"/>
          <w:lang w:val="en-US" w:eastAsia="zh-CN"/>
        </w:rPr>
        <w:t xml:space="preserve"> 11</w:t>
      </w:r>
      <w:r>
        <w:rPr>
          <w:rFonts w:hint="eastAsia" w:ascii="宋体" w:hAnsi="宋体" w:eastAsia="宋体"/>
          <w:sz w:val="36"/>
        </w:rPr>
        <w:t>-</w:t>
      </w:r>
      <w:r>
        <w:rPr>
          <w:rFonts w:hint="eastAsia" w:ascii="宋体" w:hAnsi="宋体" w:eastAsia="宋体"/>
          <w:sz w:val="36"/>
          <w:lang w:val="en-US" w:eastAsia="zh-CN"/>
        </w:rPr>
        <w:t>1B</w:t>
      </w:r>
    </w:p>
    <w:p>
      <w:pPr>
        <w:pStyle w:val="3"/>
        <w:jc w:val="center"/>
        <w:rPr>
          <w:rFonts w:hint="eastAsia" w:ascii="宋体" w:hAnsi="宋体" w:eastAsia="宋体"/>
          <w:sz w:val="36"/>
        </w:rPr>
      </w:pPr>
      <w:r>
        <w:rPr>
          <w:rFonts w:hint="eastAsia" w:ascii="宋体" w:hAnsi="宋体" w:eastAsia="宋体"/>
          <w:sz w:val="36"/>
        </w:rPr>
        <w:t>项目名称：医学院数字化资源国际运营项目（九门全英慕课课程）</w:t>
      </w: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drawing>
          <wp:inline distT="0" distB="0" distL="114300" distR="114300">
            <wp:extent cx="752475" cy="8286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7"/>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hint="eastAsia" w:ascii="宋体" w:hAnsi="宋体" w:eastAsia="宋体"/>
          <w:sz w:val="44"/>
          <w:lang w:val="en-US" w:eastAsia="zh-CN"/>
        </w:rPr>
      </w:pPr>
      <w:r>
        <w:rPr>
          <w:rFonts w:hint="eastAsia" w:ascii="宋体" w:hAnsi="宋体" w:eastAsia="宋体"/>
          <w:sz w:val="44"/>
        </w:rPr>
        <w:t>202</w:t>
      </w:r>
      <w:r>
        <w:rPr>
          <w:rFonts w:hint="eastAsia" w:ascii="宋体" w:hAnsi="宋体" w:eastAsia="宋体"/>
          <w:sz w:val="44"/>
          <w:lang w:val="en-US" w:eastAsia="zh-CN"/>
        </w:rPr>
        <w:t>3</w:t>
      </w:r>
      <w:r>
        <w:rPr>
          <w:rFonts w:hint="eastAsia" w:ascii="宋体" w:hAnsi="宋体" w:eastAsia="宋体"/>
          <w:sz w:val="44"/>
        </w:rPr>
        <w:t>．</w:t>
      </w:r>
      <w:r>
        <w:rPr>
          <w:rFonts w:hint="eastAsia" w:ascii="宋体" w:hAnsi="宋体" w:eastAsia="宋体"/>
          <w:sz w:val="44"/>
          <w:lang w:val="en-US" w:eastAsia="zh-CN"/>
        </w:rPr>
        <w:t>11</w:t>
      </w:r>
      <w:r>
        <w:rPr>
          <w:rFonts w:ascii="宋体" w:hAnsi="宋体" w:eastAsia="宋体"/>
          <w:sz w:val="44"/>
        </w:rPr>
        <w:t xml:space="preserve"> </w:t>
      </w:r>
      <w:r>
        <w:rPr>
          <w:rFonts w:hint="eastAsia" w:ascii="宋体" w:hAnsi="宋体" w:eastAsia="宋体"/>
          <w:sz w:val="44"/>
        </w:rPr>
        <w:t>.</w:t>
      </w:r>
      <w:r>
        <w:rPr>
          <w:rFonts w:ascii="宋体" w:hAnsi="宋体" w:eastAsia="宋体"/>
          <w:sz w:val="44"/>
        </w:rPr>
        <w:t xml:space="preserve"> </w:t>
      </w:r>
      <w:r>
        <w:rPr>
          <w:rFonts w:hint="eastAsia" w:ascii="宋体" w:hAnsi="宋体" w:eastAsia="宋体"/>
          <w:sz w:val="44"/>
          <w:lang w:val="en-US" w:eastAsia="zh-CN"/>
        </w:rPr>
        <w:t>1</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3"/>
        </w:numPr>
        <w:kinsoku w:val="0"/>
        <w:wordWrap w:val="0"/>
        <w:topLinePunct/>
        <w:rPr>
          <w:rFonts w:ascii="宋体" w:hAnsi="Arial Narrow" w:eastAsia="宋体"/>
        </w:rPr>
      </w:pPr>
      <w:r>
        <w:rPr>
          <w:rFonts w:hint="eastAsia" w:ascii="宋体" w:hAnsi="Arial Narrow" w:eastAsia="宋体"/>
        </w:rPr>
        <w:t>投标人须知</w:t>
      </w:r>
    </w:p>
    <w:p>
      <w:pPr>
        <w:numPr>
          <w:ilvl w:val="0"/>
          <w:numId w:val="3"/>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3"/>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3"/>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3"/>
        </w:numPr>
        <w:kinsoku w:val="0"/>
        <w:wordWrap w:val="0"/>
        <w:topLinePunct/>
        <w:rPr>
          <w:rFonts w:ascii="宋体" w:hAnsi="Arial Narrow" w:eastAsia="宋体"/>
        </w:rPr>
      </w:pPr>
      <w:r>
        <w:rPr>
          <w:rFonts w:hint="eastAsia" w:ascii="宋体" w:hAnsi="Arial Narrow" w:eastAsia="宋体"/>
        </w:rPr>
        <w:t>评（议）标原则</w:t>
      </w:r>
    </w:p>
    <w:p>
      <w:pPr>
        <w:numPr>
          <w:ilvl w:val="0"/>
          <w:numId w:val="3"/>
        </w:numPr>
        <w:kinsoku w:val="0"/>
        <w:wordWrap w:val="0"/>
        <w:topLinePunct/>
        <w:rPr>
          <w:rFonts w:ascii="宋体" w:hAnsi="Arial Narrow" w:eastAsia="宋体"/>
        </w:rPr>
      </w:pPr>
      <w:r>
        <w:rPr>
          <w:rFonts w:hint="eastAsia" w:ascii="宋体" w:hAnsi="Arial Narrow" w:eastAsia="宋体"/>
        </w:rPr>
        <w:t>开标、评标、定标</w:t>
      </w:r>
    </w:p>
    <w:p>
      <w:pPr>
        <w:numPr>
          <w:ilvl w:val="0"/>
          <w:numId w:val="3"/>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技术规格要求和交货日期等</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项目内容数量</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主要技术指标、技术服务要求、时间</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技术服务质量及售后服务要求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5"/>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spacing w:line="540" w:lineRule="exact"/>
        <w:ind w:left="425"/>
        <w:rPr>
          <w:rFonts w:ascii="宋体" w:hAnsi="宋体" w:eastAsia="宋体"/>
          <w:b/>
          <w:sz w:val="21"/>
          <w:szCs w:val="21"/>
        </w:rPr>
      </w:pPr>
      <w:r>
        <w:rPr>
          <w:rFonts w:hint="eastAsia" w:ascii="宋体" w:hAnsi="宋体" w:eastAsia="宋体"/>
          <w:b/>
          <w:sz w:val="21"/>
          <w:szCs w:val="21"/>
        </w:rPr>
        <w:t>2.供应商资格要求</w:t>
      </w:r>
    </w:p>
    <w:p>
      <w:pPr>
        <w:spacing w:line="540" w:lineRule="exact"/>
        <w:rPr>
          <w:rFonts w:ascii="宋体" w:hAnsi="宋体" w:eastAsia="宋体"/>
          <w:sz w:val="18"/>
          <w:szCs w:val="18"/>
        </w:rPr>
      </w:pPr>
      <w:r>
        <w:rPr>
          <w:rFonts w:hint="eastAsia" w:ascii="宋体" w:hAnsi="宋体" w:eastAsia="宋体"/>
          <w:sz w:val="21"/>
          <w:szCs w:val="21"/>
        </w:rPr>
        <w:t xml:space="preserve">  </w:t>
      </w:r>
      <w:r>
        <w:rPr>
          <w:rFonts w:hint="eastAsia" w:ascii="宋体" w:hAnsi="宋体" w:eastAsia="宋体"/>
          <w:sz w:val="18"/>
          <w:szCs w:val="18"/>
        </w:rPr>
        <w:t xml:space="preserve"> （</w:t>
      </w:r>
      <w:r>
        <w:rPr>
          <w:rFonts w:ascii="宋体" w:hAnsi="宋体" w:eastAsia="宋体"/>
          <w:sz w:val="18"/>
          <w:szCs w:val="18"/>
        </w:rPr>
        <w:t>1</w:t>
      </w:r>
      <w:r>
        <w:rPr>
          <w:rFonts w:hint="eastAsia" w:ascii="宋体" w:hAnsi="宋体" w:eastAsia="宋体"/>
          <w:sz w:val="18"/>
          <w:szCs w:val="18"/>
        </w:rPr>
        <w:t>）</w:t>
      </w:r>
      <w:r>
        <w:rPr>
          <w:rFonts w:ascii="宋体" w:hAnsi="宋体" w:eastAsia="宋体"/>
          <w:sz w:val="18"/>
          <w:szCs w:val="18"/>
        </w:rPr>
        <w:t>具有独立承担民事责任的能力，投标人须在中国境内注册。</w:t>
      </w:r>
    </w:p>
    <w:p>
      <w:pPr>
        <w:spacing w:line="540" w:lineRule="exact"/>
        <w:rPr>
          <w:rFonts w:ascii="宋体" w:hAnsi="宋体" w:eastAsia="宋体"/>
          <w:sz w:val="18"/>
          <w:szCs w:val="18"/>
        </w:rPr>
      </w:pPr>
      <w:r>
        <w:rPr>
          <w:rFonts w:hint="eastAsia" w:ascii="宋体" w:hAnsi="宋体" w:eastAsia="宋体"/>
          <w:sz w:val="18"/>
          <w:szCs w:val="18"/>
        </w:rPr>
        <w:t xml:space="preserve">   （</w:t>
      </w:r>
      <w:r>
        <w:rPr>
          <w:rFonts w:ascii="宋体" w:hAnsi="宋体" w:eastAsia="宋体"/>
          <w:sz w:val="18"/>
          <w:szCs w:val="18"/>
        </w:rPr>
        <w:t>2</w:t>
      </w:r>
      <w:r>
        <w:rPr>
          <w:rFonts w:hint="eastAsia" w:ascii="宋体" w:hAnsi="宋体" w:eastAsia="宋体"/>
          <w:sz w:val="18"/>
          <w:szCs w:val="18"/>
        </w:rPr>
        <w:t>）</w:t>
      </w:r>
      <w:r>
        <w:rPr>
          <w:rFonts w:ascii="宋体" w:hAnsi="宋体" w:eastAsia="宋体"/>
          <w:sz w:val="18"/>
          <w:szCs w:val="18"/>
        </w:rPr>
        <w:t>参加本项目招标采购活动前三年内，在经营活动中没有重大违法记录（投标人自行提供书面声明）。</w:t>
      </w:r>
      <w:bookmarkStart w:id="1" w:name="_GoBack"/>
      <w:bookmarkEnd w:id="1"/>
    </w:p>
    <w:p>
      <w:pPr>
        <w:spacing w:line="540" w:lineRule="exact"/>
        <w:ind w:left="425"/>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3</w:t>
      </w:r>
      <w:r>
        <w:rPr>
          <w:rFonts w:hint="eastAsia" w:ascii="宋体" w:hAnsi="宋体" w:eastAsia="宋体"/>
          <w:sz w:val="18"/>
          <w:szCs w:val="18"/>
        </w:rPr>
        <w:t>）</w:t>
      </w:r>
      <w:r>
        <w:rPr>
          <w:rFonts w:ascii="宋体" w:hAnsi="宋体" w:eastAsia="宋体"/>
          <w:sz w:val="18"/>
          <w:szCs w:val="18"/>
        </w:rPr>
        <w:t>投标人单位负责人为同一人或者存在控股、管理关系的不同单位，不得参加本次投标。</w:t>
      </w:r>
    </w:p>
    <w:p>
      <w:pPr>
        <w:spacing w:line="540" w:lineRule="exact"/>
        <w:ind w:left="425"/>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4</w:t>
      </w:r>
      <w:r>
        <w:rPr>
          <w:rFonts w:hint="eastAsia" w:ascii="宋体" w:hAnsi="宋体" w:eastAsia="宋体"/>
          <w:sz w:val="18"/>
          <w:szCs w:val="18"/>
        </w:rPr>
        <w:t>）</w:t>
      </w:r>
      <w:r>
        <w:rPr>
          <w:rFonts w:ascii="宋体" w:hAnsi="宋体" w:eastAsia="宋体"/>
          <w:sz w:val="18"/>
          <w:szCs w:val="18"/>
        </w:rPr>
        <w:t>投标人未被列入“信用中国”网站失信被执行人、重大税收违法案件严重违法失信行为记录名单。</w:t>
      </w:r>
    </w:p>
    <w:p>
      <w:pPr>
        <w:spacing w:line="540" w:lineRule="exact"/>
        <w:ind w:left="425"/>
        <w:rPr>
          <w:rFonts w:ascii="宋体" w:hAnsi="宋体" w:eastAsia="宋体"/>
          <w:sz w:val="21"/>
          <w:szCs w:val="21"/>
        </w:rPr>
      </w:pPr>
      <w:r>
        <w:rPr>
          <w:rFonts w:hint="eastAsia" w:ascii="宋体" w:hAnsi="宋体" w:eastAsia="宋体"/>
          <w:sz w:val="18"/>
          <w:szCs w:val="18"/>
        </w:rPr>
        <w:t>（</w:t>
      </w:r>
      <w:r>
        <w:rPr>
          <w:rFonts w:ascii="宋体" w:hAnsi="宋体" w:eastAsia="宋体"/>
          <w:sz w:val="18"/>
          <w:szCs w:val="18"/>
        </w:rPr>
        <w:t>5</w:t>
      </w:r>
      <w:r>
        <w:rPr>
          <w:rFonts w:hint="eastAsia" w:ascii="宋体" w:hAnsi="宋体" w:eastAsia="宋体"/>
          <w:sz w:val="18"/>
          <w:szCs w:val="18"/>
        </w:rPr>
        <w:t>）</w:t>
      </w:r>
      <w:r>
        <w:rPr>
          <w:rFonts w:ascii="宋体" w:hAnsi="宋体" w:eastAsia="宋体"/>
          <w:sz w:val="18"/>
          <w:szCs w:val="18"/>
        </w:rPr>
        <w:t>本项目不接受联合体投标</w:t>
      </w:r>
      <w:r>
        <w:rPr>
          <w:rFonts w:ascii="宋体" w:hAnsi="宋体" w:eastAsia="宋体"/>
          <w:sz w:val="21"/>
          <w:szCs w:val="21"/>
        </w:rPr>
        <w:t>。</w:t>
      </w:r>
    </w:p>
    <w:p>
      <w:pPr>
        <w:numPr>
          <w:ilvl w:val="0"/>
          <w:numId w:val="5"/>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5"/>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hint="eastAsia" w:ascii="宋体" w:hAnsi="Arial Narrow" w:eastAsia="宋体"/>
          <w:b/>
          <w:sz w:val="21"/>
        </w:rPr>
      </w:pPr>
      <w:r>
        <w:rPr>
          <w:rFonts w:hint="eastAsia" w:ascii="宋体" w:hAnsi="Arial Narrow" w:eastAsia="宋体"/>
          <w:b/>
          <w:sz w:val="21"/>
        </w:rPr>
        <w:t>二、招标项目的名称</w:t>
      </w:r>
    </w:p>
    <w:p>
      <w:pPr>
        <w:kinsoku w:val="0"/>
        <w:wordWrap w:val="0"/>
        <w:topLinePunct/>
        <w:ind w:firstLine="262" w:firstLineChars="100"/>
        <w:rPr>
          <w:rFonts w:hint="eastAsia" w:ascii="宋体" w:hAnsi="Arial Narrow" w:eastAsia="宋体"/>
          <w:b/>
          <w:sz w:val="21"/>
        </w:rPr>
      </w:pPr>
      <w:r>
        <w:rPr>
          <w:rFonts w:hint="eastAsia" w:ascii="宋体" w:hAnsi="Arial Narrow" w:eastAsia="宋体"/>
          <w:b/>
          <w:sz w:val="21"/>
        </w:rPr>
        <w:t>医学院数字化资源国际运营项目（九门全英慕课课程）</w:t>
      </w:r>
    </w:p>
    <w:p>
      <w:pPr>
        <w:kinsoku w:val="0"/>
        <w:wordWrap w:val="0"/>
        <w:topLinePunct/>
        <w:ind w:firstLine="262" w:firstLineChars="100"/>
        <w:rPr>
          <w:rFonts w:ascii="宋体" w:hAnsi="Arial Narrow"/>
          <w:b/>
          <w:sz w:val="21"/>
          <w:szCs w:val="21"/>
        </w:rPr>
      </w:pPr>
      <w:r>
        <w:rPr>
          <w:rFonts w:hint="eastAsia" w:ascii="宋体" w:hAnsi="宋体" w:cs="宋体"/>
          <w:b/>
          <w:bCs/>
          <w:sz w:val="21"/>
          <w:szCs w:val="21"/>
        </w:rPr>
        <w:t>(预算</w:t>
      </w:r>
      <w:r>
        <w:rPr>
          <w:rFonts w:hint="eastAsia" w:ascii="宋体" w:hAnsi="宋体" w:cs="宋体"/>
          <w:b/>
          <w:bCs/>
          <w:sz w:val="21"/>
          <w:szCs w:val="21"/>
          <w:lang w:val="en-US" w:eastAsia="zh-CN"/>
        </w:rPr>
        <w:t>27</w:t>
      </w:r>
      <w:r>
        <w:rPr>
          <w:rFonts w:hint="eastAsia" w:ascii="宋体" w:hAnsi="宋体" w:cs="宋体"/>
          <w:b/>
          <w:bCs/>
          <w:sz w:val="21"/>
          <w:szCs w:val="21"/>
        </w:rPr>
        <w:t>0000元）</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tabs>
          <w:tab w:val="left" w:pos="0"/>
        </w:tabs>
        <w:kinsoku w:val="0"/>
        <w:wordWrap w:val="0"/>
        <w:topLinePunct/>
        <w:rPr>
          <w:rFonts w:ascii="宋体" w:hAnsi="Arial Narrow" w:eastAsia="宋体"/>
          <w:sz w:val="18"/>
        </w:rPr>
      </w:pPr>
      <w:r>
        <w:rPr>
          <w:rFonts w:hint="eastAsia" w:ascii="宋体" w:hAnsi="Arial Narrow" w:eastAsia="宋体"/>
          <w:sz w:val="18"/>
        </w:rPr>
        <w:t>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6"/>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w:t>
      </w:r>
      <w:r>
        <w:rPr>
          <w:rFonts w:hint="eastAsia" w:ascii="宋体" w:hAnsi="Arial Narrow" w:eastAsia="宋体"/>
          <w:sz w:val="18"/>
          <w:lang w:eastAsia="zh-CN"/>
        </w:rPr>
        <w:t>蔡文锋</w:t>
      </w:r>
      <w:r>
        <w:rPr>
          <w:rFonts w:hint="eastAsia" w:ascii="宋体" w:hAnsi="Arial Narrow" w:eastAsia="宋体"/>
          <w:sz w:val="18"/>
        </w:rPr>
        <w:t>、杨成瑜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pStyle w:val="3"/>
        <w:kinsoku w:val="0"/>
        <w:wordWrap w:val="0"/>
        <w:topLinePunct/>
        <w:autoSpaceDE/>
        <w:spacing w:line="240" w:lineRule="auto"/>
        <w:jc w:val="center"/>
        <w:rPr>
          <w:rFonts w:hint="eastAsia" w:ascii="宋体" w:hAnsi="宋体" w:eastAsia="宋体" w:cs="宋体"/>
          <w:b/>
          <w:bCs/>
          <w:i/>
          <w:iCs/>
          <w:sz w:val="24"/>
        </w:rPr>
      </w:pPr>
      <w:r>
        <w:rPr>
          <w:rFonts w:hint="eastAsia" w:ascii="宋体" w:hAnsi="宋体" w:eastAsia="宋体" w:cs="宋体"/>
          <w:b/>
          <w:bCs/>
          <w:i/>
          <w:iCs/>
          <w:sz w:val="24"/>
        </w:rPr>
        <w:t>投标截止时间：202</w:t>
      </w:r>
      <w:r>
        <w:rPr>
          <w:rFonts w:hint="eastAsia" w:ascii="宋体" w:hAnsi="宋体" w:eastAsia="宋体" w:cs="宋体"/>
          <w:b/>
          <w:bCs/>
          <w:i/>
          <w:iCs/>
          <w:sz w:val="24"/>
          <w:lang w:val="en-US" w:eastAsia="zh-CN"/>
        </w:rPr>
        <w:t>3年11</w:t>
      </w:r>
      <w:r>
        <w:rPr>
          <w:rFonts w:hint="eastAsia" w:ascii="宋体" w:hAnsi="宋体" w:eastAsia="宋体" w:cs="宋体"/>
          <w:b/>
          <w:bCs/>
          <w:i/>
          <w:iCs/>
          <w:sz w:val="24"/>
        </w:rPr>
        <w:t>月</w:t>
      </w:r>
      <w:r>
        <w:rPr>
          <w:rFonts w:hint="eastAsia" w:ascii="宋体" w:hAnsi="宋体" w:eastAsia="宋体" w:cs="宋体"/>
          <w:b/>
          <w:bCs/>
          <w:i/>
          <w:iCs/>
          <w:sz w:val="24"/>
          <w:lang w:val="en-US" w:eastAsia="zh-CN"/>
        </w:rPr>
        <w:t xml:space="preserve"> 13</w:t>
      </w:r>
      <w:r>
        <w:rPr>
          <w:rFonts w:hint="eastAsia" w:ascii="宋体" w:hAnsi="宋体" w:eastAsia="宋体" w:cs="宋体"/>
          <w:b/>
          <w:bCs/>
          <w:i/>
          <w:iCs/>
          <w:sz w:val="24"/>
        </w:rPr>
        <w:t>日上午9点30分   (北京时间)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kinsoku w:val="0"/>
        <w:wordWrap w:val="0"/>
        <w:topLinePunct/>
        <w:rPr>
          <w:rFonts w:ascii="宋体" w:hAnsi="Arial Narrow" w:eastAsia="宋体"/>
          <w:b/>
          <w:sz w:val="21"/>
        </w:rPr>
      </w:pPr>
      <w:r>
        <w:rPr>
          <w:rFonts w:hint="eastAsia" w:ascii="宋体" w:eastAsia="宋体"/>
          <w:sz w:val="18"/>
        </w:rPr>
        <w:t xml:space="preserve">   1.本次采购采用综合评分法，按分数高低选出中标候选人。</w:t>
      </w:r>
    </w:p>
    <w:p>
      <w:pPr>
        <w:pStyle w:val="3"/>
      </w:pPr>
      <w:r>
        <w:rPr>
          <w:rFonts w:hint="eastAsia" w:ascii="宋体" w:eastAsia="宋体"/>
          <w:sz w:val="18"/>
        </w:rPr>
        <w:t xml:space="preserve">   2.</w:t>
      </w:r>
      <w:r>
        <w:rPr>
          <w:rFonts w:hint="eastAsia"/>
        </w:rPr>
        <w:t xml:space="preserve"> </w:t>
      </w:r>
      <w:r>
        <w:rPr>
          <w:rFonts w:hint="eastAsia"/>
          <w:sz w:val="21"/>
          <w:szCs w:val="21"/>
        </w:rPr>
        <w:t>评分表：</w:t>
      </w:r>
    </w:p>
    <w:p>
      <w:pPr>
        <w:pStyle w:val="20"/>
        <w:tabs>
          <w:tab w:val="left" w:pos="-166"/>
        </w:tabs>
        <w:kinsoku w:val="0"/>
        <w:wordWrap w:val="0"/>
        <w:topLinePunct/>
        <w:ind w:left="498" w:leftChars="150" w:firstLine="440" w:firstLineChars="190"/>
        <w:rPr>
          <w:rFonts w:ascii="宋体" w:eastAsia="宋体"/>
          <w:sz w:val="18"/>
        </w:rPr>
      </w:pPr>
    </w:p>
    <w:tbl>
      <w:tblPr>
        <w:tblStyle w:val="2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134"/>
        <w:gridCol w:w="4182"/>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40" w:lineRule="exact"/>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序号</w:t>
            </w:r>
          </w:p>
        </w:tc>
        <w:tc>
          <w:tcPr>
            <w:tcW w:w="1276" w:type="dxa"/>
            <w:vAlign w:val="center"/>
          </w:tcPr>
          <w:p>
            <w:pPr>
              <w:spacing w:line="240" w:lineRule="exact"/>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评分因素及权值</w:t>
            </w:r>
          </w:p>
        </w:tc>
        <w:tc>
          <w:tcPr>
            <w:tcW w:w="1134" w:type="dxa"/>
            <w:vAlign w:val="center"/>
          </w:tcPr>
          <w:p>
            <w:pPr>
              <w:spacing w:line="240" w:lineRule="exact"/>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分值</w:t>
            </w:r>
          </w:p>
        </w:tc>
        <w:tc>
          <w:tcPr>
            <w:tcW w:w="4182" w:type="dxa"/>
            <w:vAlign w:val="center"/>
          </w:tcPr>
          <w:p>
            <w:pPr>
              <w:spacing w:line="240" w:lineRule="exact"/>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评分标准</w:t>
            </w:r>
          </w:p>
        </w:tc>
        <w:tc>
          <w:tcPr>
            <w:tcW w:w="2197" w:type="dxa"/>
            <w:vAlign w:val="center"/>
          </w:tcPr>
          <w:p>
            <w:pPr>
              <w:spacing w:line="240" w:lineRule="exact"/>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20" w:lineRule="exact"/>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276" w:type="dxa"/>
            <w:vAlign w:val="center"/>
          </w:tcPr>
          <w:p>
            <w:pPr>
              <w:spacing w:line="320" w:lineRule="exact"/>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投标报价</w:t>
            </w:r>
          </w:p>
          <w:p>
            <w:pPr>
              <w:spacing w:line="320" w:lineRule="exact"/>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w:t>
            </w:r>
          </w:p>
        </w:tc>
        <w:tc>
          <w:tcPr>
            <w:tcW w:w="1134" w:type="dxa"/>
            <w:vAlign w:val="center"/>
          </w:tcPr>
          <w:p>
            <w:pPr>
              <w:spacing w:line="320" w:lineRule="exact"/>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20分</w:t>
            </w:r>
          </w:p>
        </w:tc>
        <w:tc>
          <w:tcPr>
            <w:tcW w:w="4182" w:type="dxa"/>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满足资格性、符合性要求且报价最低的供应商的价格为投标基准价，其价格分为满分。其他供应商的价格分统一按照下列公式计算：</w:t>
            </w:r>
          </w:p>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投标报价得分=（投标基准价/供应商报价）×价格权值×100</w:t>
            </w:r>
          </w:p>
        </w:tc>
        <w:tc>
          <w:tcPr>
            <w:tcW w:w="2197" w:type="dxa"/>
            <w:vAlign w:val="center"/>
          </w:tcPr>
          <w:p>
            <w:pPr>
              <w:spacing w:line="240" w:lineRule="atLeast"/>
              <w:ind w:left="-38"/>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pacing w:line="320" w:lineRule="exact"/>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276" w:type="dxa"/>
            <w:vMerge w:val="restart"/>
            <w:vAlign w:val="center"/>
          </w:tcPr>
          <w:p>
            <w:pPr>
              <w:spacing w:line="320" w:lineRule="exact"/>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技术部分（49%）</w:t>
            </w:r>
          </w:p>
        </w:tc>
        <w:tc>
          <w:tcPr>
            <w:tcW w:w="1134" w:type="dxa"/>
            <w:vAlign w:val="center"/>
          </w:tcPr>
          <w:p>
            <w:pPr>
              <w:adjustRightInd w:val="0"/>
              <w:snapToGrid w:val="0"/>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技术要求</w:t>
            </w:r>
          </w:p>
          <w:p>
            <w:pPr>
              <w:adjustRightInd w:val="0"/>
              <w:snapToGrid w:val="0"/>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30分</w:t>
            </w:r>
          </w:p>
        </w:tc>
        <w:tc>
          <w:tcPr>
            <w:tcW w:w="4182" w:type="dxa"/>
            <w:vAlign w:val="center"/>
          </w:tcPr>
          <w:p>
            <w:pPr>
              <w:snapToGrid w:val="0"/>
              <w:spacing w:line="32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1.起评分：有效的起评分为30分；</w:t>
            </w:r>
          </w:p>
          <w:p>
            <w:pPr>
              <w:snapToGrid w:val="0"/>
              <w:spacing w:line="32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2.扣分条款：</w:t>
            </w:r>
          </w:p>
          <w:p>
            <w:pPr>
              <w:snapToGrid w:val="0"/>
              <w:spacing w:line="32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招标文件 “</w:t>
            </w:r>
            <w:r>
              <w:rPr>
                <w:rFonts w:hint="eastAsia" w:ascii="宋体" w:hAnsi="宋体" w:eastAsia="宋体" w:cs="宋体"/>
                <w:color w:val="333333"/>
                <w:sz w:val="21"/>
                <w:szCs w:val="21"/>
                <w:shd w:val="clear" w:color="auto" w:fill="FFFFFF"/>
              </w:rPr>
              <w:t>▲</w:t>
            </w:r>
            <w:r>
              <w:rPr>
                <w:rFonts w:hint="eastAsia" w:ascii="宋体" w:hAnsi="宋体" w:eastAsia="宋体" w:cs="宋体"/>
                <w:color w:val="000000"/>
                <w:kern w:val="0"/>
                <w:sz w:val="21"/>
                <w:szCs w:val="21"/>
              </w:rPr>
              <w:t>”为重要技术参数，有一条不满足技术部分为0分。</w:t>
            </w:r>
          </w:p>
          <w:p>
            <w:pPr>
              <w:snapToGrid w:val="0"/>
              <w:spacing w:line="32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招标文件非“</w:t>
            </w:r>
            <w:r>
              <w:rPr>
                <w:rFonts w:hint="eastAsia" w:ascii="宋体" w:hAnsi="宋体" w:eastAsia="宋体" w:cs="宋体"/>
                <w:color w:val="333333"/>
                <w:sz w:val="21"/>
                <w:szCs w:val="21"/>
                <w:shd w:val="clear" w:color="auto" w:fill="FFFFFF"/>
              </w:rPr>
              <w:t>▲</w:t>
            </w:r>
            <w:r>
              <w:rPr>
                <w:rFonts w:hint="eastAsia" w:ascii="宋体" w:hAnsi="宋体" w:eastAsia="宋体" w:cs="宋体"/>
                <w:color w:val="000000"/>
                <w:kern w:val="0"/>
                <w:sz w:val="21"/>
                <w:szCs w:val="21"/>
              </w:rPr>
              <w:t>”中达不到招标文件要求的，每负偏离一条从起评分中扣除3分；有3条及以上不满足招标文件要求的，技术部分得分为0分。</w:t>
            </w:r>
          </w:p>
        </w:tc>
        <w:tc>
          <w:tcPr>
            <w:tcW w:w="2197" w:type="dxa"/>
            <w:vAlign w:val="center"/>
          </w:tcPr>
          <w:p>
            <w:pPr>
              <w:spacing w:line="240" w:lineRule="atLeast"/>
              <w:ind w:firstLine="524" w:firstLineChars="200"/>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75" w:type="dxa"/>
            <w:vMerge w:val="continue"/>
            <w:vAlign w:val="center"/>
          </w:tcPr>
          <w:p>
            <w:pPr>
              <w:spacing w:line="320" w:lineRule="exact"/>
              <w:ind w:firstLine="28"/>
              <w:jc w:val="center"/>
              <w:rPr>
                <w:rFonts w:hint="eastAsia" w:ascii="宋体" w:hAnsi="宋体" w:eastAsia="宋体" w:cs="宋体"/>
                <w:color w:val="000000"/>
                <w:sz w:val="21"/>
                <w:szCs w:val="21"/>
              </w:rPr>
            </w:pPr>
          </w:p>
        </w:tc>
        <w:tc>
          <w:tcPr>
            <w:tcW w:w="1276" w:type="dxa"/>
            <w:vMerge w:val="continue"/>
            <w:vAlign w:val="center"/>
          </w:tcPr>
          <w:p>
            <w:pPr>
              <w:spacing w:line="320" w:lineRule="exact"/>
              <w:ind w:firstLine="28"/>
              <w:jc w:val="center"/>
              <w:rPr>
                <w:rFonts w:hint="eastAsia" w:ascii="宋体" w:hAnsi="宋体" w:eastAsia="宋体" w:cs="宋体"/>
                <w:color w:val="000000"/>
                <w:sz w:val="21"/>
                <w:szCs w:val="21"/>
              </w:rPr>
            </w:pPr>
          </w:p>
        </w:tc>
        <w:tc>
          <w:tcPr>
            <w:tcW w:w="1134" w:type="dxa"/>
            <w:vAlign w:val="center"/>
          </w:tcPr>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z w:val="21"/>
                <w:szCs w:val="21"/>
              </w:rPr>
              <w:t>供应商</w:t>
            </w:r>
          </w:p>
          <w:p>
            <w:pPr>
              <w:adjustRightInd w:val="0"/>
              <w:snapToGrid w:val="0"/>
              <w:spacing w:line="32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实力</w:t>
            </w:r>
          </w:p>
          <w:p>
            <w:pPr>
              <w:adjustRightInd w:val="0"/>
              <w:snapToGrid w:val="0"/>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7分</w:t>
            </w:r>
          </w:p>
        </w:tc>
        <w:tc>
          <w:tcPr>
            <w:tcW w:w="4182" w:type="dxa"/>
            <w:vAlign w:val="center"/>
          </w:tcPr>
          <w:p>
            <w:pPr>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供应商提供的课程运行平台，具备：</w:t>
            </w:r>
          </w:p>
          <w:p>
            <w:pPr>
              <w:snapToGrid w:val="0"/>
              <w:spacing w:line="32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在线开放课程上线运营服务经验，为保证供应商课程运营服务优越性，供应商提供的课程运行平台，拥有一定数量的课程通过该平台申报认定为“国家精品在线开放课程”，2018年至今申报成功国家精品在线开放课程(含国家一流课程)数量200门及以上得7分，150门（含）-200门得3分；100门（含）-150门得1分；不足100门不得分；（需提供获评国家精品在线开放课程清单及教育部工作网公示截图，不清晰或无法判断的不得分）； </w:t>
            </w:r>
          </w:p>
          <w:p>
            <w:pPr>
              <w:adjustRightInd w:val="0"/>
              <w:snapToGrid w:val="0"/>
              <w:spacing w:line="32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注：以上证明材料均须提供原件扫描件并加盖供应商电子公章，未提供者不得分。</w:t>
            </w:r>
          </w:p>
        </w:tc>
        <w:tc>
          <w:tcPr>
            <w:tcW w:w="2197" w:type="dxa"/>
            <w:vAlign w:val="center"/>
          </w:tcPr>
          <w:p>
            <w:pPr>
              <w:spacing w:line="240" w:lineRule="atLeast"/>
              <w:ind w:firstLine="524" w:firstLineChars="200"/>
              <w:rPr>
                <w:rFonts w:hint="eastAsia" w:ascii="宋体" w:hAnsi="宋体" w:eastAsia="宋体" w:cs="宋体"/>
                <w:color w:val="000000"/>
                <w:kern w:val="0"/>
                <w:sz w:val="21"/>
                <w:szCs w:val="21"/>
              </w:rPr>
            </w:pPr>
          </w:p>
          <w:p>
            <w:pPr>
              <w:spacing w:line="240" w:lineRule="atLeast"/>
              <w:ind w:firstLine="524" w:firstLineChars="200"/>
              <w:rPr>
                <w:rFonts w:hint="eastAsia" w:ascii="宋体" w:hAnsi="宋体" w:eastAsia="宋体" w:cs="宋体"/>
                <w:color w:val="000000"/>
                <w:kern w:val="0"/>
                <w:sz w:val="21"/>
                <w:szCs w:val="21"/>
              </w:rPr>
            </w:pPr>
          </w:p>
          <w:p>
            <w:pPr>
              <w:spacing w:line="240" w:lineRule="atLeast"/>
              <w:ind w:firstLine="524" w:firstLineChars="200"/>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75" w:type="dxa"/>
            <w:vMerge w:val="continue"/>
            <w:vAlign w:val="center"/>
          </w:tcPr>
          <w:p>
            <w:pPr>
              <w:spacing w:line="320" w:lineRule="exact"/>
              <w:ind w:firstLine="28"/>
              <w:jc w:val="center"/>
              <w:rPr>
                <w:rFonts w:hint="eastAsia" w:ascii="宋体" w:hAnsi="宋体" w:eastAsia="宋体" w:cs="宋体"/>
                <w:color w:val="000000"/>
                <w:sz w:val="21"/>
                <w:szCs w:val="21"/>
              </w:rPr>
            </w:pPr>
          </w:p>
        </w:tc>
        <w:tc>
          <w:tcPr>
            <w:tcW w:w="1276" w:type="dxa"/>
            <w:vMerge w:val="continue"/>
            <w:vAlign w:val="center"/>
          </w:tcPr>
          <w:p>
            <w:pPr>
              <w:spacing w:line="320" w:lineRule="exact"/>
              <w:ind w:firstLine="28"/>
              <w:jc w:val="center"/>
              <w:rPr>
                <w:rFonts w:hint="eastAsia" w:ascii="宋体" w:hAnsi="宋体" w:eastAsia="宋体" w:cs="宋体"/>
                <w:color w:val="000000"/>
                <w:sz w:val="21"/>
                <w:szCs w:val="21"/>
              </w:rPr>
            </w:pPr>
          </w:p>
        </w:tc>
        <w:tc>
          <w:tcPr>
            <w:tcW w:w="1134" w:type="dxa"/>
            <w:vAlign w:val="center"/>
          </w:tcPr>
          <w:p>
            <w:pPr>
              <w:adjustRightInd w:val="0"/>
              <w:snapToGrid w:val="0"/>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服务方案</w:t>
            </w:r>
          </w:p>
          <w:p>
            <w:pPr>
              <w:adjustRightInd w:val="0"/>
              <w:snapToGrid w:val="0"/>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12分</w:t>
            </w:r>
          </w:p>
        </w:tc>
        <w:tc>
          <w:tcPr>
            <w:tcW w:w="4182" w:type="dxa"/>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供应商应针对相应学科课程特点提供服务方案，包括但不仅限于如下内容：国际化课程制作、国际化课程运行、国际化课程输出方案等。</w:t>
            </w:r>
          </w:p>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服务方案按4个等级评分：</w:t>
            </w:r>
          </w:p>
          <w:p>
            <w:pPr>
              <w:suppressAutoHyphens/>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1、优，12分；（方案制定全面、详细；整体效果呈现优秀）</w:t>
            </w:r>
          </w:p>
          <w:p>
            <w:pPr>
              <w:suppressAutoHyphens/>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2、良，7分；（方案制定较为全面、详细；整体效果呈现良好）</w:t>
            </w:r>
          </w:p>
          <w:p>
            <w:pPr>
              <w:suppressAutoHyphens/>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3、中，4分（方案制定较为全面、但不够详细；整体效果呈现良好）</w:t>
            </w:r>
          </w:p>
          <w:p>
            <w:pPr>
              <w:suppressAutoHyphens/>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4、一般，1分（方案制定普通；整体效果呈现一般）</w:t>
            </w:r>
          </w:p>
          <w:p>
            <w:pPr>
              <w:adjustRightInd w:val="0"/>
              <w:snapToGrid w:val="0"/>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未提供的，服务方案部分为0分</w:t>
            </w:r>
          </w:p>
        </w:tc>
        <w:tc>
          <w:tcPr>
            <w:tcW w:w="2197" w:type="dxa"/>
            <w:vAlign w:val="center"/>
          </w:tcPr>
          <w:p>
            <w:pPr>
              <w:spacing w:line="240" w:lineRule="atLeast"/>
              <w:rPr>
                <w:rFonts w:hint="eastAsia" w:ascii="宋体" w:hAnsi="宋体" w:eastAsia="宋体" w:cs="宋体"/>
                <w:sz w:val="21"/>
                <w:szCs w:val="21"/>
              </w:rPr>
            </w:pPr>
            <w:r>
              <w:rPr>
                <w:rFonts w:hint="eastAsia" w:ascii="宋体" w:hAnsi="宋体" w:eastAsia="宋体" w:cs="宋体"/>
                <w:sz w:val="21"/>
                <w:szCs w:val="21"/>
              </w:rPr>
              <w:t>提供服务方案并</w:t>
            </w:r>
            <w:r>
              <w:rPr>
                <w:rFonts w:hint="eastAsia" w:ascii="宋体" w:hAnsi="宋体" w:eastAsia="宋体" w:cs="宋体"/>
                <w:color w:val="000000"/>
                <w:kern w:val="0"/>
                <w:sz w:val="21"/>
                <w:szCs w:val="21"/>
              </w:rPr>
              <w:t>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675" w:type="dxa"/>
            <w:vMerge w:val="restart"/>
            <w:vAlign w:val="center"/>
          </w:tcPr>
          <w:p>
            <w:pPr>
              <w:spacing w:line="32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276" w:type="dxa"/>
            <w:vMerge w:val="restart"/>
            <w:vAlign w:val="center"/>
          </w:tcPr>
          <w:p>
            <w:pPr>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商务部分（31%）</w:t>
            </w:r>
          </w:p>
        </w:tc>
        <w:tc>
          <w:tcPr>
            <w:tcW w:w="1134" w:type="dxa"/>
            <w:vAlign w:val="center"/>
          </w:tcPr>
          <w:p>
            <w:pPr>
              <w:spacing w:line="320" w:lineRule="exact"/>
              <w:ind w:firstLine="28"/>
              <w:jc w:val="center"/>
              <w:rPr>
                <w:rFonts w:hint="eastAsia" w:ascii="宋体" w:hAnsi="宋体" w:eastAsia="宋体" w:cs="宋体"/>
                <w:sz w:val="21"/>
                <w:szCs w:val="21"/>
              </w:rPr>
            </w:pPr>
            <w:r>
              <w:rPr>
                <w:rFonts w:hint="eastAsia" w:ascii="宋体" w:hAnsi="宋体" w:eastAsia="宋体" w:cs="宋体"/>
                <w:sz w:val="21"/>
                <w:szCs w:val="21"/>
              </w:rPr>
              <w:t>国际化</w:t>
            </w:r>
          </w:p>
          <w:p>
            <w:pPr>
              <w:spacing w:line="320" w:lineRule="exact"/>
              <w:ind w:firstLine="28"/>
              <w:jc w:val="center"/>
              <w:rPr>
                <w:rFonts w:hint="eastAsia" w:ascii="宋体" w:hAnsi="宋体" w:eastAsia="宋体" w:cs="宋体"/>
                <w:sz w:val="21"/>
                <w:szCs w:val="21"/>
              </w:rPr>
            </w:pPr>
            <w:r>
              <w:rPr>
                <w:rFonts w:hint="eastAsia" w:ascii="宋体" w:hAnsi="宋体" w:eastAsia="宋体" w:cs="宋体"/>
                <w:sz w:val="21"/>
                <w:szCs w:val="21"/>
              </w:rPr>
              <w:t>平台</w:t>
            </w:r>
          </w:p>
          <w:p>
            <w:pPr>
              <w:snapToGrid w:val="0"/>
              <w:spacing w:line="320" w:lineRule="exact"/>
              <w:ind w:firstLine="262" w:firstLineChars="1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16分</w:t>
            </w:r>
          </w:p>
        </w:tc>
        <w:tc>
          <w:tcPr>
            <w:tcW w:w="4182" w:type="dxa"/>
            <w:vAlign w:val="center"/>
          </w:tcPr>
          <w:p>
            <w:pPr>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供应商所提供课程平台具有国际影响力，需与国外MOOC平台签署战略合作协议（如：斯坦福，Edx，Fun等），须提供国外MOOC平台官网截图、战略合作协议或相关说明，每提供一份2014年起至今的合作协议得4分，最多得16分。</w:t>
            </w:r>
          </w:p>
        </w:tc>
        <w:tc>
          <w:tcPr>
            <w:tcW w:w="2197" w:type="dxa"/>
            <w:vAlign w:val="center"/>
          </w:tcPr>
          <w:p>
            <w:pPr>
              <w:spacing w:line="24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提供相关证明并加盖供应商公章，同一国外MOOC平台的多份合作协议视为一份证明，计4分。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675" w:type="dxa"/>
            <w:vMerge w:val="continue"/>
            <w:vAlign w:val="center"/>
          </w:tcPr>
          <w:p>
            <w:pPr>
              <w:spacing w:line="320" w:lineRule="exact"/>
              <w:jc w:val="center"/>
              <w:rPr>
                <w:rFonts w:hint="eastAsia" w:ascii="宋体" w:hAnsi="宋体" w:eastAsia="宋体" w:cs="宋体"/>
                <w:color w:val="000000"/>
                <w:sz w:val="21"/>
                <w:szCs w:val="21"/>
              </w:rPr>
            </w:pPr>
          </w:p>
        </w:tc>
        <w:tc>
          <w:tcPr>
            <w:tcW w:w="1276" w:type="dxa"/>
            <w:vMerge w:val="continue"/>
            <w:vAlign w:val="center"/>
          </w:tcPr>
          <w:p>
            <w:pPr>
              <w:spacing w:line="320" w:lineRule="exact"/>
              <w:jc w:val="left"/>
              <w:rPr>
                <w:rFonts w:hint="eastAsia" w:ascii="宋体" w:hAnsi="宋体" w:eastAsia="宋体" w:cs="宋体"/>
                <w:color w:val="000000"/>
                <w:sz w:val="21"/>
                <w:szCs w:val="21"/>
              </w:rPr>
            </w:pPr>
          </w:p>
        </w:tc>
        <w:tc>
          <w:tcPr>
            <w:tcW w:w="1134" w:type="dxa"/>
            <w:vAlign w:val="center"/>
          </w:tcPr>
          <w:p>
            <w:pPr>
              <w:snapToGrid w:val="0"/>
              <w:spacing w:line="320" w:lineRule="exact"/>
              <w:rPr>
                <w:rFonts w:hint="eastAsia" w:ascii="宋体" w:hAnsi="宋体" w:eastAsia="宋体" w:cs="宋体"/>
                <w:sz w:val="21"/>
                <w:szCs w:val="21"/>
              </w:rPr>
            </w:pPr>
            <w:r>
              <w:rPr>
                <w:rFonts w:hint="eastAsia" w:ascii="宋体" w:hAnsi="宋体" w:eastAsia="宋体" w:cs="宋体"/>
                <w:sz w:val="21"/>
                <w:szCs w:val="21"/>
              </w:rPr>
              <w:t>类似业绩</w:t>
            </w:r>
          </w:p>
          <w:p>
            <w:pPr>
              <w:snapToGrid w:val="0"/>
              <w:spacing w:line="320" w:lineRule="exact"/>
              <w:jc w:val="center"/>
              <w:rPr>
                <w:rFonts w:hint="eastAsia" w:ascii="宋体" w:hAnsi="宋体" w:eastAsia="宋体" w:cs="宋体"/>
                <w:color w:val="000000"/>
                <w:kern w:val="0"/>
                <w:sz w:val="21"/>
                <w:szCs w:val="21"/>
              </w:rPr>
            </w:pPr>
            <w:r>
              <w:rPr>
                <w:rFonts w:hint="eastAsia" w:ascii="宋体" w:hAnsi="宋体" w:eastAsia="宋体" w:cs="宋体"/>
                <w:sz w:val="21"/>
                <w:szCs w:val="21"/>
              </w:rPr>
              <w:t>10分</w:t>
            </w:r>
          </w:p>
        </w:tc>
        <w:tc>
          <w:tcPr>
            <w:tcW w:w="4182" w:type="dxa"/>
            <w:vAlign w:val="center"/>
          </w:tcPr>
          <w:p>
            <w:pPr>
              <w:snapToGrid w:val="0"/>
              <w:spacing w:line="32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1.提供2018年1月1日至投标截止时间的同类项目制作案例，每提供一个得2分，最高得10分。</w:t>
            </w:r>
          </w:p>
        </w:tc>
        <w:tc>
          <w:tcPr>
            <w:tcW w:w="2197" w:type="dxa"/>
            <w:vAlign w:val="center"/>
          </w:tcPr>
          <w:p>
            <w:pPr>
              <w:snapToGrid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注：供应商提供项目案例的制作合同（提供合同复印件并加盖单位公章。合同复印件包含合同首页、金额页、双方签字盖章页含签订日期），同一采购人的多个合同视为一个业绩。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675" w:type="dxa"/>
            <w:vMerge w:val="continue"/>
            <w:vAlign w:val="center"/>
          </w:tcPr>
          <w:p>
            <w:pPr>
              <w:spacing w:line="320" w:lineRule="exact"/>
              <w:jc w:val="center"/>
              <w:rPr>
                <w:rFonts w:hint="eastAsia" w:ascii="宋体" w:hAnsi="宋体" w:eastAsia="宋体" w:cs="宋体"/>
                <w:color w:val="000000"/>
                <w:sz w:val="21"/>
                <w:szCs w:val="21"/>
              </w:rPr>
            </w:pPr>
          </w:p>
        </w:tc>
        <w:tc>
          <w:tcPr>
            <w:tcW w:w="1276" w:type="dxa"/>
            <w:vMerge w:val="continue"/>
            <w:vAlign w:val="center"/>
          </w:tcPr>
          <w:p>
            <w:pPr>
              <w:spacing w:line="320" w:lineRule="exact"/>
              <w:jc w:val="left"/>
              <w:rPr>
                <w:rFonts w:hint="eastAsia" w:ascii="宋体" w:hAnsi="宋体" w:eastAsia="宋体" w:cs="宋体"/>
                <w:color w:val="000000"/>
                <w:sz w:val="21"/>
                <w:szCs w:val="21"/>
              </w:rPr>
            </w:pPr>
          </w:p>
        </w:tc>
        <w:tc>
          <w:tcPr>
            <w:tcW w:w="1134" w:type="dxa"/>
            <w:vAlign w:val="center"/>
          </w:tcPr>
          <w:p>
            <w:pPr>
              <w:spacing w:line="320" w:lineRule="exact"/>
              <w:ind w:firstLine="28"/>
              <w:jc w:val="center"/>
              <w:rPr>
                <w:rFonts w:hint="eastAsia" w:ascii="宋体" w:hAnsi="宋体" w:eastAsia="宋体" w:cs="宋体"/>
                <w:color w:val="000000"/>
                <w:kern w:val="0"/>
                <w:sz w:val="21"/>
                <w:szCs w:val="21"/>
              </w:rPr>
            </w:pPr>
            <w:r>
              <w:rPr>
                <w:rFonts w:hint="eastAsia" w:ascii="宋体" w:hAnsi="宋体" w:eastAsia="宋体" w:cs="宋体"/>
                <w:sz w:val="21"/>
                <w:szCs w:val="21"/>
              </w:rPr>
              <w:t>翻译</w:t>
            </w:r>
            <w:r>
              <w:rPr>
                <w:rFonts w:hint="eastAsia" w:ascii="宋体" w:hAnsi="宋体" w:eastAsia="宋体" w:cs="宋体"/>
                <w:color w:val="000000"/>
                <w:kern w:val="0"/>
                <w:sz w:val="21"/>
                <w:szCs w:val="21"/>
              </w:rPr>
              <w:t>团队5分</w:t>
            </w:r>
          </w:p>
        </w:tc>
        <w:tc>
          <w:tcPr>
            <w:tcW w:w="4182" w:type="dxa"/>
            <w:vAlign w:val="center"/>
          </w:tcPr>
          <w:p>
            <w:pPr>
              <w:spacing w:line="32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团队人员保障充足，人员素质满足招标文件全部要求，并提供资质认证相关认证证书的。</w:t>
            </w:r>
          </w:p>
          <w:p>
            <w:pPr>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1、全职</w:t>
            </w:r>
            <w:r>
              <w:rPr>
                <w:rFonts w:hint="eastAsia" w:ascii="宋体" w:hAnsi="宋体" w:eastAsia="宋体" w:cs="宋体"/>
                <w:color w:val="000000"/>
                <w:sz w:val="21"/>
                <w:szCs w:val="21"/>
                <w:lang w:eastAsia="zh-Hans"/>
              </w:rPr>
              <w:t>英语、</w:t>
            </w:r>
            <w:r>
              <w:rPr>
                <w:rFonts w:hint="eastAsia" w:ascii="宋体" w:hAnsi="宋体" w:eastAsia="宋体" w:cs="宋体"/>
                <w:color w:val="000000"/>
                <w:sz w:val="21"/>
                <w:szCs w:val="21"/>
              </w:rPr>
              <w:t>其他外语翻译人员5人以上，翻译团队负责人应至少为研究生学历，</w:t>
            </w:r>
            <w:r>
              <w:rPr>
                <w:rFonts w:hint="eastAsia" w:ascii="宋体" w:hAnsi="宋体" w:eastAsia="宋体" w:cs="宋体"/>
                <w:color w:val="000000"/>
                <w:sz w:val="21"/>
                <w:szCs w:val="21"/>
                <w:lang w:eastAsia="zh-Hans"/>
              </w:rPr>
              <w:t>并提供英语专业8级证书（</w:t>
            </w:r>
            <w:r>
              <w:rPr>
                <w:rFonts w:hint="eastAsia" w:ascii="宋体" w:hAnsi="宋体" w:eastAsia="宋体" w:cs="宋体"/>
                <w:color w:val="000000"/>
                <w:sz w:val="21"/>
                <w:szCs w:val="21"/>
              </w:rPr>
              <w:t>TEM-8</w:t>
            </w:r>
            <w:r>
              <w:rPr>
                <w:rFonts w:hint="eastAsia" w:ascii="宋体" w:hAnsi="宋体" w:eastAsia="宋体" w:cs="宋体"/>
                <w:color w:val="000000"/>
                <w:sz w:val="21"/>
                <w:szCs w:val="21"/>
                <w:lang w:eastAsia="zh-Hans"/>
              </w:rPr>
              <w:t>）证明及笔译CATTI2级二级以上证书</w:t>
            </w:r>
            <w:r>
              <w:rPr>
                <w:rFonts w:hint="eastAsia" w:ascii="宋体" w:hAnsi="宋体" w:eastAsia="宋体" w:cs="宋体"/>
                <w:color w:val="000000"/>
                <w:kern w:val="0"/>
                <w:sz w:val="21"/>
                <w:szCs w:val="21"/>
              </w:rPr>
              <w:t>，证书提供齐全得5分；</w:t>
            </w:r>
          </w:p>
          <w:p>
            <w:pPr>
              <w:spacing w:line="320" w:lineRule="exact"/>
              <w:rPr>
                <w:rFonts w:hint="eastAsia" w:ascii="宋体" w:hAnsi="宋体" w:eastAsia="宋体" w:cs="宋体"/>
                <w:color w:val="000000"/>
                <w:kern w:val="0"/>
                <w:sz w:val="21"/>
                <w:szCs w:val="21"/>
              </w:rPr>
            </w:pPr>
            <w:r>
              <w:rPr>
                <w:rFonts w:hint="eastAsia" w:ascii="宋体" w:hAnsi="宋体" w:eastAsia="宋体" w:cs="宋体"/>
                <w:color w:val="000000"/>
                <w:sz w:val="21"/>
                <w:szCs w:val="21"/>
              </w:rPr>
              <w:t>2、全职英语、其他外语</w:t>
            </w:r>
            <w:r>
              <w:rPr>
                <w:rFonts w:hint="eastAsia" w:ascii="宋体" w:hAnsi="宋体" w:eastAsia="宋体" w:cs="宋体"/>
                <w:color w:val="000000"/>
                <w:sz w:val="21"/>
                <w:szCs w:val="21"/>
                <w:lang w:eastAsia="zh-Hans"/>
              </w:rPr>
              <w:t>翻译人数在</w:t>
            </w:r>
            <w:r>
              <w:rPr>
                <w:rFonts w:hint="eastAsia" w:ascii="宋体" w:hAnsi="宋体" w:eastAsia="宋体" w:cs="宋体"/>
                <w:color w:val="000000"/>
                <w:sz w:val="21"/>
                <w:szCs w:val="21"/>
              </w:rPr>
              <w:t>3</w:t>
            </w:r>
            <w:r>
              <w:rPr>
                <w:rFonts w:hint="eastAsia" w:ascii="宋体" w:hAnsi="宋体" w:eastAsia="宋体" w:cs="宋体"/>
                <w:color w:val="000000"/>
                <w:sz w:val="21"/>
                <w:szCs w:val="21"/>
                <w:lang w:eastAsia="zh-Hans"/>
              </w:rPr>
              <w:t>人以上，并提供英语专业8级证书（</w:t>
            </w:r>
            <w:r>
              <w:rPr>
                <w:rFonts w:hint="eastAsia" w:ascii="宋体" w:hAnsi="宋体" w:eastAsia="宋体" w:cs="宋体"/>
                <w:color w:val="000000"/>
                <w:sz w:val="21"/>
                <w:szCs w:val="21"/>
              </w:rPr>
              <w:t>TEM-8</w:t>
            </w:r>
            <w:r>
              <w:rPr>
                <w:rFonts w:hint="eastAsia" w:ascii="宋体" w:hAnsi="宋体" w:eastAsia="宋体" w:cs="宋体"/>
                <w:color w:val="000000"/>
                <w:sz w:val="21"/>
                <w:szCs w:val="21"/>
                <w:lang w:eastAsia="zh-Hans"/>
              </w:rPr>
              <w:t>）证明及笔译CATTI2级二级以上证书</w:t>
            </w:r>
            <w:r>
              <w:rPr>
                <w:rFonts w:hint="eastAsia" w:ascii="宋体" w:hAnsi="宋体" w:eastAsia="宋体" w:cs="宋体"/>
                <w:color w:val="000000"/>
                <w:sz w:val="21"/>
                <w:szCs w:val="21"/>
              </w:rPr>
              <w:t>，</w:t>
            </w:r>
            <w:r>
              <w:rPr>
                <w:rFonts w:hint="eastAsia" w:ascii="宋体" w:hAnsi="宋体" w:eastAsia="宋体" w:cs="宋体"/>
                <w:color w:val="000000"/>
                <w:kern w:val="0"/>
                <w:sz w:val="21"/>
                <w:szCs w:val="21"/>
              </w:rPr>
              <w:t>证书提供齐全</w:t>
            </w:r>
            <w:r>
              <w:rPr>
                <w:rFonts w:hint="eastAsia" w:ascii="宋体" w:hAnsi="宋体" w:eastAsia="宋体" w:cs="宋体"/>
                <w:color w:val="000000"/>
                <w:sz w:val="21"/>
                <w:szCs w:val="21"/>
              </w:rPr>
              <w:t>得2分</w:t>
            </w:r>
            <w:r>
              <w:rPr>
                <w:rFonts w:hint="eastAsia" w:ascii="宋体" w:hAnsi="宋体" w:eastAsia="宋体" w:cs="宋体"/>
                <w:color w:val="000000"/>
                <w:kern w:val="0"/>
                <w:sz w:val="21"/>
                <w:szCs w:val="21"/>
              </w:rPr>
              <w:t>；</w:t>
            </w:r>
          </w:p>
          <w:p>
            <w:pPr>
              <w:spacing w:line="32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3、证书提供不齐全不得分。</w:t>
            </w:r>
          </w:p>
        </w:tc>
        <w:tc>
          <w:tcPr>
            <w:tcW w:w="2197" w:type="dxa"/>
            <w:vAlign w:val="center"/>
          </w:tcPr>
          <w:p>
            <w:pPr>
              <w:spacing w:line="240" w:lineRule="atLeast"/>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提供人员证书复印件并加盖供应商公章</w:t>
            </w:r>
          </w:p>
        </w:tc>
      </w:tr>
    </w:tbl>
    <w:p>
      <w:pPr>
        <w:pStyle w:val="20"/>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8"/>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ascii="宋体" w:hAnsi="Arial Narrow" w:eastAsia="宋体"/>
          <w:b/>
          <w:sz w:val="32"/>
        </w:rPr>
      </w:pPr>
      <w:r>
        <w:rPr>
          <w:rFonts w:hint="eastAsia" w:ascii="宋体" w:hAnsi="Arial Narrow" w:eastAsia="宋体"/>
          <w:b/>
          <w:sz w:val="32"/>
        </w:rPr>
        <w:t>第二部分  技术服务内容、技术指标要求等</w:t>
      </w:r>
    </w:p>
    <w:p>
      <w:pPr>
        <w:kinsoku w:val="0"/>
        <w:topLinePunct/>
        <w:rPr>
          <w:rFonts w:ascii="宋体" w:hAnsi="Arial Narrow" w:eastAsia="宋体"/>
          <w:b/>
          <w:sz w:val="32"/>
        </w:rPr>
      </w:pPr>
      <w:r>
        <w:rPr>
          <w:rFonts w:hint="eastAsia" w:ascii="宋体" w:hAnsi="Arial Narrow" w:eastAsia="宋体"/>
          <w:b/>
          <w:sz w:val="32"/>
        </w:rPr>
        <w:t xml:space="preserve"> 预算：</w:t>
      </w:r>
      <w:r>
        <w:rPr>
          <w:rFonts w:hint="eastAsia" w:ascii="宋体" w:hAnsi="Arial Narrow" w:eastAsia="宋体"/>
          <w:b/>
          <w:sz w:val="32"/>
          <w:lang w:val="en-US" w:eastAsia="zh-CN"/>
        </w:rPr>
        <w:t>27</w:t>
      </w:r>
      <w:r>
        <w:rPr>
          <w:rFonts w:hint="eastAsia" w:ascii="宋体" w:hAnsi="Arial Narrow" w:eastAsia="宋体"/>
          <w:b/>
          <w:sz w:val="32"/>
        </w:rPr>
        <w:t>0000元</w:t>
      </w:r>
    </w:p>
    <w:p>
      <w:pPr>
        <w:kinsoku w:val="0"/>
        <w:wordWrap w:val="0"/>
        <w:topLinePunct/>
        <w:ind w:firstLine="332" w:firstLineChars="100"/>
        <w:rPr>
          <w:rFonts w:hint="eastAsia" w:ascii="宋体" w:hAnsi="Arial Narrow" w:eastAsia="宋体"/>
          <w:b/>
          <w:sz w:val="21"/>
        </w:rPr>
      </w:pPr>
      <w:r>
        <w:rPr>
          <w:rFonts w:hint="eastAsia"/>
          <w:szCs w:val="28"/>
        </w:rPr>
        <w:t xml:space="preserve">  </w:t>
      </w:r>
      <w:r>
        <w:rPr>
          <w:rFonts w:hint="eastAsia" w:ascii="宋体" w:hAnsi="Arial Narrow" w:eastAsia="宋体"/>
          <w:b/>
          <w:sz w:val="21"/>
        </w:rPr>
        <w:t>医学院数字化资源国际运营项目</w:t>
      </w:r>
    </w:p>
    <w:p>
      <w:pPr>
        <w:rPr>
          <w:rFonts w:ascii="宋体" w:hAnsi="宋体" w:cs="宋体"/>
          <w:szCs w:val="21"/>
        </w:rPr>
      </w:pPr>
    </w:p>
    <w:p>
      <w:pPr>
        <w:ind w:left="438" w:leftChars="132"/>
        <w:rPr>
          <w:szCs w:val="28"/>
        </w:rPr>
      </w:pPr>
      <w:r>
        <w:rPr>
          <w:rFonts w:hint="eastAsia"/>
          <w:szCs w:val="28"/>
        </w:rPr>
        <w:t xml:space="preserve"> </w:t>
      </w:r>
    </w:p>
    <w:p>
      <w:pPr>
        <w:keepNext/>
        <w:keepLines/>
        <w:adjustRightInd w:val="0"/>
        <w:snapToGrid w:val="0"/>
        <w:spacing w:line="400" w:lineRule="exact"/>
        <w:ind w:firstLine="664" w:firstLineChars="200"/>
        <w:outlineLvl w:val="1"/>
        <w:rPr>
          <w:rFonts w:ascii="宋体" w:hAnsi="宋体" w:eastAsia="宋体" w:cs="宋体"/>
          <w:b/>
          <w:sz w:val="24"/>
          <w:szCs w:val="20"/>
        </w:rPr>
      </w:pPr>
      <w:r>
        <w:rPr>
          <w:rFonts w:hint="eastAsia"/>
          <w:szCs w:val="28"/>
        </w:rPr>
        <w:t xml:space="preserve"> </w:t>
      </w:r>
      <w:r>
        <w:rPr>
          <w:rFonts w:hint="eastAsia" w:ascii="宋体" w:hAnsi="宋体" w:eastAsia="宋体" w:cs="宋体"/>
          <w:b/>
          <w:sz w:val="24"/>
          <w:szCs w:val="20"/>
        </w:rPr>
        <w:t>一、项目一览表</w:t>
      </w:r>
    </w:p>
    <w:tbl>
      <w:tblPr>
        <w:tblStyle w:val="25"/>
        <w:tblW w:w="4652" w:type="pct"/>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4223"/>
        <w:gridCol w:w="1937"/>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53" w:type="dxa"/>
            <w:vAlign w:val="center"/>
          </w:tcPr>
          <w:p>
            <w:pPr>
              <w:widowControl/>
              <w:jc w:val="center"/>
              <w:textAlignment w:val="center"/>
              <w:rPr>
                <w:rFonts w:ascii="宋体" w:hAnsi="宋体" w:eastAsia="宋体" w:cs="宋体"/>
                <w:sz w:val="21"/>
                <w:szCs w:val="21"/>
              </w:rPr>
            </w:pPr>
            <w:r>
              <w:rPr>
                <w:rFonts w:hint="eastAsia" w:ascii="宋体" w:hAnsi="宋体" w:eastAsia="宋体" w:cs="宋体"/>
                <w:b/>
                <w:kern w:val="0"/>
                <w:sz w:val="21"/>
                <w:szCs w:val="21"/>
                <w:lang w:bidi="ar"/>
              </w:rPr>
              <w:t>序号</w:t>
            </w:r>
          </w:p>
        </w:tc>
        <w:tc>
          <w:tcPr>
            <w:tcW w:w="4223" w:type="dxa"/>
            <w:vAlign w:val="center"/>
          </w:tcPr>
          <w:p>
            <w:pPr>
              <w:jc w:val="center"/>
              <w:rPr>
                <w:rFonts w:ascii="宋体" w:hAnsi="宋体" w:eastAsia="宋体" w:cs="宋体"/>
                <w:sz w:val="21"/>
                <w:szCs w:val="21"/>
              </w:rPr>
            </w:pPr>
            <w:r>
              <w:rPr>
                <w:rFonts w:hint="eastAsia" w:ascii="宋体" w:hAnsi="宋体" w:eastAsia="宋体" w:cs="宋体"/>
                <w:b/>
                <w:sz w:val="21"/>
                <w:szCs w:val="21"/>
              </w:rPr>
              <w:t>产品名称（设备名称）</w:t>
            </w:r>
          </w:p>
        </w:tc>
        <w:tc>
          <w:tcPr>
            <w:tcW w:w="1937" w:type="dxa"/>
            <w:vAlign w:val="center"/>
          </w:tcPr>
          <w:p>
            <w:pPr>
              <w:jc w:val="center"/>
              <w:rPr>
                <w:rFonts w:ascii="宋体" w:hAnsi="宋体" w:eastAsia="宋体" w:cs="宋体"/>
                <w:sz w:val="21"/>
                <w:szCs w:val="21"/>
              </w:rPr>
            </w:pPr>
            <w:r>
              <w:rPr>
                <w:rFonts w:hint="eastAsia" w:ascii="宋体" w:hAnsi="宋体" w:eastAsia="宋体" w:cs="宋体"/>
                <w:b/>
                <w:sz w:val="21"/>
                <w:szCs w:val="21"/>
              </w:rPr>
              <w:t>数量/单位</w:t>
            </w:r>
          </w:p>
        </w:tc>
        <w:tc>
          <w:tcPr>
            <w:tcW w:w="2468" w:type="dxa"/>
            <w:vAlign w:val="center"/>
          </w:tcPr>
          <w:p>
            <w:pPr>
              <w:jc w:val="center"/>
              <w:rPr>
                <w:rFonts w:ascii="宋体" w:hAnsi="宋体" w:eastAsia="宋体" w:cs="宋体"/>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5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1</w:t>
            </w:r>
          </w:p>
        </w:tc>
        <w:tc>
          <w:tcPr>
            <w:tcW w:w="422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课程英文翻译</w:t>
            </w:r>
          </w:p>
        </w:tc>
        <w:tc>
          <w:tcPr>
            <w:tcW w:w="193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1项</w:t>
            </w:r>
          </w:p>
        </w:tc>
        <w:tc>
          <w:tcPr>
            <w:tcW w:w="2468" w:type="dxa"/>
            <w:vMerge w:val="restart"/>
            <w:vAlign w:val="center"/>
          </w:tcPr>
          <w:p>
            <w:pPr>
              <w:spacing w:line="400" w:lineRule="exact"/>
              <w:rPr>
                <w:rFonts w:ascii="宋体" w:hAnsi="宋体" w:eastAsia="宋体" w:cs="宋体"/>
                <w:sz w:val="21"/>
                <w:szCs w:val="21"/>
              </w:rPr>
            </w:pPr>
            <w:r>
              <w:rPr>
                <w:rFonts w:hint="eastAsia" w:ascii="宋体" w:hAnsi="宋体" w:eastAsia="宋体" w:cs="宋体"/>
                <w:sz w:val="21"/>
                <w:szCs w:val="21"/>
              </w:rPr>
              <w:t>所提供产品必须为中国关境内生产。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2</w:t>
            </w:r>
          </w:p>
        </w:tc>
        <w:tc>
          <w:tcPr>
            <w:tcW w:w="422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上线国际版平台</w:t>
            </w:r>
          </w:p>
        </w:tc>
        <w:tc>
          <w:tcPr>
            <w:tcW w:w="193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1项</w:t>
            </w:r>
          </w:p>
        </w:tc>
        <w:tc>
          <w:tcPr>
            <w:tcW w:w="2468" w:type="dxa"/>
            <w:vMerge w:val="continue"/>
            <w:vAlign w:val="center"/>
          </w:tcPr>
          <w:p>
            <w:pPr>
              <w:spacing w:line="4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3</w:t>
            </w:r>
          </w:p>
        </w:tc>
        <w:tc>
          <w:tcPr>
            <w:tcW w:w="4223" w:type="dxa"/>
            <w:vAlign w:val="center"/>
          </w:tcPr>
          <w:p>
            <w:pPr>
              <w:spacing w:line="360" w:lineRule="auto"/>
              <w:jc w:val="center"/>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首页banner推广</w:t>
            </w:r>
          </w:p>
        </w:tc>
        <w:tc>
          <w:tcPr>
            <w:tcW w:w="193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1项</w:t>
            </w:r>
          </w:p>
        </w:tc>
        <w:tc>
          <w:tcPr>
            <w:tcW w:w="2468" w:type="dxa"/>
            <w:vMerge w:val="continue"/>
            <w:vAlign w:val="center"/>
          </w:tcPr>
          <w:p>
            <w:pPr>
              <w:spacing w:line="4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4</w:t>
            </w:r>
          </w:p>
        </w:tc>
        <w:tc>
          <w:tcPr>
            <w:tcW w:w="4223" w:type="dxa"/>
            <w:vAlign w:val="center"/>
          </w:tcPr>
          <w:p>
            <w:pPr>
              <w:spacing w:line="360" w:lineRule="auto"/>
              <w:jc w:val="center"/>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首页好课推荐</w:t>
            </w:r>
          </w:p>
        </w:tc>
        <w:tc>
          <w:tcPr>
            <w:tcW w:w="193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1项</w:t>
            </w:r>
          </w:p>
        </w:tc>
        <w:tc>
          <w:tcPr>
            <w:tcW w:w="2468" w:type="dxa"/>
            <w:vMerge w:val="continue"/>
            <w:vAlign w:val="center"/>
          </w:tcPr>
          <w:p>
            <w:pPr>
              <w:spacing w:line="4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5</w:t>
            </w:r>
          </w:p>
        </w:tc>
        <w:tc>
          <w:tcPr>
            <w:tcW w:w="4223" w:type="dxa"/>
            <w:vAlign w:val="center"/>
          </w:tcPr>
          <w:p>
            <w:pPr>
              <w:spacing w:line="360" w:lineRule="auto"/>
              <w:jc w:val="center"/>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海外公众号推文</w:t>
            </w:r>
          </w:p>
        </w:tc>
        <w:tc>
          <w:tcPr>
            <w:tcW w:w="193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1项</w:t>
            </w:r>
          </w:p>
        </w:tc>
        <w:tc>
          <w:tcPr>
            <w:tcW w:w="2468" w:type="dxa"/>
            <w:vMerge w:val="continue"/>
            <w:vAlign w:val="center"/>
          </w:tcPr>
          <w:p>
            <w:pPr>
              <w:spacing w:line="4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6</w:t>
            </w:r>
          </w:p>
        </w:tc>
        <w:tc>
          <w:tcPr>
            <w:tcW w:w="4223" w:type="dxa"/>
            <w:vAlign w:val="center"/>
          </w:tcPr>
          <w:p>
            <w:pPr>
              <w:spacing w:line="360" w:lineRule="auto"/>
              <w:jc w:val="center"/>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对接线上“智慧教育”国家平台</w:t>
            </w:r>
          </w:p>
        </w:tc>
        <w:tc>
          <w:tcPr>
            <w:tcW w:w="193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1项</w:t>
            </w:r>
          </w:p>
        </w:tc>
        <w:tc>
          <w:tcPr>
            <w:tcW w:w="2468" w:type="dxa"/>
            <w:vMerge w:val="continue"/>
            <w:vAlign w:val="center"/>
          </w:tcPr>
          <w:p>
            <w:pPr>
              <w:spacing w:line="4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7</w:t>
            </w:r>
          </w:p>
        </w:tc>
        <w:tc>
          <w:tcPr>
            <w:tcW w:w="4223" w:type="dxa"/>
            <w:vAlign w:val="center"/>
          </w:tcPr>
          <w:p>
            <w:pPr>
              <w:spacing w:line="360" w:lineRule="auto"/>
              <w:jc w:val="center"/>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一对一全流程服务</w:t>
            </w:r>
          </w:p>
        </w:tc>
        <w:tc>
          <w:tcPr>
            <w:tcW w:w="193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1项</w:t>
            </w:r>
          </w:p>
        </w:tc>
        <w:tc>
          <w:tcPr>
            <w:tcW w:w="2468" w:type="dxa"/>
            <w:vMerge w:val="continue"/>
            <w:vAlign w:val="center"/>
          </w:tcPr>
          <w:p>
            <w:pPr>
              <w:spacing w:line="400" w:lineRule="exac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5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8</w:t>
            </w:r>
          </w:p>
        </w:tc>
        <w:tc>
          <w:tcPr>
            <w:tcW w:w="4223" w:type="dxa"/>
            <w:vAlign w:val="center"/>
          </w:tcPr>
          <w:p>
            <w:pPr>
              <w:spacing w:line="360" w:lineRule="auto"/>
              <w:jc w:val="center"/>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推荐国际课程“出海”服务</w:t>
            </w:r>
            <w:r>
              <w:rPr>
                <w:rFonts w:ascii="宋体" w:hAnsi="Times New Roman" w:eastAsia="宋体" w:cs="宋体"/>
                <w:color w:val="000000"/>
                <w:kern w:val="0"/>
                <w:sz w:val="21"/>
                <w:szCs w:val="21"/>
              </w:rPr>
              <w:t>1</w:t>
            </w:r>
            <w:r>
              <w:rPr>
                <w:rFonts w:hint="eastAsia" w:ascii="宋体" w:hAnsi="Times New Roman" w:eastAsia="宋体" w:cs="宋体"/>
                <w:color w:val="000000"/>
                <w:kern w:val="0"/>
                <w:sz w:val="21"/>
                <w:szCs w:val="21"/>
              </w:rPr>
              <w:t>次</w:t>
            </w:r>
          </w:p>
        </w:tc>
        <w:tc>
          <w:tcPr>
            <w:tcW w:w="193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1项</w:t>
            </w:r>
          </w:p>
        </w:tc>
        <w:tc>
          <w:tcPr>
            <w:tcW w:w="2468" w:type="dxa"/>
            <w:vMerge w:val="continue"/>
            <w:vAlign w:val="center"/>
          </w:tcPr>
          <w:p>
            <w:pPr>
              <w:spacing w:line="400" w:lineRule="exact"/>
              <w:rPr>
                <w:rFonts w:ascii="宋体" w:hAnsi="宋体" w:eastAsia="宋体" w:cs="宋体"/>
                <w:sz w:val="21"/>
                <w:szCs w:val="21"/>
              </w:rPr>
            </w:pPr>
          </w:p>
        </w:tc>
      </w:tr>
    </w:tbl>
    <w:p>
      <w:pPr>
        <w:keepNext/>
        <w:keepLines/>
        <w:adjustRightInd w:val="0"/>
        <w:snapToGrid w:val="0"/>
        <w:spacing w:line="400" w:lineRule="exact"/>
        <w:ind w:firstLine="524" w:firstLineChars="200"/>
        <w:outlineLvl w:val="1"/>
        <w:rPr>
          <w:rFonts w:ascii="宋体" w:hAnsi="宋体" w:eastAsia="宋体" w:cs="宋体"/>
          <w:b/>
          <w:sz w:val="21"/>
          <w:szCs w:val="21"/>
        </w:rPr>
      </w:pPr>
      <w:bookmarkStart w:id="0" w:name="_Toc21394"/>
      <w:r>
        <w:rPr>
          <w:rFonts w:hint="eastAsia" w:ascii="宋体" w:hAnsi="宋体" w:eastAsia="宋体" w:cs="宋体"/>
          <w:b/>
          <w:sz w:val="21"/>
          <w:szCs w:val="21"/>
        </w:rPr>
        <w:t>二、技术规格及质量要求</w:t>
      </w:r>
      <w:bookmarkEnd w:id="0"/>
    </w:p>
    <w:p>
      <w:pPr>
        <w:widowControl/>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本项目包含</w:t>
      </w:r>
      <w:r>
        <w:rPr>
          <w:rFonts w:ascii="宋体" w:hAnsi="Times New Roman" w:eastAsia="宋体" w:cs="宋体"/>
          <w:color w:val="000000"/>
          <w:kern w:val="0"/>
          <w:sz w:val="21"/>
          <w:szCs w:val="21"/>
        </w:rPr>
        <w:t>9</w:t>
      </w:r>
      <w:r>
        <w:rPr>
          <w:rFonts w:hint="eastAsia" w:ascii="宋体" w:hAnsi="Times New Roman" w:eastAsia="宋体" w:cs="宋体"/>
          <w:color w:val="000000"/>
          <w:kern w:val="0"/>
          <w:sz w:val="21"/>
          <w:szCs w:val="21"/>
        </w:rPr>
        <w:t>门课程的中英翻译和运行推广。服务要求包括项目制作要求、课程平台要求、课程推广要求等。</w:t>
      </w:r>
    </w:p>
    <w:p>
      <w:pPr>
        <w:widowControl/>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（一）课程英文翻译</w:t>
      </w:r>
    </w:p>
    <w:p>
      <w:pPr>
        <w:widowControl/>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1.项目制作要求</w:t>
      </w:r>
    </w:p>
    <w:p>
      <w:pPr>
        <w:widowControl/>
        <w:spacing w:line="340" w:lineRule="exact"/>
        <w:ind w:firstLine="262" w:firstLineChars="1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（1）</w:t>
      </w:r>
      <w:r>
        <w:rPr>
          <w:rFonts w:ascii="宋体" w:hAnsi="Times New Roman" w:eastAsia="宋体" w:cs="宋体"/>
          <w:color w:val="000000"/>
          <w:kern w:val="0"/>
          <w:sz w:val="21"/>
          <w:szCs w:val="21"/>
        </w:rPr>
        <w:t>课程制作期间</w:t>
      </w:r>
      <w:r>
        <w:rPr>
          <w:rFonts w:hint="eastAsia" w:ascii="宋体" w:hAnsi="Times New Roman" w:eastAsia="宋体" w:cs="宋体"/>
          <w:color w:val="000000"/>
          <w:kern w:val="0"/>
          <w:sz w:val="21"/>
          <w:szCs w:val="21"/>
        </w:rPr>
        <w:t>任务及要求如下：</w:t>
      </w:r>
    </w:p>
    <w:p>
      <w:pPr>
        <w:widowControl/>
        <w:numPr>
          <w:ilvl w:val="0"/>
          <w:numId w:val="9"/>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协助教师团队分析课程，完成课程标准、课程设计及实施。</w:t>
      </w:r>
    </w:p>
    <w:p>
      <w:pPr>
        <w:widowControl/>
        <w:numPr>
          <w:ilvl w:val="0"/>
          <w:numId w:val="9"/>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协助教师团队对课程知识点进行设计。</w:t>
      </w:r>
    </w:p>
    <w:p>
      <w:pPr>
        <w:widowControl/>
        <w:numPr>
          <w:ilvl w:val="0"/>
          <w:numId w:val="9"/>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协助教师团队完成慕课课程的框架设计、资源的组织与运用。</w:t>
      </w:r>
    </w:p>
    <w:p>
      <w:pPr>
        <w:widowControl/>
        <w:numPr>
          <w:ilvl w:val="0"/>
          <w:numId w:val="9"/>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协助教师团队制作与课程相关的数字教学资源的翻译。包括讲义、幻灯片、教学大纲、微课视频、课堂笔记、测验题和讨论主题等。</w:t>
      </w:r>
    </w:p>
    <w:p>
      <w:pPr>
        <w:widowControl/>
        <w:numPr>
          <w:ilvl w:val="0"/>
          <w:numId w:val="9"/>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协助教师团队完成国际化课程的平台上线与运营。</w:t>
      </w:r>
    </w:p>
    <w:p>
      <w:pPr>
        <w:widowControl/>
        <w:spacing w:line="340" w:lineRule="exact"/>
        <w:ind w:firstLine="262" w:firstLineChars="1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（2）翻译要求</w:t>
      </w:r>
    </w:p>
    <w:p>
      <w:pPr>
        <w:widowControl/>
        <w:numPr>
          <w:ilvl w:val="0"/>
          <w:numId w:val="10"/>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供应商</w:t>
      </w:r>
      <w:r>
        <w:rPr>
          <w:rFonts w:ascii="宋体" w:hAnsi="Times New Roman" w:eastAsia="宋体" w:cs="宋体"/>
          <w:color w:val="000000"/>
          <w:kern w:val="0"/>
          <w:sz w:val="21"/>
          <w:szCs w:val="21"/>
        </w:rPr>
        <w:t>应拥有专业翻译人员队伍及课程建设编译能力。</w:t>
      </w:r>
    </w:p>
    <w:p>
      <w:pPr>
        <w:widowControl/>
        <w:numPr>
          <w:ilvl w:val="0"/>
          <w:numId w:val="10"/>
        </w:numPr>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对该课程有一定专业理解，能广泛收集素材。</w:t>
      </w:r>
    </w:p>
    <w:p>
      <w:pPr>
        <w:widowControl/>
        <w:numPr>
          <w:ilvl w:val="0"/>
          <w:numId w:val="10"/>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供应商</w:t>
      </w:r>
      <w:r>
        <w:rPr>
          <w:rFonts w:ascii="宋体" w:hAnsi="Times New Roman" w:eastAsia="宋体" w:cs="宋体"/>
          <w:color w:val="000000"/>
          <w:kern w:val="0"/>
          <w:sz w:val="21"/>
          <w:szCs w:val="21"/>
        </w:rPr>
        <w:t>应拥有全职英语翻译人数，并提供</w:t>
      </w:r>
      <w:r>
        <w:rPr>
          <w:rFonts w:hint="eastAsia" w:ascii="宋体" w:hAnsi="Times New Roman" w:eastAsia="宋体" w:cs="宋体"/>
          <w:color w:val="000000"/>
          <w:kern w:val="0"/>
          <w:sz w:val="21"/>
          <w:szCs w:val="21"/>
        </w:rPr>
        <w:t>翻译团队</w:t>
      </w:r>
      <w:r>
        <w:rPr>
          <w:rFonts w:ascii="宋体" w:hAnsi="Times New Roman" w:eastAsia="宋体" w:cs="宋体"/>
          <w:color w:val="000000"/>
          <w:kern w:val="0"/>
          <w:sz w:val="21"/>
          <w:szCs w:val="21"/>
        </w:rPr>
        <w:t>英语</w:t>
      </w:r>
      <w:r>
        <w:rPr>
          <w:rFonts w:hint="eastAsia" w:ascii="宋体" w:hAnsi="Times New Roman" w:eastAsia="宋体" w:cs="宋体"/>
          <w:color w:val="000000"/>
          <w:kern w:val="0"/>
          <w:sz w:val="21"/>
          <w:szCs w:val="21"/>
        </w:rPr>
        <w:t>相关</w:t>
      </w:r>
      <w:r>
        <w:rPr>
          <w:rFonts w:ascii="宋体" w:hAnsi="Times New Roman" w:eastAsia="宋体" w:cs="宋体"/>
          <w:color w:val="000000"/>
          <w:kern w:val="0"/>
          <w:sz w:val="21"/>
          <w:szCs w:val="21"/>
        </w:rPr>
        <w:t>证书。</w:t>
      </w:r>
    </w:p>
    <w:p>
      <w:pPr>
        <w:widowControl/>
        <w:numPr>
          <w:ilvl w:val="0"/>
          <w:numId w:val="10"/>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供应商</w:t>
      </w:r>
      <w:r>
        <w:rPr>
          <w:rFonts w:ascii="宋体" w:hAnsi="Times New Roman" w:eastAsia="宋体" w:cs="宋体"/>
          <w:color w:val="000000"/>
          <w:kern w:val="0"/>
          <w:sz w:val="21"/>
          <w:szCs w:val="21"/>
        </w:rPr>
        <w:t>应拥有整体课程翻译经验，提供证明函作为佐证。（需提供截图证明并加盖供应商公章）</w:t>
      </w:r>
    </w:p>
    <w:p>
      <w:pPr>
        <w:widowControl/>
        <w:numPr>
          <w:ilvl w:val="0"/>
          <w:numId w:val="10"/>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供应商</w:t>
      </w:r>
      <w:r>
        <w:rPr>
          <w:rFonts w:ascii="宋体" w:hAnsi="Times New Roman" w:eastAsia="宋体" w:cs="宋体"/>
          <w:color w:val="000000"/>
          <w:kern w:val="0"/>
          <w:sz w:val="21"/>
          <w:szCs w:val="21"/>
        </w:rPr>
        <w:t>所拥有的专业翻译人员需针对翻译的课程形成编译报告意见。</w:t>
      </w:r>
    </w:p>
    <w:p>
      <w:pPr>
        <w:widowControl/>
        <w:numPr>
          <w:ilvl w:val="0"/>
          <w:numId w:val="10"/>
        </w:numPr>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翻译服务译文质量要求-中华人民共和国国家标准GB/T 19682-2005，并采用人工笔译的方式进行，要以对象国母语使用者进行忠实原文</w:t>
      </w:r>
      <w:r>
        <w:rPr>
          <w:rFonts w:hint="eastAsia" w:ascii="宋体" w:hAnsi="Times New Roman" w:eastAsia="宋体" w:cs="宋体"/>
          <w:color w:val="000000"/>
          <w:kern w:val="0"/>
          <w:sz w:val="21"/>
          <w:szCs w:val="21"/>
        </w:rPr>
        <w:t>完整、准确地表达原文信息，无核心语义差错。</w:t>
      </w:r>
      <w:r>
        <w:rPr>
          <w:rFonts w:ascii="宋体" w:hAnsi="Times New Roman" w:eastAsia="宋体" w:cs="宋体"/>
          <w:color w:val="000000"/>
          <w:kern w:val="0"/>
          <w:sz w:val="21"/>
          <w:szCs w:val="21"/>
        </w:rPr>
        <w:t>术语统一</w:t>
      </w:r>
      <w:r>
        <w:rPr>
          <w:rFonts w:hint="eastAsia" w:ascii="宋体" w:hAnsi="Times New Roman" w:eastAsia="宋体" w:cs="宋体"/>
          <w:color w:val="000000"/>
          <w:kern w:val="0"/>
          <w:sz w:val="21"/>
          <w:szCs w:val="21"/>
        </w:rPr>
        <w:t>术语符合目标语言的行业专业通用标准或习惯，并前后一致。</w:t>
      </w:r>
      <w:r>
        <w:rPr>
          <w:rFonts w:ascii="宋体" w:hAnsi="Times New Roman" w:eastAsia="宋体" w:cs="宋体"/>
          <w:color w:val="000000"/>
          <w:kern w:val="0"/>
          <w:sz w:val="21"/>
          <w:szCs w:val="21"/>
        </w:rPr>
        <w:t>行文通顺</w:t>
      </w:r>
      <w:r>
        <w:rPr>
          <w:rFonts w:hint="eastAsia" w:ascii="宋体" w:hAnsi="Times New Roman" w:eastAsia="宋体" w:cs="宋体"/>
          <w:color w:val="000000"/>
          <w:kern w:val="0"/>
          <w:sz w:val="21"/>
          <w:szCs w:val="21"/>
        </w:rPr>
        <w:t>符合目标语言文字规范和表达习惯，行文清晰易懂。</w:t>
      </w:r>
    </w:p>
    <w:p>
      <w:pPr>
        <w:widowControl/>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当采用原文的句型结构或修辞方式不能使译文通顺时，可以在不影响原文语义的前提下，在译文中改变句型结构或修辞或增删某些词句，以使译文更符合目标语言的表达习惯。</w:t>
      </w:r>
    </w:p>
    <w:p>
      <w:pPr>
        <w:widowControl/>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诗词、歌赋、广告用其他特殊文件采用特殊修辞的语句，允许在对原文核心语义的前提下，在译文中改变的基础上，变通译出。</w:t>
      </w:r>
    </w:p>
    <w:p>
      <w:pPr>
        <w:widowControl/>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原文中夹杂有其他语种的文字且无法译出或不在约定翻译范围，必须在相关位置注明，同时保留原文。</w:t>
      </w:r>
    </w:p>
    <w:p>
      <w:pPr>
        <w:widowControl/>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如果原文存在错误，译者可按原文字含义直接译出，并在译文中注明，也可予以修正并注明。如果原文存在含混、文字缺失现象而顾客又不能给出必要的说明，译者可采取合理的说明</w:t>
      </w:r>
    </w:p>
    <w:p>
      <w:pPr>
        <w:widowControl/>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（3）字幕制作要求</w:t>
      </w:r>
    </w:p>
    <w:p>
      <w:pPr>
        <w:snapToGrid w:val="0"/>
        <w:spacing w:line="360" w:lineRule="auto"/>
        <w:ind w:left="664" w:leftChars="200"/>
        <w:rPr>
          <w:rFonts w:ascii="宋体" w:hAnsi="Times New Roman" w:eastAsia="宋体" w:cs="宋体"/>
          <w:color w:val="000000"/>
          <w:sz w:val="21"/>
          <w:szCs w:val="21"/>
        </w:rPr>
      </w:pPr>
      <w:r>
        <w:rPr>
          <w:rFonts w:hint="eastAsia" w:ascii="宋体" w:hAnsi="Times New Roman" w:eastAsia="宋体" w:cs="宋体"/>
          <w:color w:val="000000"/>
          <w:sz w:val="21"/>
          <w:szCs w:val="21"/>
        </w:rPr>
        <w:t>准确性- 成品无错别字等低级错误。</w:t>
      </w:r>
    </w:p>
    <w:p>
      <w:pPr>
        <w:numPr>
          <w:ilvl w:val="0"/>
          <w:numId w:val="11"/>
        </w:numPr>
        <w:snapToGrid w:val="0"/>
        <w:spacing w:line="360" w:lineRule="auto"/>
        <w:ind w:firstLine="524" w:firstLineChars="200"/>
        <w:rPr>
          <w:rFonts w:ascii="宋体" w:hAnsi="Times New Roman" w:eastAsia="宋体" w:cs="宋体"/>
          <w:color w:val="000000"/>
          <w:sz w:val="21"/>
          <w:szCs w:val="21"/>
        </w:rPr>
      </w:pPr>
      <w:r>
        <w:rPr>
          <w:rFonts w:hint="eastAsia" w:ascii="宋体" w:hAnsi="Times New Roman" w:eastAsia="宋体" w:cs="宋体"/>
          <w:color w:val="000000"/>
          <w:sz w:val="21"/>
          <w:szCs w:val="21"/>
        </w:rPr>
        <w:t>一致性- 字幕在形式和陈述时保持一致性</w:t>
      </w:r>
    </w:p>
    <w:p>
      <w:pPr>
        <w:numPr>
          <w:ilvl w:val="0"/>
          <w:numId w:val="11"/>
        </w:numPr>
        <w:snapToGrid w:val="0"/>
        <w:spacing w:line="360" w:lineRule="auto"/>
        <w:ind w:firstLine="524" w:firstLineChars="200"/>
        <w:rPr>
          <w:rFonts w:ascii="宋体" w:hAnsi="Times New Roman" w:eastAsia="宋体" w:cs="宋体"/>
          <w:color w:val="000000"/>
          <w:sz w:val="21"/>
          <w:szCs w:val="21"/>
        </w:rPr>
      </w:pPr>
      <w:r>
        <w:rPr>
          <w:rFonts w:hint="eastAsia" w:ascii="宋体" w:hAnsi="Times New Roman" w:eastAsia="宋体" w:cs="宋体"/>
          <w:color w:val="000000"/>
          <w:sz w:val="21"/>
          <w:szCs w:val="21"/>
        </w:rPr>
        <w:t>清晰性- 音频的完整陈述,包括说话者识别以及非谈话内容,均需用字幕清晰呈现。</w:t>
      </w:r>
    </w:p>
    <w:p>
      <w:pPr>
        <w:numPr>
          <w:ilvl w:val="0"/>
          <w:numId w:val="11"/>
        </w:numPr>
        <w:snapToGrid w:val="0"/>
        <w:spacing w:line="360" w:lineRule="auto"/>
        <w:ind w:firstLine="524" w:firstLineChars="200"/>
        <w:rPr>
          <w:rFonts w:ascii="宋体" w:hAnsi="Times New Roman" w:eastAsia="宋体" w:cs="宋体"/>
          <w:color w:val="000000"/>
          <w:sz w:val="21"/>
          <w:szCs w:val="21"/>
        </w:rPr>
      </w:pPr>
      <w:r>
        <w:rPr>
          <w:rFonts w:hint="eastAsia" w:ascii="宋体" w:hAnsi="Times New Roman" w:eastAsia="宋体" w:cs="宋体"/>
          <w:color w:val="000000"/>
          <w:sz w:val="21"/>
          <w:szCs w:val="21"/>
        </w:rPr>
        <w:t>可读性- 字幕出现的时间要足够观众阅读,和音频同步且字幕不遮盖画面本身有效内容。</w:t>
      </w:r>
    </w:p>
    <w:p>
      <w:pPr>
        <w:numPr>
          <w:ilvl w:val="0"/>
          <w:numId w:val="11"/>
        </w:numPr>
        <w:snapToGrid w:val="0"/>
        <w:spacing w:line="360" w:lineRule="auto"/>
        <w:ind w:firstLine="524" w:firstLineChars="200"/>
        <w:rPr>
          <w:rFonts w:ascii="宋体" w:hAnsi="Times New Roman" w:eastAsia="宋体" w:cs="宋体"/>
          <w:color w:val="000000"/>
          <w:sz w:val="21"/>
          <w:szCs w:val="21"/>
        </w:rPr>
      </w:pPr>
      <w:r>
        <w:rPr>
          <w:rFonts w:hint="eastAsia" w:ascii="宋体" w:hAnsi="Times New Roman" w:eastAsia="宋体" w:cs="宋体"/>
          <w:color w:val="000000"/>
          <w:sz w:val="21"/>
          <w:szCs w:val="21"/>
        </w:rPr>
        <w:t>同等性- 字幕应完整传达视频素材的内容和意图,二者内容同等。</w:t>
      </w:r>
    </w:p>
    <w:p>
      <w:pPr>
        <w:widowControl/>
        <w:spacing w:line="340" w:lineRule="exact"/>
        <w:ind w:firstLine="524" w:firstLineChars="200"/>
        <w:jc w:val="left"/>
        <w:rPr>
          <w:rFonts w:ascii="宋体" w:hAnsi="Times New Roman" w:eastAsia="宋体" w:cs="宋体"/>
          <w:color w:val="000000"/>
          <w:kern w:val="0"/>
          <w:sz w:val="21"/>
          <w:szCs w:val="21"/>
        </w:rPr>
      </w:pPr>
      <w:r>
        <w:rPr>
          <w:rFonts w:ascii="Arial" w:hAnsi="Arial" w:cs="Arial"/>
          <w:color w:val="333333"/>
          <w:sz w:val="21"/>
          <w:szCs w:val="21"/>
          <w:shd w:val="clear" w:color="auto" w:fill="FFFFFF"/>
        </w:rPr>
        <w:t>▲</w:t>
      </w:r>
      <w:r>
        <w:rPr>
          <w:rFonts w:hint="eastAsia" w:ascii="宋体" w:hAnsi="Times New Roman" w:eastAsia="宋体" w:cs="宋体"/>
          <w:color w:val="000000"/>
          <w:kern w:val="0"/>
          <w:sz w:val="21"/>
          <w:szCs w:val="21"/>
        </w:rPr>
        <w:t>（4）</w:t>
      </w:r>
      <w:r>
        <w:rPr>
          <w:rFonts w:ascii="宋体" w:hAnsi="Times New Roman" w:eastAsia="宋体" w:cs="宋体"/>
          <w:color w:val="000000"/>
          <w:kern w:val="0"/>
          <w:sz w:val="21"/>
          <w:szCs w:val="21"/>
        </w:rPr>
        <w:t>教学效果与影响</w:t>
      </w:r>
    </w:p>
    <w:p>
      <w:pPr>
        <w:widowControl/>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要注重对教学效果的跟踪评价并开展教学研究工作。基于大数据信息采集分析，全程记录和跟踪教师的教学和学生的学习过程、内容、反馈，全面跟踪和掌握每个学生的个性特点、学习行为，改进学校及教师的教学质量，促进因材施教。要求服务供应商提供</w:t>
      </w:r>
      <w:r>
        <w:rPr>
          <w:rFonts w:ascii="宋体" w:hAnsi="Times New Roman" w:eastAsia="宋体" w:cs="宋体"/>
          <w:color w:val="000000"/>
          <w:kern w:val="0"/>
          <w:sz w:val="21"/>
          <w:szCs w:val="21"/>
        </w:rPr>
        <w:t>3门课程的运行报告，要求运行报告的大数据分析至少包含课程参与学生人数，在线学习进度分析、学生学习行为分析、线下课程出席及表现情况、学生满意度，意见收集等信息</w:t>
      </w:r>
      <w:r>
        <w:rPr>
          <w:rFonts w:hint="eastAsia" w:ascii="宋体" w:hAnsi="Times New Roman" w:eastAsia="宋体" w:cs="宋体"/>
          <w:color w:val="000000"/>
          <w:kern w:val="0"/>
          <w:sz w:val="21"/>
          <w:szCs w:val="21"/>
        </w:rPr>
        <w:t>。（</w:t>
      </w:r>
      <w:r>
        <w:rPr>
          <w:rFonts w:ascii="宋体" w:hAnsi="Times New Roman" w:eastAsia="宋体" w:cs="宋体"/>
          <w:color w:val="000000"/>
          <w:kern w:val="0"/>
          <w:sz w:val="21"/>
          <w:szCs w:val="21"/>
        </w:rPr>
        <w:t>提供运行报告的扫描件并加盖供应商公章</w:t>
      </w:r>
      <w:r>
        <w:rPr>
          <w:rFonts w:hint="eastAsia" w:ascii="宋体" w:hAnsi="Times New Roman" w:eastAsia="宋体" w:cs="宋体"/>
          <w:color w:val="000000"/>
          <w:kern w:val="0"/>
          <w:sz w:val="21"/>
          <w:szCs w:val="21"/>
        </w:rPr>
        <w:t>）</w:t>
      </w:r>
    </w:p>
    <w:p>
      <w:pPr>
        <w:widowControl/>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（5）</w:t>
      </w:r>
      <w:r>
        <w:rPr>
          <w:rFonts w:ascii="宋体" w:hAnsi="Times New Roman" w:eastAsia="宋体" w:cs="宋体"/>
          <w:color w:val="000000"/>
          <w:kern w:val="0"/>
          <w:sz w:val="21"/>
          <w:szCs w:val="21"/>
        </w:rPr>
        <w:t>移动教学</w:t>
      </w:r>
    </w:p>
    <w:p>
      <w:pPr>
        <w:widowControl/>
        <w:numPr>
          <w:ilvl w:val="0"/>
          <w:numId w:val="12"/>
        </w:numPr>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基于微信、PPT学校现有办公软件，无需安装APP,实现翻转教学；</w:t>
      </w:r>
    </w:p>
    <w:p>
      <w:pPr>
        <w:widowControl/>
        <w:numPr>
          <w:ilvl w:val="0"/>
          <w:numId w:val="12"/>
        </w:numPr>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需支持iOS和Android两大在主流操作系统，同时满足手机、平板电脑智能移动终端使用</w:t>
      </w:r>
      <w:r>
        <w:rPr>
          <w:rFonts w:hint="eastAsia" w:ascii="宋体" w:hAnsi="Times New Roman" w:eastAsia="宋体" w:cs="宋体"/>
          <w:color w:val="000000"/>
          <w:kern w:val="0"/>
          <w:sz w:val="21"/>
          <w:szCs w:val="21"/>
        </w:rPr>
        <w:t>。</w:t>
      </w:r>
    </w:p>
    <w:p>
      <w:pPr>
        <w:widowControl/>
        <w:numPr>
          <w:ilvl w:val="0"/>
          <w:numId w:val="12"/>
        </w:numPr>
        <w:spacing w:line="340" w:lineRule="exact"/>
        <w:ind w:firstLineChars="200"/>
        <w:jc w:val="left"/>
        <w:rPr>
          <w:rFonts w:ascii="宋体" w:hAnsi="Times New Roman" w:eastAsia="宋体" w:cs="宋体"/>
          <w:color w:val="000000"/>
          <w:kern w:val="0"/>
          <w:sz w:val="21"/>
          <w:szCs w:val="21"/>
        </w:rPr>
      </w:pPr>
      <w:r>
        <w:rPr>
          <w:rFonts w:ascii="Arial" w:hAnsi="Arial" w:cs="Arial"/>
          <w:color w:val="333333"/>
          <w:sz w:val="21"/>
          <w:szCs w:val="21"/>
          <w:shd w:val="clear" w:color="auto" w:fill="FFFFFF"/>
        </w:rPr>
        <w:t>▲</w:t>
      </w:r>
      <w:r>
        <w:rPr>
          <w:rFonts w:ascii="宋体" w:hAnsi="Times New Roman" w:eastAsia="宋体" w:cs="宋体"/>
          <w:color w:val="000000"/>
          <w:kern w:val="0"/>
          <w:sz w:val="21"/>
          <w:szCs w:val="21"/>
        </w:rPr>
        <w:t>课前推送预习材料</w:t>
      </w:r>
    </w:p>
    <w:p>
      <w:pPr>
        <w:widowControl/>
        <w:numPr>
          <w:ilvl w:val="0"/>
          <w:numId w:val="13"/>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教师可以在ppt中插入多种类型考题，插入mooc视频和优酷土豆等第三方视频插入，可以根据学生专业基础，所在学校的培养目标定位和所在教学团队的所长，借用MOOC视频和课件自由组合成属于自己的教学方案，定制符合自己教学风格和教学节奏的教学设计。</w:t>
      </w:r>
    </w:p>
    <w:p>
      <w:pPr>
        <w:widowControl/>
        <w:numPr>
          <w:ilvl w:val="0"/>
          <w:numId w:val="13"/>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教师可以将预习材料上传至手机，推送到学生微信。（需提供截图并加盖供应商公章）</w:t>
      </w:r>
    </w:p>
    <w:p>
      <w:pPr>
        <w:widowControl/>
        <w:numPr>
          <w:ilvl w:val="0"/>
          <w:numId w:val="13"/>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教师可以对每一页课件进行语音讲解，进行重点提点和针对性讲解，丰富课件内容，方便学生理解和学习。</w:t>
      </w:r>
    </w:p>
    <w:p>
      <w:pPr>
        <w:widowControl/>
        <w:numPr>
          <w:ilvl w:val="0"/>
          <w:numId w:val="13"/>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教师可以设置预习截止时间，在节点前没有预习的学生会收到信息提示。</w:t>
      </w:r>
    </w:p>
    <w:p>
      <w:pPr>
        <w:widowControl/>
        <w:numPr>
          <w:ilvl w:val="0"/>
          <w:numId w:val="13"/>
        </w:numPr>
        <w:spacing w:line="340" w:lineRule="exact"/>
        <w:jc w:val="left"/>
        <w:rPr>
          <w:rFonts w:ascii="宋体" w:hAnsi="Times New Roman" w:eastAsia="宋体" w:cs="宋体"/>
          <w:color w:val="000000"/>
          <w:kern w:val="0"/>
          <w:sz w:val="21"/>
          <w:szCs w:val="21"/>
        </w:rPr>
      </w:pPr>
      <w:r>
        <w:rPr>
          <w:rFonts w:ascii="Arial" w:hAnsi="Arial" w:cs="Arial"/>
          <w:color w:val="333333"/>
          <w:sz w:val="21"/>
          <w:szCs w:val="21"/>
          <w:shd w:val="clear" w:color="auto" w:fill="FFFFFF"/>
        </w:rPr>
        <w:t>▲</w:t>
      </w:r>
      <w:r>
        <w:rPr>
          <w:rFonts w:ascii="宋体" w:hAnsi="Times New Roman" w:eastAsia="宋体" w:cs="宋体"/>
          <w:color w:val="000000"/>
          <w:kern w:val="0"/>
          <w:sz w:val="21"/>
          <w:szCs w:val="21"/>
        </w:rPr>
        <w:t>教师可以详细查看学生预习情况：是否预习，预习时间及时长（默认每页PPT停留3秒以上做预习记录）。（需提供截图并加盖供应商公章）</w:t>
      </w:r>
    </w:p>
    <w:p>
      <w:pPr>
        <w:widowControl/>
        <w:numPr>
          <w:ilvl w:val="0"/>
          <w:numId w:val="13"/>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教师可以随时预览课件。</w:t>
      </w:r>
    </w:p>
    <w:p>
      <w:pPr>
        <w:widowControl/>
        <w:numPr>
          <w:ilvl w:val="0"/>
          <w:numId w:val="13"/>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教师在手机端可以随时查看班级课件。</w:t>
      </w:r>
    </w:p>
    <w:p>
      <w:pPr>
        <w:widowControl/>
        <w:numPr>
          <w:ilvl w:val="0"/>
          <w:numId w:val="12"/>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课程教学</w:t>
      </w:r>
    </w:p>
    <w:p>
      <w:pPr>
        <w:widowControl/>
        <w:numPr>
          <w:ilvl w:val="0"/>
          <w:numId w:val="14"/>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支持课堂签到：教师一键开启授课，学生扫描课堂二维码、或输入教师分享的邀请码等方式进行签到；</w:t>
      </w:r>
    </w:p>
    <w:p>
      <w:pPr>
        <w:widowControl/>
        <w:numPr>
          <w:ilvl w:val="0"/>
          <w:numId w:val="14"/>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 xml:space="preserve"> </w:t>
      </w:r>
      <w:r>
        <w:rPr>
          <w:rFonts w:ascii="Arial" w:hAnsi="Arial" w:cs="Arial"/>
          <w:color w:val="333333"/>
          <w:sz w:val="21"/>
          <w:szCs w:val="21"/>
          <w:shd w:val="clear" w:color="auto" w:fill="FFFFFF"/>
        </w:rPr>
        <w:t>▲</w:t>
      </w:r>
      <w:r>
        <w:rPr>
          <w:rFonts w:ascii="宋体" w:hAnsi="Times New Roman" w:eastAsia="宋体" w:cs="宋体"/>
          <w:color w:val="000000"/>
          <w:kern w:val="0"/>
          <w:sz w:val="21"/>
          <w:szCs w:val="21"/>
        </w:rPr>
        <w:t>支持课件同步：课件实时同步到学生手机端（免去学生上课忙于抄写、拍照，课后要ppt的情形，可随时再现复习课堂教学内容）；（需提供截图并加盖供应商公章）</w:t>
      </w:r>
    </w:p>
    <w:p>
      <w:pPr>
        <w:widowControl/>
        <w:numPr>
          <w:ilvl w:val="0"/>
          <w:numId w:val="14"/>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支持学习反馈：课堂教学中如有学生不懂，可以点击不懂，也可以收藏课件以备后续复习；</w:t>
      </w:r>
    </w:p>
    <w:p>
      <w:pPr>
        <w:widowControl/>
        <w:numPr>
          <w:ilvl w:val="0"/>
          <w:numId w:val="14"/>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支持随堂小测：课堂支持限时随堂测验，支持单选，多选和投票题。随堂测试结果实时显示，方便教师实时了解答题情况。</w:t>
      </w:r>
    </w:p>
    <w:p>
      <w:pPr>
        <w:widowControl/>
        <w:numPr>
          <w:ilvl w:val="0"/>
          <w:numId w:val="14"/>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支持随堂考试：课堂结束后，教师可以查看学生答题情况；</w:t>
      </w:r>
    </w:p>
    <w:p>
      <w:pPr>
        <w:widowControl/>
        <w:numPr>
          <w:ilvl w:val="0"/>
          <w:numId w:val="14"/>
        </w:numPr>
        <w:spacing w:line="340" w:lineRule="exact"/>
        <w:jc w:val="left"/>
        <w:rPr>
          <w:rFonts w:ascii="宋体" w:hAnsi="Times New Roman" w:eastAsia="宋体" w:cs="宋体"/>
          <w:color w:val="000000"/>
          <w:kern w:val="0"/>
          <w:sz w:val="21"/>
          <w:szCs w:val="21"/>
        </w:rPr>
      </w:pPr>
      <w:r>
        <w:rPr>
          <w:rFonts w:ascii="Arial" w:hAnsi="Arial" w:cs="Arial"/>
          <w:color w:val="333333"/>
          <w:sz w:val="21"/>
          <w:szCs w:val="21"/>
          <w:shd w:val="clear" w:color="auto" w:fill="FFFFFF"/>
        </w:rPr>
        <w:t>▲</w:t>
      </w:r>
      <w:r>
        <w:rPr>
          <w:rFonts w:ascii="宋体" w:hAnsi="Times New Roman" w:eastAsia="宋体" w:cs="宋体"/>
          <w:color w:val="000000"/>
          <w:kern w:val="0"/>
          <w:sz w:val="21"/>
          <w:szCs w:val="21"/>
        </w:rPr>
        <w:t>弹幕互动：教师可根据课堂教学情况随时开启弹幕，组织学生讨论，活跃课堂气氛，增加师生实时互动（需提供截图并加盖供应商公章）；</w:t>
      </w:r>
    </w:p>
    <w:p>
      <w:pPr>
        <w:widowControl/>
        <w:numPr>
          <w:ilvl w:val="0"/>
          <w:numId w:val="14"/>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支持教学反馈：老师结束授课后，收到“课程小结”和随堂小测数据，“不懂”课件数据，教学课件详情，考卷数据，弹幕详情，教学笔记等）。（需提供截图并加盖供应商公章）</w:t>
      </w:r>
    </w:p>
    <w:p>
      <w:pPr>
        <w:widowControl/>
        <w:numPr>
          <w:ilvl w:val="0"/>
          <w:numId w:val="12"/>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课后练习</w:t>
      </w:r>
    </w:p>
    <w:p>
      <w:pPr>
        <w:widowControl/>
        <w:numPr>
          <w:ilvl w:val="0"/>
          <w:numId w:val="15"/>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教师可从试卷库选择考卷发送给指定的</w:t>
      </w:r>
      <w:r>
        <w:rPr>
          <w:rFonts w:hint="eastAsia" w:ascii="宋体" w:hAnsi="Times New Roman" w:eastAsia="宋体" w:cs="宋体"/>
          <w:color w:val="000000"/>
          <w:kern w:val="0"/>
          <w:sz w:val="21"/>
          <w:szCs w:val="21"/>
        </w:rPr>
        <w:t>班级。</w:t>
      </w:r>
    </w:p>
    <w:p>
      <w:pPr>
        <w:widowControl/>
        <w:numPr>
          <w:ilvl w:val="0"/>
          <w:numId w:val="15"/>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教师可自定义答案显示时间。延迟显示答案，防止作弊。</w:t>
      </w:r>
    </w:p>
    <w:p>
      <w:pPr>
        <w:widowControl/>
        <w:numPr>
          <w:ilvl w:val="0"/>
          <w:numId w:val="15"/>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教师可以设置答卷截止日期，截止日期前没有答卷的学生会收到提醒。</w:t>
      </w:r>
    </w:p>
    <w:p>
      <w:pPr>
        <w:widowControl/>
        <w:numPr>
          <w:ilvl w:val="0"/>
          <w:numId w:val="15"/>
        </w:numPr>
        <w:spacing w:line="340" w:lineRule="exact"/>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试卷小结：教师可实时查看考卷数据，包括考卷预览，考卷完成情况，学生得分分布情况，学生答题正确率对比图，学生答题详情。</w:t>
      </w:r>
    </w:p>
    <w:p>
      <w:pPr>
        <w:widowControl/>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w:t>
      </w:r>
      <w:r>
        <w:rPr>
          <w:rFonts w:ascii="宋体" w:hAnsi="Times New Roman" w:eastAsia="宋体" w:cs="宋体"/>
          <w:color w:val="000000"/>
          <w:kern w:val="0"/>
          <w:sz w:val="21"/>
          <w:szCs w:val="21"/>
        </w:rPr>
        <w:t>6</w:t>
      </w:r>
      <w:r>
        <w:rPr>
          <w:rFonts w:hint="eastAsia" w:ascii="宋体" w:hAnsi="Times New Roman" w:eastAsia="宋体" w:cs="宋体"/>
          <w:color w:val="000000"/>
          <w:kern w:val="0"/>
          <w:sz w:val="21"/>
          <w:szCs w:val="21"/>
        </w:rPr>
        <w:t>）</w:t>
      </w:r>
      <w:r>
        <w:rPr>
          <w:rFonts w:ascii="宋体" w:hAnsi="Times New Roman" w:eastAsia="宋体" w:cs="宋体"/>
          <w:color w:val="000000"/>
          <w:kern w:val="0"/>
          <w:sz w:val="21"/>
          <w:szCs w:val="21"/>
        </w:rPr>
        <w:t>教学平台</w:t>
      </w:r>
    </w:p>
    <w:p>
      <w:pPr>
        <w:widowControl/>
        <w:numPr>
          <w:ilvl w:val="0"/>
          <w:numId w:val="16"/>
        </w:numPr>
        <w:spacing w:line="340" w:lineRule="exact"/>
        <w:ind w:firstLineChars="200"/>
        <w:jc w:val="left"/>
        <w:rPr>
          <w:rFonts w:ascii="宋体" w:hAnsi="Times New Roman" w:eastAsia="宋体" w:cs="宋体"/>
          <w:color w:val="000000"/>
          <w:kern w:val="0"/>
          <w:sz w:val="21"/>
          <w:szCs w:val="21"/>
        </w:rPr>
      </w:pPr>
      <w:r>
        <w:rPr>
          <w:rFonts w:ascii="Arial" w:hAnsi="Arial" w:cs="Arial"/>
          <w:color w:val="333333"/>
          <w:sz w:val="21"/>
          <w:szCs w:val="21"/>
          <w:shd w:val="clear" w:color="auto" w:fill="FFFFFF"/>
        </w:rPr>
        <w:t>▲</w:t>
      </w:r>
      <w:r>
        <w:rPr>
          <w:rFonts w:ascii="宋体" w:hAnsi="Times New Roman" w:eastAsia="宋体" w:cs="宋体"/>
          <w:color w:val="000000"/>
          <w:kern w:val="0"/>
          <w:sz w:val="21"/>
          <w:szCs w:val="21"/>
        </w:rPr>
        <w:t>符合《教育部办公厅关于开展2017年国家精品在线开放课程认定工作的通知》中规定的“全国性公开课程平台，可面向高校和社会学习者开展教学活动”注册用户数在300万注册用户以上，（需提供截图并加盖供应商公章）</w:t>
      </w:r>
    </w:p>
    <w:p>
      <w:pPr>
        <w:widowControl/>
        <w:numPr>
          <w:ilvl w:val="0"/>
          <w:numId w:val="16"/>
        </w:numPr>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符合《教育信息化十年发展规划》第十一章：推动教育信息化国际交流与合作。加强国际交流，参与教育信息化相关国际组织活动，参与国际标准制订，学习借鉴国外先进理念，学习引进国外优质数字教育资源和先进技术，缩小与国际先进水平的差距；利用信息化手段加强各级各类教育机构和学校在人才培养、科学研究等方面的国际合作</w:t>
      </w:r>
      <w:r>
        <w:rPr>
          <w:rFonts w:hint="eastAsia" w:ascii="宋体" w:hAnsi="Times New Roman" w:eastAsia="宋体" w:cs="宋体"/>
          <w:color w:val="000000"/>
          <w:kern w:val="0"/>
          <w:sz w:val="21"/>
          <w:szCs w:val="21"/>
        </w:rPr>
        <w:t>。</w:t>
      </w:r>
    </w:p>
    <w:p>
      <w:pPr>
        <w:widowControl/>
        <w:numPr>
          <w:ilvl w:val="0"/>
          <w:numId w:val="16"/>
        </w:numPr>
        <w:spacing w:line="340" w:lineRule="exact"/>
        <w:ind w:firstLineChars="200"/>
        <w:jc w:val="left"/>
        <w:rPr>
          <w:rFonts w:ascii="宋体" w:hAnsi="Times New Roman" w:eastAsia="宋体" w:cs="宋体"/>
          <w:color w:val="000000"/>
          <w:kern w:val="0"/>
          <w:sz w:val="21"/>
          <w:szCs w:val="21"/>
        </w:rPr>
      </w:pPr>
      <w:r>
        <w:rPr>
          <w:rFonts w:ascii="Arial" w:hAnsi="Arial" w:cs="Arial"/>
          <w:color w:val="333333"/>
          <w:sz w:val="21"/>
          <w:szCs w:val="21"/>
          <w:shd w:val="clear" w:color="auto" w:fill="FFFFFF"/>
        </w:rPr>
        <w:t>▲</w:t>
      </w:r>
      <w:r>
        <w:rPr>
          <w:rFonts w:hint="eastAsia" w:ascii="宋体" w:hAnsi="Times New Roman" w:eastAsia="宋体" w:cs="宋体"/>
          <w:color w:val="000000"/>
          <w:kern w:val="0"/>
          <w:sz w:val="21"/>
          <w:szCs w:val="21"/>
        </w:rPr>
        <w:t>供应商所提供服务的</w:t>
      </w:r>
      <w:r>
        <w:rPr>
          <w:rFonts w:ascii="宋体" w:hAnsi="Times New Roman" w:eastAsia="宋体" w:cs="宋体"/>
          <w:color w:val="000000"/>
          <w:kern w:val="0"/>
          <w:sz w:val="21"/>
          <w:szCs w:val="21"/>
        </w:rPr>
        <w:t>MOOC平台具有国际影响力，需提供与其他国际平台签署合作协议与国内课程上线其他国际平台证明（需提供截图并加盖供应商公章。</w:t>
      </w:r>
    </w:p>
    <w:p>
      <w:pPr>
        <w:widowControl/>
        <w:numPr>
          <w:ilvl w:val="0"/>
          <w:numId w:val="16"/>
        </w:numPr>
        <w:spacing w:line="340" w:lineRule="exact"/>
        <w:ind w:firstLineChars="200"/>
        <w:jc w:val="left"/>
        <w:rPr>
          <w:rFonts w:ascii="宋体" w:hAnsi="Times New Roman" w:eastAsia="宋体" w:cs="宋体"/>
          <w:color w:val="000000"/>
          <w:kern w:val="0"/>
          <w:sz w:val="21"/>
          <w:szCs w:val="21"/>
        </w:rPr>
      </w:pPr>
      <w:r>
        <w:rPr>
          <w:rFonts w:ascii="Arial" w:hAnsi="Arial" w:cs="Arial"/>
          <w:color w:val="333333"/>
          <w:sz w:val="21"/>
          <w:szCs w:val="21"/>
          <w:shd w:val="clear" w:color="auto" w:fill="FFFFFF"/>
        </w:rPr>
        <w:t>▲</w:t>
      </w:r>
      <w:r>
        <w:rPr>
          <w:rFonts w:hint="eastAsia" w:ascii="宋体" w:hAnsi="Times New Roman" w:eastAsia="宋体" w:cs="宋体"/>
          <w:color w:val="000000"/>
          <w:kern w:val="0"/>
          <w:sz w:val="21"/>
          <w:szCs w:val="21"/>
        </w:rPr>
        <w:t>供应商提供的</w:t>
      </w:r>
      <w:r>
        <w:rPr>
          <w:rFonts w:ascii="宋体" w:hAnsi="Times New Roman" w:eastAsia="宋体" w:cs="宋体"/>
          <w:color w:val="000000"/>
          <w:kern w:val="0"/>
          <w:sz w:val="21"/>
          <w:szCs w:val="21"/>
        </w:rPr>
        <w:t>国际化课程所运营MOOC平台具有教育部认可并推出的高校在线教学国际平台。（需提供截图证明并加盖供应商公章）</w:t>
      </w:r>
    </w:p>
    <w:p>
      <w:pPr>
        <w:widowControl/>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（二）一对一全流程服务</w:t>
      </w:r>
    </w:p>
    <w:p>
      <w:pPr>
        <w:widowControl/>
        <w:numPr>
          <w:ilvl w:val="0"/>
          <w:numId w:val="17"/>
        </w:numPr>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全程有专人负责，提供对接服务。</w:t>
      </w:r>
    </w:p>
    <w:p>
      <w:pPr>
        <w:widowControl/>
        <w:numPr>
          <w:ilvl w:val="0"/>
          <w:numId w:val="17"/>
        </w:numPr>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采购人向</w:t>
      </w:r>
      <w:r>
        <w:rPr>
          <w:rFonts w:hint="eastAsia" w:ascii="宋体" w:hAnsi="Times New Roman" w:eastAsia="宋体" w:cs="宋体"/>
          <w:color w:val="000000"/>
          <w:kern w:val="0"/>
          <w:sz w:val="21"/>
          <w:szCs w:val="21"/>
        </w:rPr>
        <w:t>供应商</w:t>
      </w:r>
      <w:r>
        <w:rPr>
          <w:rFonts w:ascii="宋体" w:hAnsi="Times New Roman" w:eastAsia="宋体" w:cs="宋体"/>
          <w:color w:val="000000"/>
          <w:kern w:val="0"/>
          <w:sz w:val="21"/>
          <w:szCs w:val="21"/>
        </w:rPr>
        <w:t>提供制作所需的相关脚本资料，并配合</w:t>
      </w:r>
      <w:r>
        <w:rPr>
          <w:rFonts w:hint="eastAsia" w:ascii="宋体" w:hAnsi="Times New Roman" w:eastAsia="宋体" w:cs="宋体"/>
          <w:color w:val="000000"/>
          <w:kern w:val="0"/>
          <w:sz w:val="21"/>
          <w:szCs w:val="21"/>
        </w:rPr>
        <w:t>供应商</w:t>
      </w:r>
      <w:r>
        <w:rPr>
          <w:rFonts w:ascii="宋体" w:hAnsi="Times New Roman" w:eastAsia="宋体" w:cs="宋体"/>
          <w:color w:val="000000"/>
          <w:kern w:val="0"/>
          <w:sz w:val="21"/>
          <w:szCs w:val="21"/>
        </w:rPr>
        <w:t>工作；双方共同商议教学设计和设计环节等，由采购人最终确定教学设计和脚本。</w:t>
      </w:r>
      <w:r>
        <w:rPr>
          <w:rFonts w:hint="eastAsia" w:ascii="宋体" w:hAnsi="Times New Roman" w:eastAsia="宋体" w:cs="宋体"/>
          <w:color w:val="000000"/>
          <w:kern w:val="0"/>
          <w:sz w:val="21"/>
          <w:szCs w:val="21"/>
        </w:rPr>
        <w:t>供应商</w:t>
      </w:r>
      <w:r>
        <w:rPr>
          <w:rFonts w:ascii="宋体" w:hAnsi="Times New Roman" w:eastAsia="宋体" w:cs="宋体"/>
          <w:color w:val="000000"/>
          <w:kern w:val="0"/>
          <w:sz w:val="21"/>
          <w:szCs w:val="21"/>
        </w:rPr>
        <w:t>必须严格按照采购人确定的教学设计及脚本要求进行翻译及字幕制作，且成片各项技术指标均需达到脚本要求，若未达到采购人要求的，</w:t>
      </w:r>
      <w:r>
        <w:rPr>
          <w:rFonts w:hint="eastAsia" w:ascii="宋体" w:hAnsi="Times New Roman" w:eastAsia="宋体" w:cs="宋体"/>
          <w:color w:val="000000"/>
          <w:kern w:val="0"/>
          <w:sz w:val="21"/>
          <w:szCs w:val="21"/>
        </w:rPr>
        <w:t>供应商</w:t>
      </w:r>
      <w:r>
        <w:rPr>
          <w:rFonts w:ascii="宋体" w:hAnsi="Times New Roman" w:eastAsia="宋体" w:cs="宋体"/>
          <w:color w:val="000000"/>
          <w:kern w:val="0"/>
          <w:sz w:val="21"/>
          <w:szCs w:val="21"/>
        </w:rPr>
        <w:t>承担责任，并采取相应补救措施。</w:t>
      </w:r>
    </w:p>
    <w:p>
      <w:pPr>
        <w:widowControl/>
        <w:numPr>
          <w:ilvl w:val="0"/>
          <w:numId w:val="17"/>
        </w:numPr>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课程制作及课程在平台上运行期间，采购人有权要求</w:t>
      </w:r>
      <w:r>
        <w:rPr>
          <w:rFonts w:hint="eastAsia" w:ascii="宋体" w:hAnsi="Times New Roman" w:eastAsia="宋体" w:cs="宋体"/>
          <w:color w:val="000000"/>
          <w:kern w:val="0"/>
          <w:sz w:val="21"/>
          <w:szCs w:val="21"/>
        </w:rPr>
        <w:t>成交供应商</w:t>
      </w:r>
      <w:r>
        <w:rPr>
          <w:rFonts w:ascii="宋体" w:hAnsi="Times New Roman" w:eastAsia="宋体" w:cs="宋体"/>
          <w:color w:val="000000"/>
          <w:kern w:val="0"/>
          <w:sz w:val="21"/>
          <w:szCs w:val="21"/>
        </w:rPr>
        <w:t>修改，</w:t>
      </w:r>
      <w:r>
        <w:rPr>
          <w:rFonts w:hint="eastAsia" w:ascii="宋体" w:hAnsi="Times New Roman" w:eastAsia="宋体" w:cs="宋体"/>
          <w:color w:val="000000"/>
          <w:kern w:val="0"/>
          <w:sz w:val="21"/>
          <w:szCs w:val="21"/>
        </w:rPr>
        <w:t>成交供应商</w:t>
      </w:r>
      <w:r>
        <w:rPr>
          <w:rFonts w:ascii="宋体" w:hAnsi="Times New Roman" w:eastAsia="宋体" w:cs="宋体"/>
          <w:color w:val="000000"/>
          <w:kern w:val="0"/>
          <w:sz w:val="21"/>
          <w:szCs w:val="21"/>
        </w:rPr>
        <w:t>必须满足采购人要求，</w:t>
      </w:r>
      <w:r>
        <w:rPr>
          <w:rFonts w:hint="eastAsia" w:ascii="宋体" w:hAnsi="Times New Roman" w:eastAsia="宋体" w:cs="宋体"/>
          <w:color w:val="000000"/>
          <w:kern w:val="0"/>
          <w:sz w:val="21"/>
          <w:szCs w:val="21"/>
        </w:rPr>
        <w:t>成交供应商</w:t>
      </w:r>
      <w:r>
        <w:rPr>
          <w:rFonts w:ascii="宋体" w:hAnsi="Times New Roman" w:eastAsia="宋体" w:cs="宋体"/>
          <w:color w:val="000000"/>
          <w:kern w:val="0"/>
          <w:sz w:val="21"/>
          <w:szCs w:val="21"/>
        </w:rPr>
        <w:t>不得以资金等条件限制采购人修改要求。</w:t>
      </w:r>
    </w:p>
    <w:p>
      <w:pPr>
        <w:widowControl/>
        <w:numPr>
          <w:ilvl w:val="0"/>
          <w:numId w:val="17"/>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供应商</w:t>
      </w:r>
      <w:r>
        <w:rPr>
          <w:rFonts w:ascii="宋体" w:hAnsi="Times New Roman" w:eastAsia="宋体" w:cs="宋体"/>
          <w:color w:val="000000"/>
          <w:kern w:val="0"/>
          <w:sz w:val="21"/>
          <w:szCs w:val="21"/>
        </w:rPr>
        <w:t>不得向外泄露采购人提供的相关资料，并应对</w:t>
      </w:r>
      <w:r>
        <w:rPr>
          <w:rFonts w:hint="eastAsia" w:ascii="宋体" w:hAnsi="Times New Roman" w:eastAsia="宋体" w:cs="宋体"/>
          <w:color w:val="000000"/>
          <w:kern w:val="0"/>
          <w:sz w:val="21"/>
          <w:szCs w:val="21"/>
        </w:rPr>
        <w:t>采购人</w:t>
      </w:r>
      <w:r>
        <w:rPr>
          <w:rFonts w:ascii="宋体" w:hAnsi="Times New Roman" w:eastAsia="宋体" w:cs="宋体"/>
          <w:color w:val="000000"/>
          <w:kern w:val="0"/>
          <w:sz w:val="21"/>
          <w:szCs w:val="21"/>
        </w:rPr>
        <w:t>的涉密资料进行绝对保密。所开发的全部成果、知识产权与版权归采购人所有。</w:t>
      </w:r>
    </w:p>
    <w:p>
      <w:pPr>
        <w:widowControl/>
        <w:numPr>
          <w:ilvl w:val="0"/>
          <w:numId w:val="17"/>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供应商</w:t>
      </w:r>
      <w:r>
        <w:rPr>
          <w:rFonts w:ascii="宋体" w:hAnsi="Times New Roman" w:eastAsia="宋体" w:cs="宋体"/>
          <w:color w:val="000000"/>
          <w:kern w:val="0"/>
          <w:sz w:val="21"/>
          <w:szCs w:val="21"/>
        </w:rPr>
        <w:t>应根据采购人课程内容实际情况，在摄制课程中须按采购人要求字幕、翻译等一切技术手段，增强课程的表现力，不得以资金等条件加以限制。</w:t>
      </w:r>
    </w:p>
    <w:p>
      <w:pPr>
        <w:widowControl/>
        <w:numPr>
          <w:ilvl w:val="0"/>
          <w:numId w:val="17"/>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供应商</w:t>
      </w:r>
      <w:r>
        <w:rPr>
          <w:rFonts w:ascii="宋体" w:hAnsi="Times New Roman" w:eastAsia="宋体" w:cs="宋体"/>
          <w:color w:val="000000"/>
          <w:kern w:val="0"/>
          <w:sz w:val="21"/>
          <w:szCs w:val="21"/>
        </w:rPr>
        <w:t>能免费提供符合教育部在线教育研究中心《大规模开放在线课程（MOOCs）制作手册》的在线开放课程平台。</w:t>
      </w:r>
    </w:p>
    <w:p>
      <w:pPr>
        <w:widowControl/>
        <w:numPr>
          <w:ilvl w:val="0"/>
          <w:numId w:val="17"/>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供应商须</w:t>
      </w:r>
      <w:r>
        <w:rPr>
          <w:rFonts w:ascii="宋体" w:hAnsi="Times New Roman" w:eastAsia="宋体" w:cs="宋体"/>
          <w:color w:val="000000"/>
          <w:kern w:val="0"/>
          <w:sz w:val="21"/>
          <w:szCs w:val="21"/>
        </w:rPr>
        <w:t>协助采购人按在线课程平台格式要求进行文档、题库、教案、PPT文件等课程资源的整理、优化、美化、加工、上传到课程平台，并保证能正常使用。</w:t>
      </w:r>
    </w:p>
    <w:p>
      <w:pPr>
        <w:widowControl/>
        <w:numPr>
          <w:ilvl w:val="0"/>
          <w:numId w:val="17"/>
        </w:numPr>
        <w:spacing w:line="340" w:lineRule="exact"/>
        <w:ind w:firstLine="524" w:firstLineChars="200"/>
        <w:jc w:val="left"/>
        <w:rPr>
          <w:rFonts w:ascii="宋体" w:hAnsi="Times New Roman" w:eastAsia="宋体" w:cs="宋体"/>
          <w:color w:val="000000"/>
          <w:kern w:val="0"/>
          <w:sz w:val="21"/>
          <w:szCs w:val="21"/>
        </w:rPr>
      </w:pPr>
      <w:r>
        <w:rPr>
          <w:rFonts w:hint="eastAsia" w:ascii="宋体" w:hAnsi="Times New Roman" w:eastAsia="宋体" w:cs="宋体"/>
          <w:color w:val="000000"/>
          <w:kern w:val="0"/>
          <w:sz w:val="21"/>
          <w:szCs w:val="21"/>
        </w:rPr>
        <w:t>供应商</w:t>
      </w:r>
      <w:r>
        <w:rPr>
          <w:rFonts w:ascii="宋体" w:hAnsi="Times New Roman" w:eastAsia="宋体" w:cs="宋体"/>
          <w:color w:val="000000"/>
          <w:kern w:val="0"/>
          <w:sz w:val="21"/>
          <w:szCs w:val="21"/>
        </w:rPr>
        <w:t>须积极协助</w:t>
      </w:r>
      <w:r>
        <w:rPr>
          <w:rFonts w:hint="eastAsia" w:ascii="宋体" w:hAnsi="Times New Roman" w:eastAsia="宋体" w:cs="宋体"/>
          <w:color w:val="000000"/>
          <w:kern w:val="0"/>
          <w:sz w:val="21"/>
          <w:szCs w:val="21"/>
        </w:rPr>
        <w:t>采购人课程在相关</w:t>
      </w:r>
      <w:r>
        <w:rPr>
          <w:rFonts w:ascii="宋体" w:hAnsi="Times New Roman" w:eastAsia="宋体" w:cs="宋体"/>
          <w:color w:val="000000"/>
          <w:kern w:val="0"/>
          <w:sz w:val="21"/>
          <w:szCs w:val="21"/>
        </w:rPr>
        <w:t>平台运行和推广。</w:t>
      </w:r>
    </w:p>
    <w:p>
      <w:pPr>
        <w:widowControl/>
        <w:numPr>
          <w:ilvl w:val="0"/>
          <w:numId w:val="17"/>
        </w:numPr>
        <w:spacing w:line="340" w:lineRule="exact"/>
        <w:ind w:firstLine="524" w:firstLineChars="200"/>
        <w:jc w:val="left"/>
        <w:rPr>
          <w:rFonts w:ascii="宋体" w:hAnsi="Times New Roman" w:eastAsia="宋体" w:cs="宋体"/>
          <w:color w:val="000000"/>
          <w:kern w:val="0"/>
          <w:sz w:val="21"/>
          <w:szCs w:val="21"/>
        </w:rPr>
      </w:pPr>
      <w:r>
        <w:rPr>
          <w:rFonts w:ascii="宋体" w:hAnsi="Times New Roman" w:eastAsia="宋体" w:cs="宋体"/>
          <w:color w:val="000000"/>
          <w:kern w:val="0"/>
          <w:sz w:val="21"/>
          <w:szCs w:val="21"/>
        </w:rPr>
        <w:t>课程建设团队成员全程参与课程资源的建设，合作企业应该从课程资源建设教学设计方法、脚本设计方法、效果实现手段、教师指导培训、成品优化完善等角度，带动教师掌握相关方法与技能，形成开发成果；本课程必须基于本课程团队新编写的教材及教材资源，并结合本校教学实际需要进行建设，本课程不接受将其它学校的建设成果的移植。</w:t>
      </w:r>
    </w:p>
    <w:p>
      <w:pPr>
        <w:widowControl/>
        <w:spacing w:line="360" w:lineRule="auto"/>
        <w:ind w:firstLine="524" w:firstLineChars="200"/>
        <w:jc w:val="left"/>
        <w:rPr>
          <w:rFonts w:ascii="宋体" w:hAnsi="Times New Roman" w:eastAsia="宋体" w:cs="宋体"/>
          <w:kern w:val="0"/>
          <w:sz w:val="21"/>
          <w:szCs w:val="21"/>
        </w:rPr>
      </w:pPr>
      <w:r>
        <w:rPr>
          <w:rFonts w:ascii="Arial" w:hAnsi="Arial" w:cs="Arial"/>
          <w:color w:val="333333"/>
          <w:sz w:val="21"/>
          <w:szCs w:val="21"/>
          <w:shd w:val="clear" w:color="auto" w:fill="FFFFFF"/>
        </w:rPr>
        <w:t>▲</w:t>
      </w:r>
      <w:r>
        <w:rPr>
          <w:rFonts w:hint="eastAsia" w:ascii="宋体" w:hAnsi="Times New Roman" w:eastAsia="宋体" w:cs="宋体"/>
          <w:kern w:val="0"/>
          <w:sz w:val="21"/>
          <w:szCs w:val="21"/>
        </w:rPr>
        <w:t>（三）课程推广</w:t>
      </w:r>
    </w:p>
    <w:p>
      <w:pPr>
        <w:numPr>
          <w:ilvl w:val="0"/>
          <w:numId w:val="18"/>
        </w:numPr>
        <w:spacing w:line="360" w:lineRule="auto"/>
        <w:ind w:firstLine="420"/>
        <w:rPr>
          <w:rFonts w:ascii="宋体" w:hAnsi="宋体" w:eastAsia="宋体" w:cs="宋体"/>
          <w:kern w:val="0"/>
          <w:sz w:val="21"/>
          <w:szCs w:val="21"/>
        </w:rPr>
      </w:pPr>
      <w:r>
        <w:rPr>
          <w:rFonts w:hint="eastAsia" w:ascii="宋体" w:hAnsi="宋体" w:eastAsia="宋体" w:cs="宋体"/>
          <w:kern w:val="0"/>
          <w:sz w:val="21"/>
          <w:szCs w:val="21"/>
        </w:rPr>
        <w:t>上线国际版平台：协助课程上线国际版平台；</w:t>
      </w:r>
    </w:p>
    <w:p>
      <w:pPr>
        <w:numPr>
          <w:ilvl w:val="0"/>
          <w:numId w:val="18"/>
        </w:numPr>
        <w:spacing w:line="360" w:lineRule="auto"/>
        <w:ind w:firstLine="420"/>
        <w:rPr>
          <w:rFonts w:ascii="宋体" w:hAnsi="宋体" w:eastAsia="宋体" w:cs="宋体"/>
          <w:kern w:val="0"/>
          <w:sz w:val="21"/>
          <w:szCs w:val="21"/>
        </w:rPr>
      </w:pPr>
      <w:r>
        <w:rPr>
          <w:rFonts w:hint="eastAsia" w:ascii="宋体" w:hAnsi="宋体" w:eastAsia="宋体" w:cs="宋体"/>
          <w:kern w:val="0"/>
          <w:sz w:val="21"/>
          <w:szCs w:val="21"/>
        </w:rPr>
        <w:t>完成在平台国际版首页banner位推广：国际版首页banner位推广2天；</w:t>
      </w:r>
    </w:p>
    <w:p>
      <w:pPr>
        <w:numPr>
          <w:ilvl w:val="0"/>
          <w:numId w:val="18"/>
        </w:numPr>
        <w:spacing w:line="360" w:lineRule="auto"/>
        <w:ind w:firstLine="420"/>
        <w:rPr>
          <w:rFonts w:ascii="宋体" w:hAnsi="宋体" w:eastAsia="宋体" w:cs="宋体"/>
          <w:kern w:val="0"/>
          <w:sz w:val="21"/>
          <w:szCs w:val="21"/>
        </w:rPr>
      </w:pPr>
      <w:r>
        <w:rPr>
          <w:rFonts w:hint="eastAsia" w:ascii="宋体" w:hAnsi="宋体" w:eastAsia="宋体" w:cs="宋体"/>
          <w:kern w:val="0"/>
          <w:sz w:val="21"/>
          <w:szCs w:val="21"/>
        </w:rPr>
        <w:t>国际版首页好课推荐：国际版首页好课推荐1周；</w:t>
      </w:r>
    </w:p>
    <w:p>
      <w:pPr>
        <w:numPr>
          <w:ilvl w:val="0"/>
          <w:numId w:val="18"/>
        </w:numPr>
        <w:spacing w:line="360" w:lineRule="auto"/>
        <w:ind w:firstLine="420"/>
        <w:rPr>
          <w:rFonts w:ascii="宋体" w:hAnsi="宋体" w:eastAsia="宋体" w:cs="宋体"/>
          <w:kern w:val="0"/>
          <w:sz w:val="21"/>
          <w:szCs w:val="21"/>
        </w:rPr>
      </w:pPr>
      <w:r>
        <w:rPr>
          <w:rFonts w:hint="eastAsia" w:ascii="宋体" w:hAnsi="宋体" w:eastAsia="宋体" w:cs="宋体"/>
          <w:kern w:val="0"/>
          <w:sz w:val="21"/>
          <w:szCs w:val="21"/>
        </w:rPr>
        <w:t>海外公众号推文：海外公众号推文展示2次；</w:t>
      </w:r>
    </w:p>
    <w:p>
      <w:pPr>
        <w:numPr>
          <w:ilvl w:val="0"/>
          <w:numId w:val="18"/>
        </w:numPr>
        <w:spacing w:line="360" w:lineRule="auto"/>
        <w:ind w:firstLine="420"/>
        <w:rPr>
          <w:rFonts w:ascii="宋体" w:hAnsi="宋体" w:eastAsia="宋体" w:cs="宋体"/>
          <w:kern w:val="0"/>
          <w:sz w:val="21"/>
          <w:szCs w:val="21"/>
        </w:rPr>
      </w:pPr>
      <w:r>
        <w:rPr>
          <w:rFonts w:hint="eastAsia" w:ascii="宋体" w:hAnsi="宋体" w:eastAsia="宋体" w:cs="宋体"/>
          <w:kern w:val="0"/>
          <w:sz w:val="21"/>
          <w:szCs w:val="21"/>
        </w:rPr>
        <w:t>对接线上“智慧教育”国家平台：协助课程上线“智慧教育”国家平台；</w:t>
      </w:r>
    </w:p>
    <w:p>
      <w:pPr>
        <w:numPr>
          <w:ilvl w:val="0"/>
          <w:numId w:val="18"/>
        </w:numPr>
        <w:spacing w:line="360" w:lineRule="auto"/>
        <w:ind w:firstLine="420"/>
        <w:rPr>
          <w:rFonts w:ascii="宋体" w:hAnsi="宋体" w:eastAsia="宋体" w:cs="宋体"/>
          <w:kern w:val="0"/>
          <w:sz w:val="21"/>
          <w:szCs w:val="21"/>
        </w:rPr>
      </w:pPr>
      <w:r>
        <w:rPr>
          <w:rFonts w:hint="eastAsia" w:ascii="宋体" w:hAnsi="宋体" w:eastAsia="宋体" w:cs="宋体"/>
          <w:kern w:val="0"/>
          <w:sz w:val="21"/>
          <w:szCs w:val="21"/>
        </w:rPr>
        <w:t>推荐国际课程“出海”服务</w:t>
      </w:r>
      <w:r>
        <w:rPr>
          <w:rFonts w:ascii="宋体" w:hAnsi="宋体" w:eastAsia="宋体" w:cs="宋体"/>
          <w:kern w:val="0"/>
          <w:sz w:val="21"/>
          <w:szCs w:val="21"/>
        </w:rPr>
        <w:t>1</w:t>
      </w:r>
      <w:r>
        <w:rPr>
          <w:rFonts w:hint="eastAsia" w:ascii="宋体" w:hAnsi="宋体" w:eastAsia="宋体" w:cs="宋体"/>
          <w:kern w:val="0"/>
          <w:sz w:val="21"/>
          <w:szCs w:val="21"/>
        </w:rPr>
        <w:t>次：</w:t>
      </w:r>
    </w:p>
    <w:p>
      <w:pPr>
        <w:spacing w:line="360" w:lineRule="auto"/>
        <w:ind w:firstLine="1048" w:firstLineChars="400"/>
        <w:jc w:val="left"/>
        <w:rPr>
          <w:rFonts w:ascii="宋体" w:hAnsi="宋体" w:eastAsia="宋体" w:cs="宋体"/>
          <w:kern w:val="0"/>
          <w:sz w:val="21"/>
          <w:szCs w:val="21"/>
        </w:rPr>
      </w:pPr>
      <w:r>
        <w:rPr>
          <w:rFonts w:hint="eastAsia" w:ascii="宋体" w:hAnsi="宋体" w:eastAsia="宋体" w:cs="宋体"/>
          <w:kern w:val="0"/>
          <w:sz w:val="21"/>
          <w:szCs w:val="21"/>
        </w:rPr>
        <w:t>帮助院校递交上线海外国际平台申请流程：向国际慕课合作平台申请课程上线，为促成合作向院校提供必要的修改反馈。</w:t>
      </w:r>
    </w:p>
    <w:p>
      <w:pPr>
        <w:spacing w:line="360" w:lineRule="auto"/>
        <w:ind w:firstLine="917" w:firstLineChars="350"/>
        <w:jc w:val="left"/>
        <w:rPr>
          <w:rFonts w:ascii="宋体" w:hAnsi="宋体" w:eastAsia="宋体" w:cs="宋体"/>
          <w:kern w:val="0"/>
          <w:sz w:val="21"/>
          <w:szCs w:val="21"/>
        </w:rPr>
      </w:pPr>
      <w:r>
        <w:rPr>
          <w:rFonts w:hint="eastAsia" w:ascii="宋体" w:hAnsi="宋体" w:eastAsia="宋体" w:cs="宋体"/>
          <w:kern w:val="0"/>
          <w:sz w:val="21"/>
          <w:szCs w:val="21"/>
        </w:rPr>
        <w:t>院校及国际化平台建立沟通桥梁：课程通过国际平台审核后，协助双方沟通开课计划，确定运行内容。帮助搭建平台方及院校方桥梁。定期参加国际化平台方组织相关的活动。</w:t>
      </w:r>
    </w:p>
    <w:p>
      <w:pPr>
        <w:spacing w:line="360" w:lineRule="auto"/>
        <w:ind w:firstLine="917" w:firstLineChars="350"/>
        <w:jc w:val="left"/>
        <w:rPr>
          <w:rFonts w:ascii="宋体" w:hAnsi="宋体" w:eastAsia="宋体" w:cs="宋体"/>
          <w:kern w:val="0"/>
          <w:sz w:val="21"/>
          <w:szCs w:val="21"/>
        </w:rPr>
      </w:pPr>
      <w:r>
        <w:rPr>
          <w:rFonts w:hint="eastAsia" w:ascii="宋体" w:hAnsi="宋体" w:eastAsia="宋体" w:cs="宋体"/>
          <w:kern w:val="0"/>
          <w:sz w:val="21"/>
          <w:szCs w:val="21"/>
        </w:rPr>
        <w:t>账号部署：沟通协调国际平台为院校开通平台账号。</w:t>
      </w:r>
    </w:p>
    <w:p>
      <w:pPr>
        <w:rPr>
          <w:rFonts w:ascii="Times New Roman" w:hAnsi="Times New Roman" w:eastAsia="宋体" w:cs="宋体"/>
          <w:kern w:val="0"/>
          <w:szCs w:val="21"/>
        </w:rPr>
      </w:pPr>
      <w:r>
        <w:rPr>
          <w:rFonts w:hint="eastAsia" w:ascii="Times New Roman" w:hAnsi="Times New Roman" w:eastAsia="宋体" w:cs="宋体"/>
          <w:kern w:val="0"/>
          <w:sz w:val="21"/>
          <w:szCs w:val="21"/>
        </w:rPr>
        <w:t>运营推广服务：根据学校意愿和国际平台要求，协调国际平台推广课程。</w:t>
      </w:r>
    </w:p>
    <w:p>
      <w:pPr>
        <w:ind w:left="438" w:leftChars="132"/>
        <w:rPr>
          <w:rFonts w:ascii="宋体" w:hAnsi="宋体" w:eastAsia="宋体"/>
          <w:b/>
          <w:sz w:val="21"/>
          <w:szCs w:val="21"/>
        </w:rPr>
      </w:pPr>
      <w:r>
        <w:rPr>
          <w:rFonts w:hint="eastAsia"/>
          <w:sz w:val="21"/>
          <w:szCs w:val="21"/>
        </w:rPr>
        <w:t xml:space="preserve"> </w:t>
      </w:r>
    </w:p>
    <w:p>
      <w:pPr>
        <w:framePr w:hSpace="180" w:wrap="around" w:vAnchor="text" w:hAnchor="margin" w:y="605"/>
        <w:rPr>
          <w:rFonts w:ascii="宋体" w:hAnsi="宋体" w:eastAsia="宋体"/>
        </w:rPr>
      </w:pPr>
      <w:r>
        <w:rPr>
          <w:rFonts w:hint="eastAsia"/>
          <w:sz w:val="24"/>
        </w:rPr>
        <w:t xml:space="preserve">   </w:t>
      </w: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hint="eastAsia" w:ascii="仿宋_GB2312" w:hAnsi="宋体" w:eastAsia="仿宋_GB2312"/>
          <w:sz w:val="24"/>
          <w:lang w:eastAsia="zh-CN"/>
        </w:rPr>
      </w:pPr>
      <w:r>
        <w:rPr>
          <w:rFonts w:hint="eastAsia" w:ascii="仿宋_GB2312" w:hAnsi="宋体"/>
          <w:sz w:val="24"/>
        </w:rPr>
        <w:t>需</w:t>
      </w:r>
      <w:r>
        <w:rPr>
          <w:rFonts w:ascii="仿宋_GB2312" w:hAnsi="宋体"/>
          <w:sz w:val="24"/>
        </w:rPr>
        <w:t xml:space="preserve">  </w:t>
      </w:r>
      <w:r>
        <w:rPr>
          <w:rFonts w:hint="eastAsia" w:ascii="仿宋_GB2312" w:hAnsi="宋体"/>
          <w:sz w:val="24"/>
        </w:rPr>
        <w:t>方（甲方）：</w:t>
      </w:r>
      <w:r>
        <w:rPr>
          <w:rFonts w:ascii="仿宋_GB2312" w:hAnsi="宋体"/>
          <w:sz w:val="24"/>
        </w:rPr>
        <w:t xml:space="preserve">                      </w:t>
      </w:r>
      <w:r>
        <w:rPr>
          <w:rFonts w:hint="eastAsia" w:ascii="仿宋_GB2312" w:hAnsi="宋体"/>
          <w:sz w:val="24"/>
        </w:rPr>
        <w:t>签订地点：</w:t>
      </w:r>
      <w:r>
        <w:rPr>
          <w:rFonts w:hint="eastAsia" w:ascii="仿宋_GB2312" w:hAnsi="宋体"/>
          <w:sz w:val="24"/>
          <w:lang w:eastAsia="zh-CN"/>
        </w:rPr>
        <w:t>汕头</w:t>
      </w:r>
    </w:p>
    <w:p>
      <w:pPr>
        <w:kinsoku w:val="0"/>
        <w:wordWrap w:val="0"/>
        <w:topLinePunct/>
        <w:spacing w:line="340" w:lineRule="exact"/>
        <w:rPr>
          <w:rFonts w:ascii="仿宋_GB2312" w:hAnsi="宋体"/>
          <w:sz w:val="24"/>
        </w:rPr>
      </w:pPr>
      <w:r>
        <w:rPr>
          <w:rFonts w:hint="eastAsia" w:ascii="仿宋_GB2312" w:hAnsi="宋体"/>
          <w:sz w:val="24"/>
        </w:rPr>
        <w:t>供</w:t>
      </w:r>
      <w:r>
        <w:rPr>
          <w:rFonts w:ascii="仿宋_GB2312" w:hAnsi="宋体"/>
          <w:sz w:val="24"/>
        </w:rPr>
        <w:t xml:space="preserve">  </w:t>
      </w:r>
      <w:r>
        <w:rPr>
          <w:rFonts w:hint="eastAsia" w:ascii="仿宋_GB2312" w:hAnsi="宋体"/>
          <w:sz w:val="24"/>
        </w:rPr>
        <w:t xml:space="preserve">方（乙方）：  </w:t>
      </w:r>
      <w:r>
        <w:rPr>
          <w:rFonts w:ascii="仿宋_GB2312" w:hAnsi="宋体"/>
          <w:sz w:val="24"/>
        </w:rPr>
        <w:t xml:space="preserve">                     </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1"/>
        </w:rPr>
      </w:pPr>
      <w:r>
        <w:rPr>
          <w:rFonts w:ascii="仿宋_GB2312" w:hAnsi="宋体"/>
          <w:sz w:val="24"/>
        </w:rPr>
        <w:t xml:space="preserve">    </w:t>
      </w:r>
      <w:r>
        <w:rPr>
          <w:rFonts w:hint="eastAsia" w:ascii="仿宋_GB2312" w:hAnsi="宋体"/>
          <w:sz w:val="21"/>
        </w:rPr>
        <w:t>根据《中华人民共和国</w:t>
      </w:r>
      <w:r>
        <w:rPr>
          <w:rFonts w:hint="eastAsia" w:ascii="仿宋_GB2312" w:hAnsi="宋体"/>
          <w:sz w:val="21"/>
          <w:lang w:eastAsia="zh-CN"/>
        </w:rPr>
        <w:t>民典</w:t>
      </w:r>
      <w:r>
        <w:rPr>
          <w:rFonts w:hint="eastAsia" w:ascii="仿宋_GB2312" w:hAnsi="宋体"/>
          <w:sz w:val="21"/>
        </w:rPr>
        <w:t>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rPr>
        <w:t>医学仪器与办公设备______号</w:t>
      </w:r>
      <w:r>
        <w:rPr>
          <w:rFonts w:hint="eastAsia" w:ascii="仿宋_GB2312" w:hAnsi="宋体"/>
          <w:sz w:val="21"/>
        </w:rPr>
        <w:t>”招标文件和依据次文件产生的中标结果，经甲、乙双方平等协商，签订本合同。</w:t>
      </w:r>
    </w:p>
    <w:p>
      <w:pPr>
        <w:kinsoku w:val="0"/>
        <w:wordWrap w:val="0"/>
        <w:topLinePunct/>
        <w:spacing w:line="340" w:lineRule="exact"/>
        <w:rPr>
          <w:rFonts w:ascii="仿宋_GB2312" w:hAnsi="宋体"/>
          <w:sz w:val="21"/>
        </w:rPr>
      </w:pPr>
    </w:p>
    <w:p>
      <w:pPr>
        <w:keepNext w:val="0"/>
        <w:keepLines w:val="0"/>
        <w:pageBreakBefore w:val="0"/>
        <w:widowControl w:val="0"/>
        <w:kinsoku w:val="0"/>
        <w:wordWrap w:val="0"/>
        <w:overflowPunct/>
        <w:topLinePunct/>
        <w:autoSpaceDE/>
        <w:autoSpaceDN/>
        <w:bidi w:val="0"/>
        <w:adjustRightInd/>
        <w:snapToGrid/>
        <w:spacing w:line="340" w:lineRule="exact"/>
        <w:textAlignment w:val="auto"/>
        <w:rPr>
          <w:rFonts w:hint="eastAsia" w:ascii="仿宋_GB2312" w:hAnsi="宋体"/>
          <w:sz w:val="21"/>
        </w:rPr>
      </w:pPr>
      <w:r>
        <w:rPr>
          <w:rFonts w:hint="eastAsia" w:ascii="仿宋_GB2312" w:hAnsi="宋体"/>
          <w:sz w:val="21"/>
        </w:rPr>
        <w:t>一．下列合同文件是构成本合同不可分割的部分：</w:t>
      </w:r>
    </w:p>
    <w:p>
      <w:pPr>
        <w:keepNext w:val="0"/>
        <w:keepLines w:val="0"/>
        <w:pageBreakBefore w:val="0"/>
        <w:widowControl w:val="0"/>
        <w:kinsoku w:val="0"/>
        <w:wordWrap w:val="0"/>
        <w:overflowPunct/>
        <w:topLinePunct/>
        <w:autoSpaceDE/>
        <w:autoSpaceDN/>
        <w:bidi w:val="0"/>
        <w:adjustRightInd/>
        <w:snapToGrid/>
        <w:spacing w:line="340" w:lineRule="exact"/>
        <w:textAlignment w:val="auto"/>
        <w:rPr>
          <w:rFonts w:hint="eastAsia" w:ascii="仿宋_GB2312" w:hAnsi="宋体"/>
          <w:sz w:val="21"/>
        </w:rPr>
      </w:pPr>
      <w:r>
        <w:rPr>
          <w:rFonts w:hint="eastAsia" w:ascii="仿宋_GB2312" w:hAnsi="宋体"/>
          <w:sz w:val="21"/>
        </w:rPr>
        <w:t>1. 合同条款</w:t>
      </w:r>
    </w:p>
    <w:p>
      <w:pPr>
        <w:keepNext w:val="0"/>
        <w:keepLines w:val="0"/>
        <w:pageBreakBefore w:val="0"/>
        <w:widowControl w:val="0"/>
        <w:kinsoku w:val="0"/>
        <w:wordWrap w:val="0"/>
        <w:overflowPunct/>
        <w:topLinePunct/>
        <w:autoSpaceDE/>
        <w:autoSpaceDN/>
        <w:bidi w:val="0"/>
        <w:adjustRightInd/>
        <w:snapToGrid/>
        <w:spacing w:line="340" w:lineRule="exact"/>
        <w:textAlignment w:val="auto"/>
        <w:rPr>
          <w:rFonts w:hint="eastAsia" w:ascii="仿宋_GB2312" w:hAnsi="宋体"/>
          <w:sz w:val="21"/>
        </w:rPr>
      </w:pPr>
      <w:r>
        <w:rPr>
          <w:rFonts w:hint="eastAsia" w:ascii="仿宋_GB2312" w:hAnsi="宋体"/>
          <w:sz w:val="21"/>
        </w:rPr>
        <w:t>2.</w:t>
      </w:r>
      <w:r>
        <w:rPr>
          <w:rFonts w:hint="eastAsia" w:ascii="仿宋_GB2312" w:hAnsi="宋体"/>
          <w:sz w:val="21"/>
          <w:lang w:val="en-US" w:eastAsia="zh-CN"/>
        </w:rPr>
        <w:t>中标通知书</w:t>
      </w:r>
    </w:p>
    <w:p>
      <w:pPr>
        <w:keepNext w:val="0"/>
        <w:keepLines w:val="0"/>
        <w:pageBreakBefore w:val="0"/>
        <w:widowControl w:val="0"/>
        <w:kinsoku w:val="0"/>
        <w:wordWrap w:val="0"/>
        <w:overflowPunct/>
        <w:topLinePunct/>
        <w:autoSpaceDE/>
        <w:autoSpaceDN/>
        <w:bidi w:val="0"/>
        <w:adjustRightInd/>
        <w:snapToGrid/>
        <w:spacing w:line="340" w:lineRule="exact"/>
        <w:textAlignment w:val="auto"/>
        <w:rPr>
          <w:rFonts w:hint="eastAsia" w:ascii="仿宋_GB2312" w:hAnsi="宋体"/>
          <w:sz w:val="21"/>
        </w:rPr>
      </w:pPr>
      <w:r>
        <w:rPr>
          <w:rFonts w:hint="eastAsia" w:ascii="仿宋_GB2312" w:hAnsi="宋体"/>
          <w:sz w:val="21"/>
          <w:lang w:val="en-US" w:eastAsia="zh-CN"/>
        </w:rPr>
        <w:t>3</w:t>
      </w:r>
      <w:r>
        <w:rPr>
          <w:rFonts w:hint="eastAsia" w:ascii="仿宋_GB2312" w:hAnsi="宋体"/>
          <w:sz w:val="21"/>
        </w:rPr>
        <w:t>. 其他文件或材料</w:t>
      </w:r>
    </w:p>
    <w:p>
      <w:pPr>
        <w:numPr>
          <w:ilvl w:val="0"/>
          <w:numId w:val="0"/>
        </w:numPr>
        <w:kinsoku w:val="0"/>
        <w:wordWrap w:val="0"/>
        <w:topLinePunct/>
        <w:spacing w:line="340" w:lineRule="exact"/>
        <w:ind w:leftChars="0"/>
        <w:rPr>
          <w:rFonts w:ascii="仿宋_GB2312" w:hAnsi="宋体"/>
          <w:b/>
          <w:sz w:val="21"/>
        </w:rPr>
      </w:pPr>
      <w:r>
        <w:rPr>
          <w:rFonts w:hint="eastAsia" w:ascii="仿宋_GB2312" w:hAnsi="宋体"/>
          <w:b/>
          <w:sz w:val="21"/>
          <w:lang w:eastAsia="zh-CN"/>
        </w:rPr>
        <w:t>二．</w:t>
      </w:r>
      <w:r>
        <w:rPr>
          <w:rFonts w:hint="eastAsia" w:ascii="仿宋_GB2312" w:hAnsi="宋体"/>
          <w:b/>
          <w:sz w:val="21"/>
        </w:rPr>
        <w:t>服务费用报价</w:t>
      </w:r>
    </w:p>
    <w:p>
      <w:pPr>
        <w:kinsoku w:val="0"/>
        <w:wordWrap w:val="0"/>
        <w:topLinePunct/>
        <w:spacing w:line="340" w:lineRule="exact"/>
        <w:ind w:firstLine="662" w:firstLineChars="253"/>
        <w:rPr>
          <w:rFonts w:ascii="仿宋_GB2312" w:hAnsi="宋体"/>
          <w:b/>
          <w:sz w:val="21"/>
        </w:rPr>
      </w:pPr>
      <w:r>
        <w:rPr>
          <w:rFonts w:hint="eastAsia" w:ascii="仿宋_GB2312" w:hAnsi="宋体"/>
          <w:b/>
          <w:sz w:val="21"/>
        </w:rPr>
        <w:t>1、服务报价：</w:t>
      </w:r>
    </w:p>
    <w:tbl>
      <w:tblPr>
        <w:tblStyle w:val="25"/>
        <w:tblW w:w="0" w:type="auto"/>
        <w:tblInd w:w="692" w:type="dxa"/>
        <w:tblLayout w:type="fixed"/>
        <w:tblCellMar>
          <w:top w:w="0" w:type="dxa"/>
          <w:left w:w="28" w:type="dxa"/>
          <w:bottom w:w="0" w:type="dxa"/>
          <w:right w:w="28" w:type="dxa"/>
        </w:tblCellMar>
      </w:tblPr>
      <w:tblGrid>
        <w:gridCol w:w="1328"/>
        <w:gridCol w:w="1031"/>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服务名称</w:t>
            </w:r>
          </w:p>
        </w:tc>
        <w:tc>
          <w:tcPr>
            <w:tcW w:w="1031"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类型</w:t>
            </w:r>
          </w:p>
        </w:tc>
        <w:tc>
          <w:tcPr>
            <w:tcW w:w="48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bl>
    <w:p>
      <w:pPr>
        <w:kinsoku w:val="0"/>
        <w:wordWrap w:val="0"/>
        <w:topLinePunct/>
        <w:spacing w:line="340" w:lineRule="exact"/>
        <w:rPr>
          <w:rFonts w:ascii="仿宋_GB2312" w:hAnsi="宋体"/>
          <w:b/>
          <w:sz w:val="21"/>
        </w:rPr>
      </w:pPr>
      <w:r>
        <w:rPr>
          <w:rFonts w:hint="eastAsia" w:ascii="仿宋_GB2312" w:hAnsi="宋体"/>
          <w:b/>
          <w:sz w:val="21"/>
        </w:rPr>
        <w:t xml:space="preserve">     2.设备报价</w:t>
      </w:r>
    </w:p>
    <w:p>
      <w:pPr>
        <w:kinsoku w:val="0"/>
        <w:wordWrap w:val="0"/>
        <w:topLinePunct/>
        <w:spacing w:line="340" w:lineRule="exact"/>
        <w:rPr>
          <w:rFonts w:ascii="仿宋_GB2312" w:hAnsi="宋体"/>
          <w:b/>
          <w:sz w:val="21"/>
        </w:rPr>
      </w:pPr>
      <w:r>
        <w:rPr>
          <w:rFonts w:hint="eastAsia" w:ascii="仿宋_GB2312" w:hAnsi="宋体"/>
          <w:b/>
          <w:sz w:val="21"/>
        </w:rPr>
        <w:t xml:space="preserve">     </w:t>
      </w:r>
    </w:p>
    <w:tbl>
      <w:tblPr>
        <w:tblStyle w:val="25"/>
        <w:tblW w:w="0" w:type="auto"/>
        <w:tblInd w:w="692" w:type="dxa"/>
        <w:tblLayout w:type="fixed"/>
        <w:tblCellMar>
          <w:top w:w="0" w:type="dxa"/>
          <w:left w:w="28" w:type="dxa"/>
          <w:bottom w:w="0" w:type="dxa"/>
          <w:right w:w="28" w:type="dxa"/>
        </w:tblCellMar>
      </w:tblPr>
      <w:tblGrid>
        <w:gridCol w:w="1328"/>
        <w:gridCol w:w="1031"/>
        <w:gridCol w:w="1173"/>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货物名称</w:t>
            </w:r>
          </w:p>
        </w:tc>
        <w:tc>
          <w:tcPr>
            <w:tcW w:w="1031"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型号</w:t>
            </w:r>
          </w:p>
        </w:tc>
        <w:tc>
          <w:tcPr>
            <w:tcW w:w="117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厂家及</w:t>
            </w:r>
          </w:p>
          <w:p>
            <w:pPr>
              <w:kinsoku w:val="0"/>
              <w:wordWrap w:val="0"/>
              <w:topLinePunct/>
              <w:spacing w:line="340" w:lineRule="exact"/>
              <w:jc w:val="center"/>
              <w:rPr>
                <w:rFonts w:ascii="仿宋_GB2312" w:hAnsi="宋体"/>
                <w:sz w:val="21"/>
              </w:rPr>
            </w:pPr>
            <w:r>
              <w:rPr>
                <w:rFonts w:hint="eastAsia" w:ascii="仿宋_GB2312" w:hAnsi="宋体"/>
                <w:sz w:val="21"/>
              </w:rPr>
              <w:t>产地</w:t>
            </w:r>
          </w:p>
        </w:tc>
        <w:tc>
          <w:tcPr>
            <w:tcW w:w="48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随机配件</w:t>
            </w:r>
          </w:p>
          <w:p>
            <w:pPr>
              <w:kinsoku w:val="0"/>
              <w:wordWrap w:val="0"/>
              <w:topLinePunct/>
              <w:spacing w:line="340" w:lineRule="exact"/>
              <w:jc w:val="center"/>
              <w:rPr>
                <w:rFonts w:ascii="仿宋_GB2312" w:hAnsi="宋体"/>
                <w:sz w:val="21"/>
              </w:rPr>
            </w:pPr>
            <w:r>
              <w:rPr>
                <w:rFonts w:hint="eastAsia" w:ascii="仿宋_GB2312" w:hAnsi="宋体"/>
                <w:sz w:val="21"/>
              </w:rPr>
              <w:t>(备用)工具</w:t>
            </w:r>
          </w:p>
        </w:tc>
        <w:tc>
          <w:tcPr>
            <w:tcW w:w="83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7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7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rPr>
          <w:cantSplit/>
        </w:trPr>
        <w:tc>
          <w:tcPr>
            <w:tcW w:w="8798" w:type="dxa"/>
            <w:gridSpan w:val="8"/>
            <w:tcBorders>
              <w:top w:val="single" w:color="auto" w:sz="6" w:space="0"/>
              <w:left w:val="single" w:color="auto" w:sz="12" w:space="0"/>
              <w:bottom w:val="single" w:color="auto" w:sz="12" w:space="0"/>
              <w:right w:val="single" w:color="auto" w:sz="12" w:space="0"/>
            </w:tcBorders>
          </w:tcPr>
          <w:p>
            <w:pPr>
              <w:kinsoku w:val="0"/>
              <w:wordWrap w:val="0"/>
              <w:topLinePunct/>
              <w:spacing w:line="340" w:lineRule="exact"/>
              <w:rPr>
                <w:rFonts w:ascii="仿宋_GB2312" w:hAnsi="宋体"/>
                <w:sz w:val="21"/>
              </w:rPr>
            </w:pPr>
            <w:r>
              <w:rPr>
                <w:rFonts w:hint="eastAsia" w:ascii="仿宋_GB2312" w:hAnsi="宋体"/>
                <w:sz w:val="21"/>
              </w:rPr>
              <w:t>总金额（人民币）：</w:t>
            </w:r>
          </w:p>
        </w:tc>
      </w:tr>
    </w:tbl>
    <w:p>
      <w:pPr>
        <w:kinsoku w:val="0"/>
        <w:wordWrap w:val="0"/>
        <w:topLinePunct/>
        <w:spacing w:line="340" w:lineRule="exact"/>
        <w:rPr>
          <w:rFonts w:ascii="仿宋_GB2312" w:hAnsi="宋体"/>
          <w:b/>
          <w:sz w:val="21"/>
        </w:rPr>
      </w:pPr>
    </w:p>
    <w:p>
      <w:pPr>
        <w:kinsoku w:val="0"/>
        <w:wordWrap w:val="0"/>
        <w:topLinePunct/>
        <w:spacing w:line="340" w:lineRule="exact"/>
        <w:rPr>
          <w:rFonts w:ascii="仿宋_GB2312" w:hAnsi="宋体"/>
          <w:b/>
          <w:sz w:val="21"/>
        </w:rPr>
      </w:pPr>
    </w:p>
    <w:p>
      <w:pPr>
        <w:kinsoku w:val="0"/>
        <w:wordWrap w:val="0"/>
        <w:topLinePunct/>
        <w:spacing w:line="340" w:lineRule="exact"/>
        <w:rPr>
          <w:rFonts w:ascii="仿宋_GB2312" w:hAnsi="宋体"/>
          <w:b/>
          <w:sz w:val="21"/>
        </w:rPr>
      </w:pPr>
      <w:r>
        <w:rPr>
          <w:rFonts w:hint="eastAsia" w:ascii="仿宋_GB2312" w:hAnsi="宋体"/>
          <w:b/>
          <w:sz w:val="21"/>
        </w:rPr>
        <w:t>三. 设备质量要求及供方对质量负责的条件和期限（服务类项目由用户另行指定）：</w:t>
      </w:r>
    </w:p>
    <w:p>
      <w:pPr>
        <w:numPr>
          <w:ilvl w:val="0"/>
          <w:numId w:val="1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供方提供的设备必须符合中华人民共和国国家安全环保标准、教育部的有关规定以及该产品的出厂标准。</w:t>
      </w:r>
    </w:p>
    <w:p>
      <w:pPr>
        <w:numPr>
          <w:ilvl w:val="0"/>
          <w:numId w:val="1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1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因设备的质量问题发生争议，由广东省或汕头市商检部门进行质量鉴定。设备符合质量标准的，鉴定费由需方承担；设备不符合质量标准的，鉴定费由供方承担。</w:t>
      </w:r>
    </w:p>
    <w:p>
      <w:pPr>
        <w:numPr>
          <w:ilvl w:val="0"/>
          <w:numId w:val="1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pPr>
        <w:numPr>
          <w:ilvl w:val="0"/>
          <w:numId w:val="19"/>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设备原厂保修期超过一年的，供方应按保修承诺提供保修服务。</w:t>
      </w:r>
    </w:p>
    <w:p>
      <w:pPr>
        <w:tabs>
          <w:tab w:val="left" w:pos="0"/>
        </w:tabs>
        <w:kinsoku w:val="0"/>
        <w:wordWrap w:val="0"/>
        <w:topLinePunct/>
        <w:spacing w:line="340" w:lineRule="exact"/>
        <w:ind w:left="498"/>
        <w:rPr>
          <w:rFonts w:ascii="仿宋_GB2312" w:hAnsi="宋体"/>
          <w:sz w:val="21"/>
        </w:rPr>
      </w:pPr>
    </w:p>
    <w:p>
      <w:pPr>
        <w:kinsoku w:val="0"/>
        <w:wordWrap w:val="0"/>
        <w:topLinePunct/>
        <w:spacing w:line="340" w:lineRule="exact"/>
        <w:ind w:left="567" w:hanging="567"/>
        <w:rPr>
          <w:rFonts w:ascii="仿宋_GB2312" w:hAnsi="宋体"/>
          <w:b/>
          <w:sz w:val="21"/>
        </w:rPr>
      </w:pPr>
      <w:r>
        <w:rPr>
          <w:rFonts w:hint="eastAsia" w:ascii="仿宋_GB2312" w:hAnsi="宋体"/>
          <w:b/>
          <w:sz w:val="21"/>
        </w:rPr>
        <w:t>四. 交货及验收（服务类项目由用户另行指定）：</w:t>
      </w:r>
    </w:p>
    <w:p>
      <w:pPr>
        <w:numPr>
          <w:ilvl w:val="0"/>
          <w:numId w:val="20"/>
        </w:numPr>
        <w:tabs>
          <w:tab w:val="left" w:pos="0"/>
        </w:tabs>
        <w:kinsoku w:val="0"/>
        <w:wordWrap w:val="0"/>
        <w:topLinePunct/>
        <w:spacing w:line="340" w:lineRule="exact"/>
        <w:ind w:left="830" w:hanging="332"/>
        <w:rPr>
          <w:rFonts w:ascii="仿宋_GB2312"/>
          <w:sz w:val="21"/>
        </w:rPr>
      </w:pPr>
      <w:r>
        <w:rPr>
          <w:rFonts w:hint="eastAsia" w:ascii="仿宋_GB2312"/>
          <w:sz w:val="21"/>
        </w:rPr>
        <w:t>竣工时间：合同签定后20天内。</w:t>
      </w:r>
    </w:p>
    <w:p>
      <w:pPr>
        <w:numPr>
          <w:ilvl w:val="0"/>
          <w:numId w:val="2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产品必须具备出厂合格证。</w:t>
      </w:r>
    </w:p>
    <w:p>
      <w:pPr>
        <w:numPr>
          <w:ilvl w:val="0"/>
          <w:numId w:val="2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供方应将所供设备的用户手册、保修手册、有关资料及配件、随机工具等交付给需方。</w:t>
      </w:r>
    </w:p>
    <w:p>
      <w:pPr>
        <w:numPr>
          <w:ilvl w:val="0"/>
          <w:numId w:val="2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交货地点：汕头大学医学院</w:t>
      </w:r>
    </w:p>
    <w:p>
      <w:pPr>
        <w:numPr>
          <w:ilvl w:val="0"/>
          <w:numId w:val="2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货物的验收：</w:t>
      </w:r>
    </w:p>
    <w:p>
      <w:pPr>
        <w:pStyle w:val="12"/>
        <w:tabs>
          <w:tab w:val="left" w:pos="0"/>
        </w:tabs>
        <w:kinsoku w:val="0"/>
        <w:wordWrap w:val="0"/>
        <w:topLinePunct/>
        <w:autoSpaceDE/>
        <w:spacing w:line="340" w:lineRule="exact"/>
        <w:ind w:left="830" w:firstLine="490"/>
        <w:rPr>
          <w:rFonts w:ascii="仿宋_GB2312" w:hAnsi="宋体" w:eastAsia="仿宋_GB2312"/>
          <w:sz w:val="21"/>
        </w:rPr>
      </w:pPr>
      <w:r>
        <w:rPr>
          <w:rFonts w:hint="eastAsia" w:ascii="仿宋_GB2312" w:hAnsi="宋体" w:eastAsia="仿宋_GB2312"/>
          <w:sz w:val="21"/>
        </w:rPr>
        <w:t>全部货物现场开封，设备在现场安装过程中，如发生与供货合同条款不符的设备，用户提出异议，供货商应无条件更换。</w:t>
      </w:r>
    </w:p>
    <w:p>
      <w:pPr>
        <w:pStyle w:val="12"/>
        <w:tabs>
          <w:tab w:val="left" w:pos="0"/>
        </w:tabs>
        <w:kinsoku w:val="0"/>
        <w:wordWrap w:val="0"/>
        <w:topLinePunct/>
        <w:autoSpaceDE/>
        <w:spacing w:line="340" w:lineRule="exact"/>
        <w:ind w:left="830" w:firstLine="490"/>
        <w:rPr>
          <w:rFonts w:ascii="仿宋_GB2312" w:hAnsi="宋体" w:eastAsia="仿宋_GB2312"/>
          <w:sz w:val="21"/>
        </w:rPr>
      </w:pPr>
      <w:r>
        <w:rPr>
          <w:rFonts w:hint="eastAsia" w:ascii="仿宋_GB2312" w:hAnsi="宋体" w:eastAsia="仿宋_GB2312"/>
          <w:sz w:val="21"/>
        </w:rPr>
        <w:t>其它验收细则以投标商在投标书中提供的设备技术资料及双方签订的合同条款为准。</w:t>
      </w:r>
    </w:p>
    <w:p>
      <w:pPr>
        <w:kinsoku w:val="0"/>
        <w:wordWrap w:val="0"/>
        <w:topLinePunct/>
        <w:spacing w:line="340" w:lineRule="exact"/>
        <w:ind w:left="567" w:hanging="567"/>
        <w:rPr>
          <w:rFonts w:ascii="仿宋_GB2312" w:hAnsi="宋体"/>
          <w:b/>
          <w:sz w:val="21"/>
        </w:rPr>
      </w:pPr>
      <w:r>
        <w:rPr>
          <w:rFonts w:hint="eastAsia" w:ascii="仿宋_GB2312" w:hAnsi="宋体"/>
          <w:b/>
          <w:sz w:val="21"/>
        </w:rPr>
        <w:t>五. 付款：</w:t>
      </w:r>
    </w:p>
    <w:p>
      <w:pPr>
        <w:kinsoku w:val="0"/>
        <w:wordWrap w:val="0"/>
        <w:topLinePunct/>
        <w:spacing w:line="340" w:lineRule="exact"/>
        <w:ind w:left="498" w:leftChars="150" w:firstLine="498"/>
        <w:rPr>
          <w:sz w:val="21"/>
        </w:rPr>
      </w:pPr>
      <w:r>
        <w:rPr>
          <w:rFonts w:hint="eastAsia"/>
          <w:sz w:val="21"/>
        </w:rPr>
        <w:t>货物或服务验收合格后一星期内付清全款。</w:t>
      </w:r>
    </w:p>
    <w:p>
      <w:pPr>
        <w:kinsoku w:val="0"/>
        <w:wordWrap w:val="0"/>
        <w:topLinePunct/>
        <w:spacing w:line="340" w:lineRule="exact"/>
        <w:ind w:left="567" w:hanging="567"/>
        <w:rPr>
          <w:rFonts w:ascii="仿宋_GB2312" w:hAnsi="宋体"/>
          <w:b/>
          <w:sz w:val="21"/>
        </w:rPr>
      </w:pPr>
      <w:r>
        <w:rPr>
          <w:rFonts w:hint="eastAsia" w:ascii="仿宋_GB2312" w:hAnsi="宋体"/>
          <w:b/>
          <w:sz w:val="21"/>
        </w:rPr>
        <w:t>六. 违约责任（服务类项目由用户另行指定）：</w:t>
      </w:r>
    </w:p>
    <w:p>
      <w:pPr>
        <w:numPr>
          <w:ilvl w:val="0"/>
          <w:numId w:val="2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供方未能交付设备，则向需方支付设备总金额5%的违约金。</w:t>
      </w:r>
    </w:p>
    <w:p>
      <w:pPr>
        <w:numPr>
          <w:ilvl w:val="0"/>
          <w:numId w:val="2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供方交付的设备不符合合同规定的，需方有权拒收，供方向需方支付货款总金额5%的违约金。</w:t>
      </w:r>
    </w:p>
    <w:p>
      <w:pPr>
        <w:numPr>
          <w:ilvl w:val="0"/>
          <w:numId w:val="2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需方无正当理由拒收设备，拒付货款的，需方向供方偿付设备总金额5%的违约金。</w:t>
      </w:r>
    </w:p>
    <w:p>
      <w:pPr>
        <w:numPr>
          <w:ilvl w:val="0"/>
          <w:numId w:val="2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供方逾期交付设备，则每日按合同总额3‰向对方偿付违约金。逾期交付超过15天，需方有权终止合同，则供方向需方偿付设备总金额</w:t>
      </w:r>
      <w:r>
        <w:rPr>
          <w:sz w:val="21"/>
        </w:rPr>
        <w:t>7.5%</w:t>
      </w:r>
      <w:r>
        <w:rPr>
          <w:rFonts w:hint="eastAsia"/>
          <w:sz w:val="21"/>
        </w:rPr>
        <w:t>的违约金</w:t>
      </w:r>
      <w:r>
        <w:rPr>
          <w:rFonts w:hint="eastAsia" w:ascii="仿宋_GB2312" w:hAnsi="宋体"/>
          <w:sz w:val="21"/>
        </w:rPr>
        <w:t>。</w:t>
      </w:r>
    </w:p>
    <w:p>
      <w:pPr>
        <w:numPr>
          <w:ilvl w:val="0"/>
          <w:numId w:val="2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需方逾期付款，则每日按合同总额3‰向供方偿付违约金。</w:t>
      </w:r>
    </w:p>
    <w:p>
      <w:pPr>
        <w:numPr>
          <w:ilvl w:val="0"/>
          <w:numId w:val="22"/>
        </w:numPr>
        <w:tabs>
          <w:tab w:val="left" w:pos="0"/>
          <w:tab w:val="left" w:pos="425"/>
        </w:tabs>
        <w:kinsoku w:val="0"/>
        <w:wordWrap w:val="0"/>
        <w:topLinePunct/>
        <w:spacing w:line="340" w:lineRule="exact"/>
        <w:ind w:left="830" w:hanging="332"/>
        <w:rPr>
          <w:rFonts w:ascii="仿宋_GB2312" w:hAnsi="宋体"/>
          <w:sz w:val="21"/>
        </w:rPr>
      </w:pPr>
    </w:p>
    <w:p>
      <w:pPr>
        <w:pStyle w:val="12"/>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七</w:t>
      </w:r>
      <w:r>
        <w:rPr>
          <w:rFonts w:ascii="仿宋_GB2312" w:hAnsi="宋体" w:eastAsia="仿宋_GB2312"/>
          <w:b/>
          <w:sz w:val="21"/>
        </w:rPr>
        <w:t>.</w:t>
      </w:r>
      <w:r>
        <w:rPr>
          <w:rFonts w:hint="eastAsia" w:ascii="仿宋_GB2312" w:hAnsi="宋体" w:eastAsia="仿宋_GB2312"/>
          <w:b/>
          <w:sz w:val="21"/>
        </w:rPr>
        <w:t>售后服务</w:t>
      </w:r>
    </w:p>
    <w:p>
      <w:pPr>
        <w:pStyle w:val="12"/>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八．技术支持及培训</w:t>
      </w:r>
    </w:p>
    <w:p>
      <w:pPr>
        <w:kinsoku w:val="0"/>
        <w:wordWrap w:val="0"/>
        <w:topLinePunct/>
        <w:spacing w:line="340" w:lineRule="exact"/>
        <w:ind w:left="567" w:hanging="567"/>
        <w:rPr>
          <w:rFonts w:ascii="仿宋_GB2312" w:hAnsi="宋体"/>
          <w:b/>
          <w:sz w:val="21"/>
        </w:rPr>
      </w:pPr>
      <w:r>
        <w:rPr>
          <w:rFonts w:hint="eastAsia" w:ascii="仿宋_GB2312" w:hAnsi="宋体"/>
          <w:b/>
          <w:sz w:val="21"/>
        </w:rPr>
        <w:t>九</w:t>
      </w:r>
      <w:r>
        <w:rPr>
          <w:rFonts w:ascii="仿宋_GB2312" w:hAnsi="宋体"/>
          <w:b/>
          <w:sz w:val="21"/>
        </w:rPr>
        <w:t xml:space="preserve">. </w:t>
      </w:r>
      <w:r>
        <w:rPr>
          <w:rFonts w:hint="eastAsia" w:ascii="仿宋_GB2312" w:hAnsi="宋体"/>
          <w:b/>
          <w:sz w:val="21"/>
        </w:rPr>
        <w:t>合同的仲裁</w:t>
      </w:r>
    </w:p>
    <w:p>
      <w:pPr>
        <w:pStyle w:val="15"/>
        <w:kinsoku w:val="0"/>
        <w:wordWrap w:val="0"/>
        <w:spacing w:line="340" w:lineRule="exact"/>
        <w:ind w:left="498" w:leftChars="150" w:firstLine="332"/>
        <w:rPr>
          <w:sz w:val="21"/>
        </w:rPr>
      </w:pPr>
      <w:r>
        <w:rPr>
          <w:rFonts w:hint="eastAsia"/>
          <w:sz w:val="21"/>
        </w:rPr>
        <w:t>本合同发生争议，由双方协商或调解解决，协商或调解不成时向签订合同所在地人民法院起诉。</w:t>
      </w:r>
    </w:p>
    <w:p>
      <w:pPr>
        <w:kinsoku w:val="0"/>
        <w:wordWrap w:val="0"/>
        <w:topLinePunct/>
        <w:spacing w:line="340" w:lineRule="exact"/>
        <w:jc w:val="right"/>
        <w:rPr>
          <w:rFonts w:ascii="仿宋_GB2312" w:hAnsi="宋体"/>
          <w:sz w:val="21"/>
        </w:rPr>
      </w:pPr>
      <w:r>
        <w:rPr>
          <w:rFonts w:ascii="仿宋_GB2312" w:hAnsi="宋体"/>
          <w:sz w:val="21"/>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（投标人名称、地址）的名义投标。提交下述文件正本一份和副本一式五份。</w:t>
      </w:r>
    </w:p>
    <w:p>
      <w:pPr>
        <w:pStyle w:val="7"/>
        <w:numPr>
          <w:ilvl w:val="3"/>
          <w:numId w:val="23"/>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7"/>
        <w:numPr>
          <w:ilvl w:val="3"/>
          <w:numId w:val="23"/>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7"/>
        <w:numPr>
          <w:ilvl w:val="3"/>
          <w:numId w:val="23"/>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设备配置一览表；</w:t>
      </w:r>
    </w:p>
    <w:p>
      <w:pPr>
        <w:pStyle w:val="7"/>
        <w:numPr>
          <w:ilvl w:val="3"/>
          <w:numId w:val="23"/>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7"/>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号（招标编号）招标书，我们同意招标文件中有关服务的要求，对所投的技术服务承诺如下服务：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楷体">
    <w:altName w:val="新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0"/>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separate"/>
    </w:r>
    <w:r>
      <w:rPr>
        <w:rStyle w:val="29"/>
      </w:rPr>
      <w:t>15</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BF331"/>
    <w:multiLevelType w:val="singleLevel"/>
    <w:tmpl w:val="8BFBF331"/>
    <w:lvl w:ilvl="0" w:tentative="0">
      <w:start w:val="1"/>
      <w:numFmt w:val="decimalEnclosedCircleChinese"/>
      <w:suff w:val="nothing"/>
      <w:lvlText w:val="%1　"/>
      <w:lvlJc w:val="left"/>
      <w:pPr>
        <w:ind w:left="0" w:firstLine="400"/>
      </w:pPr>
      <w:rPr>
        <w:rFonts w:hint="eastAsia"/>
      </w:rPr>
    </w:lvl>
  </w:abstractNum>
  <w:abstractNum w:abstractNumId="1">
    <w:nsid w:val="969EFE50"/>
    <w:multiLevelType w:val="singleLevel"/>
    <w:tmpl w:val="969EFE50"/>
    <w:lvl w:ilvl="0" w:tentative="0">
      <w:start w:val="1"/>
      <w:numFmt w:val="decimalEnclosedCircleChinese"/>
      <w:suff w:val="nothing"/>
      <w:lvlText w:val="%1　"/>
      <w:lvlJc w:val="left"/>
      <w:pPr>
        <w:ind w:left="0" w:firstLine="400"/>
      </w:pPr>
      <w:rPr>
        <w:rFonts w:hint="eastAsia"/>
      </w:rPr>
    </w:lvl>
  </w:abstractNum>
  <w:abstractNum w:abstractNumId="2">
    <w:nsid w:val="A197DBDA"/>
    <w:multiLevelType w:val="singleLevel"/>
    <w:tmpl w:val="A197DBDA"/>
    <w:lvl w:ilvl="0" w:tentative="0">
      <w:start w:val="1"/>
      <w:numFmt w:val="decimalEnclosedCircleChinese"/>
      <w:suff w:val="nothing"/>
      <w:lvlText w:val="%1　"/>
      <w:lvlJc w:val="left"/>
      <w:pPr>
        <w:ind w:left="0" w:firstLine="400"/>
      </w:pPr>
      <w:rPr>
        <w:rFonts w:hint="eastAsia"/>
      </w:rPr>
    </w:lvl>
  </w:abstractNum>
  <w:abstractNum w:abstractNumId="3">
    <w:nsid w:val="C4CF32B4"/>
    <w:multiLevelType w:val="singleLevel"/>
    <w:tmpl w:val="C4CF32B4"/>
    <w:lvl w:ilvl="0" w:tentative="0">
      <w:start w:val="1"/>
      <w:numFmt w:val="decimal"/>
      <w:lvlText w:val="%1)"/>
      <w:lvlJc w:val="left"/>
      <w:pPr>
        <w:ind w:left="425" w:hanging="425"/>
      </w:pPr>
      <w:rPr>
        <w:rFonts w:hint="default"/>
      </w:rPr>
    </w:lvl>
  </w:abstractNum>
  <w:abstractNum w:abstractNumId="4">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5">
    <w:nsid w:val="06EFBACB"/>
    <w:multiLevelType w:val="singleLevel"/>
    <w:tmpl w:val="06EFBACB"/>
    <w:lvl w:ilvl="0" w:tentative="0">
      <w:start w:val="1"/>
      <w:numFmt w:val="decimal"/>
      <w:lvlText w:val="%1)"/>
      <w:lvlJc w:val="left"/>
      <w:pPr>
        <w:ind w:left="425" w:hanging="425"/>
      </w:pPr>
      <w:rPr>
        <w:rFonts w:hint="default"/>
      </w:rPr>
    </w:lvl>
  </w:abstractNum>
  <w:abstractNum w:abstractNumId="6">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7">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5"/>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8">
    <w:nsid w:val="38C06D4F"/>
    <w:multiLevelType w:val="multilevel"/>
    <w:tmpl w:val="38C06D4F"/>
    <w:lvl w:ilvl="0" w:tentative="0">
      <w:start w:val="1"/>
      <w:numFmt w:val="upperRoman"/>
      <w:pStyle w:val="4"/>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9">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10">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11">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4B802074"/>
    <w:multiLevelType w:val="singleLevel"/>
    <w:tmpl w:val="4B802074"/>
    <w:lvl w:ilvl="0" w:tentative="0">
      <w:start w:val="1"/>
      <w:numFmt w:val="decimal"/>
      <w:suff w:val="nothing"/>
      <w:lvlText w:val="（%1）"/>
      <w:lvlJc w:val="left"/>
    </w:lvl>
  </w:abstractNum>
  <w:abstractNum w:abstractNumId="13">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14">
    <w:nsid w:val="5312D3A5"/>
    <w:multiLevelType w:val="singleLevel"/>
    <w:tmpl w:val="5312D3A5"/>
    <w:lvl w:ilvl="0" w:tentative="0">
      <w:start w:val="1"/>
      <w:numFmt w:val="decimalEnclosedCircleChinese"/>
      <w:suff w:val="nothing"/>
      <w:lvlText w:val="%1　"/>
      <w:lvlJc w:val="left"/>
      <w:pPr>
        <w:ind w:left="0" w:firstLine="400"/>
      </w:pPr>
      <w:rPr>
        <w:rFonts w:hint="eastAsia"/>
      </w:rPr>
    </w:lvl>
  </w:abstractNum>
  <w:abstractNum w:abstractNumId="15">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16">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7">
    <w:nsid w:val="698BDBB5"/>
    <w:multiLevelType w:val="singleLevel"/>
    <w:tmpl w:val="698BDBB5"/>
    <w:lvl w:ilvl="0" w:tentative="0">
      <w:start w:val="1"/>
      <w:numFmt w:val="decimal"/>
      <w:lvlText w:val="%1)"/>
      <w:lvlJc w:val="left"/>
      <w:pPr>
        <w:ind w:left="425" w:hanging="425"/>
      </w:pPr>
      <w:rPr>
        <w:rFonts w:hint="default"/>
      </w:rPr>
    </w:lvl>
  </w:abstractNum>
  <w:abstractNum w:abstractNumId="18">
    <w:nsid w:val="730801AB"/>
    <w:multiLevelType w:val="singleLevel"/>
    <w:tmpl w:val="730801AB"/>
    <w:lvl w:ilvl="0" w:tentative="0">
      <w:start w:val="1"/>
      <w:numFmt w:val="decimalEnclosedCircleChinese"/>
      <w:suff w:val="nothing"/>
      <w:lvlText w:val="%1　"/>
      <w:lvlJc w:val="left"/>
      <w:pPr>
        <w:ind w:left="0" w:firstLine="400"/>
      </w:pPr>
      <w:rPr>
        <w:rFonts w:hint="eastAsia"/>
      </w:rPr>
    </w:lvl>
  </w:abstractNum>
  <w:abstractNum w:abstractNumId="19">
    <w:nsid w:val="7B965FBF"/>
    <w:multiLevelType w:val="singleLevel"/>
    <w:tmpl w:val="7B965FBF"/>
    <w:lvl w:ilvl="0" w:tentative="0">
      <w:start w:val="1"/>
      <w:numFmt w:val="decimal"/>
      <w:lvlText w:val="(%1)"/>
      <w:lvlJc w:val="left"/>
      <w:pPr>
        <w:ind w:left="425" w:hanging="425"/>
      </w:pPr>
      <w:rPr>
        <w:rFonts w:hint="default"/>
      </w:rPr>
    </w:lvl>
  </w:abstractNum>
  <w:abstractNum w:abstractNumId="20">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21">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8"/>
  </w:num>
  <w:num w:numId="2">
    <w:abstractNumId w:val="7"/>
  </w:num>
  <w:num w:numId="3">
    <w:abstractNumId w:val="20"/>
  </w:num>
  <w:num w:numId="4">
    <w:abstractNumId w:val="9"/>
  </w:num>
  <w:num w:numId="5">
    <w:abstractNumId w:val="4"/>
  </w:num>
  <w:num w:numId="6">
    <w:abstractNumId w:val="13"/>
  </w:num>
  <w:num w:numId="7">
    <w:abstractNumId w:val="16"/>
  </w:num>
  <w:num w:numId="8">
    <w:abstractNumId w:val="6"/>
  </w:num>
  <w:num w:numId="9">
    <w:abstractNumId w:val="14"/>
  </w:num>
  <w:num w:numId="10">
    <w:abstractNumId w:val="2"/>
  </w:num>
  <w:num w:numId="11">
    <w:abstractNumId w:val="1"/>
  </w:num>
  <w:num w:numId="12">
    <w:abstractNumId w:val="18"/>
  </w:num>
  <w:num w:numId="13">
    <w:abstractNumId w:val="5"/>
  </w:num>
  <w:num w:numId="14">
    <w:abstractNumId w:val="3"/>
  </w:num>
  <w:num w:numId="15">
    <w:abstractNumId w:val="17"/>
  </w:num>
  <w:num w:numId="16">
    <w:abstractNumId w:val="0"/>
  </w:num>
  <w:num w:numId="17">
    <w:abstractNumId w:val="19"/>
  </w:num>
  <w:num w:numId="18">
    <w:abstractNumId w:val="12"/>
  </w:num>
  <w:num w:numId="19">
    <w:abstractNumId w:val="10"/>
    <w:lvlOverride w:ilvl="0">
      <w:startOverride w:val="1"/>
    </w:lvlOverride>
  </w:num>
  <w:num w:numId="20">
    <w:abstractNumId w:val="15"/>
    <w:lvlOverride w:ilvl="0">
      <w:startOverride w:val="1"/>
    </w:lvlOverride>
  </w:num>
  <w:num w:numId="21">
    <w:abstractNumId w:val="21"/>
    <w:lvlOverride w:ilvl="0">
      <w:startOverride w:val="1"/>
    </w:lvlOverride>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26A6C"/>
    <w:rsid w:val="00034FA8"/>
    <w:rsid w:val="000364E5"/>
    <w:rsid w:val="000401B7"/>
    <w:rsid w:val="00042E84"/>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77AB"/>
    <w:rsid w:val="000B6AED"/>
    <w:rsid w:val="000C16D3"/>
    <w:rsid w:val="000C3941"/>
    <w:rsid w:val="000C3B61"/>
    <w:rsid w:val="000C5975"/>
    <w:rsid w:val="000C7F51"/>
    <w:rsid w:val="000D41A5"/>
    <w:rsid w:val="000D470E"/>
    <w:rsid w:val="000D554F"/>
    <w:rsid w:val="000E0A87"/>
    <w:rsid w:val="000E18AC"/>
    <w:rsid w:val="000F1FE5"/>
    <w:rsid w:val="000F29B1"/>
    <w:rsid w:val="000F383B"/>
    <w:rsid w:val="00100CEC"/>
    <w:rsid w:val="0010379C"/>
    <w:rsid w:val="001066A2"/>
    <w:rsid w:val="00110AB1"/>
    <w:rsid w:val="001127F5"/>
    <w:rsid w:val="00112B75"/>
    <w:rsid w:val="001218F4"/>
    <w:rsid w:val="00121C8E"/>
    <w:rsid w:val="001242FE"/>
    <w:rsid w:val="00133325"/>
    <w:rsid w:val="001333F0"/>
    <w:rsid w:val="001342EA"/>
    <w:rsid w:val="001369AB"/>
    <w:rsid w:val="0014112B"/>
    <w:rsid w:val="00141FFF"/>
    <w:rsid w:val="001443B7"/>
    <w:rsid w:val="00152D5E"/>
    <w:rsid w:val="00164C72"/>
    <w:rsid w:val="001656D0"/>
    <w:rsid w:val="0017027B"/>
    <w:rsid w:val="001706C2"/>
    <w:rsid w:val="001716C2"/>
    <w:rsid w:val="001757AA"/>
    <w:rsid w:val="00181AD7"/>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27E9"/>
    <w:rsid w:val="001E4034"/>
    <w:rsid w:val="001E5CF1"/>
    <w:rsid w:val="001E610D"/>
    <w:rsid w:val="001E6289"/>
    <w:rsid w:val="001F0C7A"/>
    <w:rsid w:val="001F6C2C"/>
    <w:rsid w:val="001F7EAA"/>
    <w:rsid w:val="0020285D"/>
    <w:rsid w:val="002077D4"/>
    <w:rsid w:val="00213925"/>
    <w:rsid w:val="00213E67"/>
    <w:rsid w:val="00221E77"/>
    <w:rsid w:val="00224A9B"/>
    <w:rsid w:val="00226502"/>
    <w:rsid w:val="002545FB"/>
    <w:rsid w:val="0025483C"/>
    <w:rsid w:val="00262EA9"/>
    <w:rsid w:val="002643A4"/>
    <w:rsid w:val="002719DF"/>
    <w:rsid w:val="00273904"/>
    <w:rsid w:val="00277403"/>
    <w:rsid w:val="00277EDE"/>
    <w:rsid w:val="002805D1"/>
    <w:rsid w:val="002824BB"/>
    <w:rsid w:val="00282CB3"/>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E7C2B"/>
    <w:rsid w:val="002F4686"/>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46071"/>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522F"/>
    <w:rsid w:val="003B7E37"/>
    <w:rsid w:val="003C0A6C"/>
    <w:rsid w:val="003C0DF8"/>
    <w:rsid w:val="003C7190"/>
    <w:rsid w:val="003D0CE8"/>
    <w:rsid w:val="003D212B"/>
    <w:rsid w:val="003E0479"/>
    <w:rsid w:val="003E101C"/>
    <w:rsid w:val="003E4A17"/>
    <w:rsid w:val="003E4B96"/>
    <w:rsid w:val="003E73BA"/>
    <w:rsid w:val="003F19B6"/>
    <w:rsid w:val="003F1F33"/>
    <w:rsid w:val="003F5C69"/>
    <w:rsid w:val="003F632A"/>
    <w:rsid w:val="003F675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157C"/>
    <w:rsid w:val="00464B10"/>
    <w:rsid w:val="00474F8D"/>
    <w:rsid w:val="00483252"/>
    <w:rsid w:val="00483D43"/>
    <w:rsid w:val="00485CF4"/>
    <w:rsid w:val="00487E57"/>
    <w:rsid w:val="0049387D"/>
    <w:rsid w:val="00493E3B"/>
    <w:rsid w:val="004966EF"/>
    <w:rsid w:val="00497654"/>
    <w:rsid w:val="00497859"/>
    <w:rsid w:val="004A041F"/>
    <w:rsid w:val="004A4A74"/>
    <w:rsid w:val="004A7DE2"/>
    <w:rsid w:val="004B38E5"/>
    <w:rsid w:val="004B638C"/>
    <w:rsid w:val="004C435A"/>
    <w:rsid w:val="004C661E"/>
    <w:rsid w:val="004D035D"/>
    <w:rsid w:val="004D2F20"/>
    <w:rsid w:val="004D7ED7"/>
    <w:rsid w:val="004E04F6"/>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87FDA"/>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C540F"/>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639F8"/>
    <w:rsid w:val="006704AF"/>
    <w:rsid w:val="00670B7C"/>
    <w:rsid w:val="00670DE8"/>
    <w:rsid w:val="006711BB"/>
    <w:rsid w:val="00671625"/>
    <w:rsid w:val="00675CF1"/>
    <w:rsid w:val="006763EE"/>
    <w:rsid w:val="006804DF"/>
    <w:rsid w:val="006A04CD"/>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2AAF"/>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14BF"/>
    <w:rsid w:val="007B6849"/>
    <w:rsid w:val="007C032B"/>
    <w:rsid w:val="007C12C5"/>
    <w:rsid w:val="007C4D09"/>
    <w:rsid w:val="007C7791"/>
    <w:rsid w:val="007C7B5F"/>
    <w:rsid w:val="007D1D44"/>
    <w:rsid w:val="007D6608"/>
    <w:rsid w:val="007D6E55"/>
    <w:rsid w:val="007D7AA4"/>
    <w:rsid w:val="007E0C40"/>
    <w:rsid w:val="007E0EE4"/>
    <w:rsid w:val="007E3ADF"/>
    <w:rsid w:val="007E49E9"/>
    <w:rsid w:val="007E6054"/>
    <w:rsid w:val="007E6345"/>
    <w:rsid w:val="007E782D"/>
    <w:rsid w:val="007F07C7"/>
    <w:rsid w:val="007F5DDD"/>
    <w:rsid w:val="007F5F99"/>
    <w:rsid w:val="00800E0C"/>
    <w:rsid w:val="00801DD9"/>
    <w:rsid w:val="008050A3"/>
    <w:rsid w:val="008104AF"/>
    <w:rsid w:val="00812D6A"/>
    <w:rsid w:val="00814906"/>
    <w:rsid w:val="008149BE"/>
    <w:rsid w:val="0081701A"/>
    <w:rsid w:val="00822FC8"/>
    <w:rsid w:val="00823EE5"/>
    <w:rsid w:val="00824CD0"/>
    <w:rsid w:val="0082596E"/>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5AAA"/>
    <w:rsid w:val="008C797F"/>
    <w:rsid w:val="008D297D"/>
    <w:rsid w:val="008D2C4D"/>
    <w:rsid w:val="008D3D23"/>
    <w:rsid w:val="008E3F55"/>
    <w:rsid w:val="008F5468"/>
    <w:rsid w:val="0090057C"/>
    <w:rsid w:val="0090162D"/>
    <w:rsid w:val="0090206E"/>
    <w:rsid w:val="00907A41"/>
    <w:rsid w:val="009125C9"/>
    <w:rsid w:val="00912E99"/>
    <w:rsid w:val="00913781"/>
    <w:rsid w:val="00915CEB"/>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01D1"/>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D74F7"/>
    <w:rsid w:val="009E1912"/>
    <w:rsid w:val="009E38B2"/>
    <w:rsid w:val="009E4853"/>
    <w:rsid w:val="009F4023"/>
    <w:rsid w:val="009F471B"/>
    <w:rsid w:val="009F7F9F"/>
    <w:rsid w:val="00A022D7"/>
    <w:rsid w:val="00A03D8C"/>
    <w:rsid w:val="00A0433B"/>
    <w:rsid w:val="00A054DC"/>
    <w:rsid w:val="00A071D5"/>
    <w:rsid w:val="00A16B56"/>
    <w:rsid w:val="00A209B6"/>
    <w:rsid w:val="00A21453"/>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197C"/>
    <w:rsid w:val="00A83FFA"/>
    <w:rsid w:val="00A85FDC"/>
    <w:rsid w:val="00A91508"/>
    <w:rsid w:val="00A91DA7"/>
    <w:rsid w:val="00A920C9"/>
    <w:rsid w:val="00A94887"/>
    <w:rsid w:val="00A94CF9"/>
    <w:rsid w:val="00A97A08"/>
    <w:rsid w:val="00AA08AC"/>
    <w:rsid w:val="00AA377F"/>
    <w:rsid w:val="00AA489E"/>
    <w:rsid w:val="00AA4A15"/>
    <w:rsid w:val="00AA5873"/>
    <w:rsid w:val="00AB3CF8"/>
    <w:rsid w:val="00AB5D27"/>
    <w:rsid w:val="00AB721A"/>
    <w:rsid w:val="00AC28F9"/>
    <w:rsid w:val="00AC2909"/>
    <w:rsid w:val="00AC5155"/>
    <w:rsid w:val="00AD07F8"/>
    <w:rsid w:val="00AD1A9A"/>
    <w:rsid w:val="00AD3E2C"/>
    <w:rsid w:val="00AD74B5"/>
    <w:rsid w:val="00AE1E63"/>
    <w:rsid w:val="00AE7CC9"/>
    <w:rsid w:val="00AF42EA"/>
    <w:rsid w:val="00B00CE9"/>
    <w:rsid w:val="00B0145F"/>
    <w:rsid w:val="00B0233B"/>
    <w:rsid w:val="00B02641"/>
    <w:rsid w:val="00B053CF"/>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0EC"/>
    <w:rsid w:val="00B61194"/>
    <w:rsid w:val="00B6156F"/>
    <w:rsid w:val="00B67889"/>
    <w:rsid w:val="00B72ADD"/>
    <w:rsid w:val="00B77C24"/>
    <w:rsid w:val="00B87660"/>
    <w:rsid w:val="00B92C98"/>
    <w:rsid w:val="00BA1FA7"/>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BF522D"/>
    <w:rsid w:val="00C03506"/>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1A05"/>
    <w:rsid w:val="00CC52E4"/>
    <w:rsid w:val="00CC5394"/>
    <w:rsid w:val="00CC7A80"/>
    <w:rsid w:val="00CD177D"/>
    <w:rsid w:val="00CD2F19"/>
    <w:rsid w:val="00CD3221"/>
    <w:rsid w:val="00CD659D"/>
    <w:rsid w:val="00CD78CF"/>
    <w:rsid w:val="00CE10A8"/>
    <w:rsid w:val="00CE17B8"/>
    <w:rsid w:val="00CE1854"/>
    <w:rsid w:val="00CE1921"/>
    <w:rsid w:val="00CE2E27"/>
    <w:rsid w:val="00CE31C5"/>
    <w:rsid w:val="00CE46C2"/>
    <w:rsid w:val="00CE72AC"/>
    <w:rsid w:val="00CE7DC1"/>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1B18"/>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1A59"/>
    <w:rsid w:val="00ED3BF1"/>
    <w:rsid w:val="00ED50DD"/>
    <w:rsid w:val="00ED5DA5"/>
    <w:rsid w:val="00EE4D82"/>
    <w:rsid w:val="00EF0C99"/>
    <w:rsid w:val="00F030AC"/>
    <w:rsid w:val="00F043A6"/>
    <w:rsid w:val="00F04673"/>
    <w:rsid w:val="00F17BE0"/>
    <w:rsid w:val="00F2043C"/>
    <w:rsid w:val="00F22086"/>
    <w:rsid w:val="00F22587"/>
    <w:rsid w:val="00F23BA2"/>
    <w:rsid w:val="00F24623"/>
    <w:rsid w:val="00F24E2B"/>
    <w:rsid w:val="00F3037A"/>
    <w:rsid w:val="00F37D6D"/>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A7365"/>
    <w:rsid w:val="00FB1FA4"/>
    <w:rsid w:val="00FB2239"/>
    <w:rsid w:val="00FB2C8C"/>
    <w:rsid w:val="00FB4617"/>
    <w:rsid w:val="00FB598E"/>
    <w:rsid w:val="00FD56F9"/>
    <w:rsid w:val="00FD686F"/>
    <w:rsid w:val="00FE4459"/>
    <w:rsid w:val="00FE50F6"/>
    <w:rsid w:val="00FE7DC3"/>
    <w:rsid w:val="00FE7E5D"/>
    <w:rsid w:val="00FF10DB"/>
    <w:rsid w:val="00FF1FB7"/>
    <w:rsid w:val="00FF299B"/>
    <w:rsid w:val="00FF717A"/>
    <w:rsid w:val="01F327E9"/>
    <w:rsid w:val="0A1D0E2A"/>
    <w:rsid w:val="18D90DDD"/>
    <w:rsid w:val="19A32D57"/>
    <w:rsid w:val="33CD400D"/>
    <w:rsid w:val="3C7E7C5A"/>
    <w:rsid w:val="44A1597D"/>
    <w:rsid w:val="471637BF"/>
    <w:rsid w:val="498774ED"/>
    <w:rsid w:val="4B607184"/>
    <w:rsid w:val="4C376F2D"/>
    <w:rsid w:val="4DD6390E"/>
    <w:rsid w:val="535E1403"/>
    <w:rsid w:val="548E7BF1"/>
    <w:rsid w:val="682827B6"/>
    <w:rsid w:val="69102770"/>
    <w:rsid w:val="70100BA5"/>
    <w:rsid w:val="71337F96"/>
    <w:rsid w:val="783255D6"/>
    <w:rsid w:val="7E152A8F"/>
    <w:rsid w:val="7FC6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paragraph" w:styleId="3">
    <w:name w:val="heading 1"/>
    <w:basedOn w:val="1"/>
    <w:next w:val="1"/>
    <w:link w:val="99"/>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4">
    <w:name w:val="heading 2"/>
    <w:basedOn w:val="1"/>
    <w:next w:val="1"/>
    <w:qFormat/>
    <w:uiPriority w:val="0"/>
    <w:pPr>
      <w:keepNext/>
      <w:numPr>
        <w:ilvl w:val="0"/>
        <w:numId w:val="1"/>
      </w:numPr>
      <w:outlineLvl w:val="1"/>
    </w:pPr>
    <w:rPr>
      <w:b/>
      <w:bCs/>
    </w:rPr>
  </w:style>
  <w:style w:type="paragraph" w:styleId="5">
    <w:name w:val="heading 3"/>
    <w:basedOn w:val="1"/>
    <w:next w:val="1"/>
    <w:qFormat/>
    <w:uiPriority w:val="0"/>
    <w:pPr>
      <w:keepNext/>
      <w:numPr>
        <w:ilvl w:val="1"/>
        <w:numId w:val="2"/>
      </w:numPr>
      <w:outlineLvl w:val="2"/>
    </w:pPr>
    <w:rPr>
      <w:b/>
      <w:bCs/>
    </w:rPr>
  </w:style>
  <w:style w:type="paragraph" w:styleId="6">
    <w:name w:val="heading 4"/>
    <w:basedOn w:val="1"/>
    <w:next w:val="1"/>
    <w:qFormat/>
    <w:uiPriority w:val="0"/>
    <w:pPr>
      <w:keepNext/>
      <w:outlineLvl w:val="3"/>
    </w:pPr>
    <w:rPr>
      <w:rFonts w:ascii="宋体" w:hAnsi="宋体" w:eastAsia="宋体"/>
      <w:b/>
      <w:b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7">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8">
    <w:name w:val="Document Map"/>
    <w:basedOn w:val="1"/>
    <w:semiHidden/>
    <w:qFormat/>
    <w:uiPriority w:val="0"/>
    <w:pPr>
      <w:shd w:val="clear" w:color="auto" w:fill="000080"/>
    </w:pPr>
  </w:style>
  <w:style w:type="paragraph" w:styleId="9">
    <w:name w:val="annotation text"/>
    <w:basedOn w:val="1"/>
    <w:link w:val="103"/>
    <w:semiHidden/>
    <w:qFormat/>
    <w:uiPriority w:val="0"/>
    <w:pPr>
      <w:jc w:val="left"/>
    </w:pPr>
  </w:style>
  <w:style w:type="paragraph" w:styleId="10">
    <w:name w:val="Body Text 3"/>
    <w:basedOn w:val="1"/>
    <w:qFormat/>
    <w:uiPriority w:val="0"/>
    <w:rPr>
      <w:rFonts w:eastAsia="楷体_GB2312"/>
      <w:sz w:val="24"/>
      <w:szCs w:val="27"/>
    </w:rPr>
  </w:style>
  <w:style w:type="paragraph" w:styleId="11">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2">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3">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4">
    <w:name w:val="Plain Text"/>
    <w:basedOn w:val="1"/>
    <w:link w:val="101"/>
    <w:qFormat/>
    <w:uiPriority w:val="0"/>
    <w:rPr>
      <w:rFonts w:ascii="宋体" w:hAnsi="Courier New" w:eastAsia="宋体"/>
      <w:kern w:val="0"/>
      <w:sz w:val="24"/>
    </w:rPr>
  </w:style>
  <w:style w:type="paragraph" w:styleId="15">
    <w:name w:val="Body Text Indent 2"/>
    <w:basedOn w:val="1"/>
    <w:qFormat/>
    <w:uiPriority w:val="0"/>
    <w:pPr>
      <w:topLinePunct/>
      <w:spacing w:line="500" w:lineRule="exact"/>
      <w:ind w:firstLine="664"/>
    </w:pPr>
    <w:rPr>
      <w:rFonts w:ascii="仿宋_GB2312" w:hAnsi="宋体"/>
      <w:sz w:val="24"/>
    </w:rPr>
  </w:style>
  <w:style w:type="paragraph" w:styleId="16">
    <w:name w:val="Balloon Text"/>
    <w:basedOn w:val="1"/>
    <w:link w:val="105"/>
    <w:qFormat/>
    <w:uiPriority w:val="0"/>
    <w:rPr>
      <w:sz w:val="18"/>
      <w:szCs w:val="18"/>
    </w:rPr>
  </w:style>
  <w:style w:type="paragraph" w:styleId="17">
    <w:name w:val="footer"/>
    <w:basedOn w:val="1"/>
    <w:qFormat/>
    <w:uiPriority w:val="0"/>
    <w:pPr>
      <w:tabs>
        <w:tab w:val="center" w:pos="4153"/>
        <w:tab w:val="right" w:pos="8306"/>
      </w:tabs>
      <w:snapToGrid w:val="0"/>
      <w:jc w:val="left"/>
    </w:pPr>
    <w:rPr>
      <w:rFonts w:eastAsia="宋体"/>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20">
    <w:name w:val="Body Text Indent 3"/>
    <w:basedOn w:val="1"/>
    <w:qFormat/>
    <w:uiPriority w:val="0"/>
    <w:pPr>
      <w:ind w:firstLine="777"/>
    </w:pPr>
    <w:rPr>
      <w:rFonts w:ascii="楷体_GB2312" w:hAnsi="Arial Narrow" w:eastAsia="楷体_GB2312"/>
    </w:rPr>
  </w:style>
  <w:style w:type="paragraph" w:styleId="21">
    <w:name w:val="Body Text 2"/>
    <w:basedOn w:val="1"/>
    <w:qFormat/>
    <w:uiPriority w:val="0"/>
    <w:rPr>
      <w:rFonts w:ascii="Arial Narrow" w:hAnsi="Arial Narrow" w:eastAsia="楷体_GB2312"/>
      <w:sz w:val="21"/>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3">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24">
    <w:name w:val="annotation subject"/>
    <w:basedOn w:val="9"/>
    <w:next w:val="9"/>
    <w:link w:val="104"/>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bCs/>
    </w:rPr>
  </w:style>
  <w:style w:type="character" w:styleId="29">
    <w:name w:val="page number"/>
    <w:basedOn w:val="27"/>
    <w:qFormat/>
    <w:uiPriority w:val="0"/>
  </w:style>
  <w:style w:type="character" w:styleId="30">
    <w:name w:val="FollowedHyperlink"/>
    <w:basedOn w:val="27"/>
    <w:qFormat/>
    <w:uiPriority w:val="0"/>
    <w:rPr>
      <w:color w:val="800080"/>
      <w:u w:val="single"/>
    </w:rPr>
  </w:style>
  <w:style w:type="character" w:styleId="31">
    <w:name w:val="Emphasis"/>
    <w:basedOn w:val="27"/>
    <w:qFormat/>
    <w:uiPriority w:val="0"/>
    <w:rPr>
      <w:color w:val="CC0033"/>
    </w:rPr>
  </w:style>
  <w:style w:type="character" w:styleId="32">
    <w:name w:val="Hyperlink"/>
    <w:basedOn w:val="27"/>
    <w:qFormat/>
    <w:uiPriority w:val="0"/>
    <w:rPr>
      <w:color w:val="0000FF"/>
      <w:u w:val="single"/>
    </w:rPr>
  </w:style>
  <w:style w:type="character" w:styleId="33">
    <w:name w:val="annotation reference"/>
    <w:basedOn w:val="27"/>
    <w:semiHidden/>
    <w:qFormat/>
    <w:uiPriority w:val="0"/>
    <w:rPr>
      <w:sz w:val="21"/>
    </w:rPr>
  </w:style>
  <w:style w:type="character" w:customStyle="1" w:styleId="34">
    <w:name w:val="font141"/>
    <w:basedOn w:val="27"/>
    <w:qFormat/>
    <w:uiPriority w:val="0"/>
  </w:style>
  <w:style w:type="character" w:customStyle="1" w:styleId="35">
    <w:name w:val="style31"/>
    <w:basedOn w:val="27"/>
    <w:qFormat/>
    <w:uiPriority w:val="0"/>
    <w:rPr>
      <w:b/>
      <w:bCs/>
      <w:color w:val="A16601"/>
    </w:rPr>
  </w:style>
  <w:style w:type="character" w:customStyle="1" w:styleId="36">
    <w:name w:val="dct-tt"/>
    <w:basedOn w:val="27"/>
    <w:qFormat/>
    <w:uiPriority w:val="0"/>
    <w:rPr>
      <w:rFonts w:hint="default" w:ascii="Arial" w:hAnsi="Arial" w:cs="Arial"/>
    </w:rPr>
  </w:style>
  <w:style w:type="character" w:customStyle="1" w:styleId="37">
    <w:name w:val="style36"/>
    <w:basedOn w:val="27"/>
    <w:qFormat/>
    <w:uiPriority w:val="0"/>
  </w:style>
  <w:style w:type="character" w:customStyle="1" w:styleId="38">
    <w:name w:val="search_highlight2"/>
    <w:basedOn w:val="27"/>
    <w:qFormat/>
    <w:uiPriority w:val="0"/>
    <w:rPr>
      <w:rFonts w:hint="default" w:ascii="Arial" w:hAnsi="Arial" w:cs="Arial"/>
      <w:shd w:val="clear" w:color="auto" w:fill="FFFFB0"/>
    </w:rPr>
  </w:style>
  <w:style w:type="character" w:customStyle="1" w:styleId="39">
    <w:name w:val="style4"/>
    <w:basedOn w:val="27"/>
    <w:qFormat/>
    <w:uiPriority w:val="0"/>
  </w:style>
  <w:style w:type="character" w:customStyle="1" w:styleId="40">
    <w:name w:val="f141"/>
    <w:basedOn w:val="27"/>
    <w:qFormat/>
    <w:uiPriority w:val="0"/>
    <w:rPr>
      <w:b/>
      <w:bCs/>
      <w:sz w:val="21"/>
      <w:szCs w:val="21"/>
    </w:rPr>
  </w:style>
  <w:style w:type="character" w:customStyle="1" w:styleId="41">
    <w:name w:val="hei12b"/>
    <w:basedOn w:val="27"/>
    <w:qFormat/>
    <w:uiPriority w:val="0"/>
  </w:style>
  <w:style w:type="paragraph" w:customStyle="1" w:styleId="42">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3">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4">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5">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6">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8">
    <w:name w:val="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4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50">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1">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52">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53">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54">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5">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6">
    <w:name w:val="xl47"/>
    <w:basedOn w:val="1"/>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7">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8">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9">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0">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1">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2">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3">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64">
    <w:name w:val="Char Char Char Char"/>
    <w:basedOn w:val="1"/>
    <w:qFormat/>
    <w:uiPriority w:val="0"/>
    <w:rPr>
      <w:rFonts w:eastAsia="宋体"/>
      <w:sz w:val="21"/>
    </w:rPr>
  </w:style>
  <w:style w:type="paragraph" w:customStyle="1" w:styleId="65">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6">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67">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8">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9">
    <w:name w:val="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70">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1">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2">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73">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74">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5">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76">
    <w:name w:val="列出段落1"/>
    <w:basedOn w:val="1"/>
    <w:qFormat/>
    <w:uiPriority w:val="0"/>
    <w:pPr>
      <w:suppressAutoHyphens/>
      <w:ind w:left="720"/>
      <w:jc w:val="left"/>
    </w:pPr>
    <w:rPr>
      <w:rFonts w:eastAsia="Times New Roman"/>
      <w:kern w:val="0"/>
      <w:sz w:val="24"/>
      <w:szCs w:val="24"/>
      <w:lang w:eastAsia="ar-SA"/>
    </w:rPr>
  </w:style>
  <w:style w:type="paragraph" w:customStyle="1" w:styleId="77">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8">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79">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80">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81">
    <w:name w:val="Standard"/>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82">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83">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4">
    <w:name w:val="UP标题3"/>
    <w:basedOn w:val="1"/>
    <w:qFormat/>
    <w:uiPriority w:val="0"/>
    <w:pPr>
      <w:spacing w:line="360" w:lineRule="auto"/>
      <w:ind w:firstLine="149" w:firstLineChars="149"/>
    </w:pPr>
    <w:rPr>
      <w:rFonts w:ascii="黑体" w:hAnsi="Calibri" w:eastAsia="黑体" w:cs="宋体"/>
      <w:szCs w:val="28"/>
    </w:rPr>
  </w:style>
  <w:style w:type="paragraph" w:customStyle="1" w:styleId="85">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6">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7">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88">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89">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90">
    <w:name w:val="列表段落1"/>
    <w:basedOn w:val="1"/>
    <w:qFormat/>
    <w:uiPriority w:val="34"/>
    <w:pPr>
      <w:ind w:firstLine="420" w:firstLineChars="200"/>
    </w:pPr>
    <w:rPr>
      <w:rFonts w:eastAsia="Times New Roman"/>
      <w:sz w:val="21"/>
      <w:szCs w:val="24"/>
    </w:rPr>
  </w:style>
  <w:style w:type="paragraph" w:customStyle="1" w:styleId="91">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92">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93">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94">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95">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96">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97">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98">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character" w:customStyle="1" w:styleId="99">
    <w:name w:val="标题 1 字符"/>
    <w:basedOn w:val="27"/>
    <w:link w:val="3"/>
    <w:qFormat/>
    <w:uiPriority w:val="0"/>
    <w:rPr>
      <w:rFonts w:ascii="黑体" w:eastAsia="黑体"/>
      <w:sz w:val="60"/>
    </w:rPr>
  </w:style>
  <w:style w:type="character" w:customStyle="1" w:styleId="100">
    <w:name w:val="纯文本 Char"/>
    <w:qFormat/>
    <w:uiPriority w:val="0"/>
    <w:rPr>
      <w:rFonts w:ascii="宋体" w:hAnsi="Courier New"/>
      <w:sz w:val="24"/>
    </w:rPr>
  </w:style>
  <w:style w:type="character" w:customStyle="1" w:styleId="101">
    <w:name w:val="纯文本 字符"/>
    <w:basedOn w:val="27"/>
    <w:link w:val="14"/>
    <w:qFormat/>
    <w:uiPriority w:val="0"/>
    <w:rPr>
      <w:rFonts w:ascii="宋体" w:hAnsi="Courier New" w:cs="Courier New"/>
      <w:kern w:val="2"/>
      <w:sz w:val="21"/>
      <w:szCs w:val="21"/>
    </w:rPr>
  </w:style>
  <w:style w:type="paragraph" w:customStyle="1" w:styleId="102">
    <w:name w:val="Default"/>
    <w:qFormat/>
    <w:uiPriority w:val="0"/>
    <w:pPr>
      <w:autoSpaceDE w:val="0"/>
      <w:autoSpaceDN w:val="0"/>
      <w:adjustRightInd w:val="0"/>
    </w:pPr>
    <w:rPr>
      <w:rFonts w:ascii="Calibri" w:hAnsi="Calibri" w:eastAsia="宋体" w:cs="Calibri"/>
      <w:color w:val="000000"/>
      <w:sz w:val="24"/>
      <w:szCs w:val="24"/>
      <w:lang w:val="en-US" w:eastAsia="zh-CN" w:bidi="ar-SA"/>
    </w:rPr>
  </w:style>
  <w:style w:type="character" w:customStyle="1" w:styleId="103">
    <w:name w:val="批注文字 字符"/>
    <w:basedOn w:val="27"/>
    <w:link w:val="9"/>
    <w:semiHidden/>
    <w:qFormat/>
    <w:uiPriority w:val="0"/>
    <w:rPr>
      <w:rFonts w:eastAsia="仿宋_GB2312"/>
      <w:kern w:val="2"/>
      <w:sz w:val="28"/>
    </w:rPr>
  </w:style>
  <w:style w:type="character" w:customStyle="1" w:styleId="104">
    <w:name w:val="批注主题 字符"/>
    <w:basedOn w:val="103"/>
    <w:link w:val="24"/>
    <w:qFormat/>
    <w:uiPriority w:val="0"/>
    <w:rPr>
      <w:rFonts w:eastAsia="仿宋_GB2312"/>
      <w:b/>
      <w:bCs/>
      <w:kern w:val="2"/>
      <w:sz w:val="28"/>
    </w:rPr>
  </w:style>
  <w:style w:type="character" w:customStyle="1" w:styleId="105">
    <w:name w:val="批注框文本 字符"/>
    <w:basedOn w:val="27"/>
    <w:link w:val="1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设备招标.dot</Template>
  <Company>设备办</Company>
  <Pages>16</Pages>
  <Words>8238</Words>
  <Characters>8677</Characters>
  <Lines>72</Lines>
  <Paragraphs>20</Paragraphs>
  <TotalTime>7</TotalTime>
  <ScaleCrop>false</ScaleCrop>
  <LinksUpToDate>false</LinksUpToDate>
  <CharactersWithSpaces>9680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2022-04-13T04:03:00Z</dcterms:created>
  <dc:creator>许慰玲</dc:creator>
  <cp:lastModifiedBy>微笑</cp:lastModifiedBy>
  <cp:lastPrinted>2022-09-19T01:35:00Z</cp:lastPrinted>
  <dcterms:modified xsi:type="dcterms:W3CDTF">2023-11-01T07:06:26Z</dcterms:modified>
  <dc:title>广东省政府采购中心</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F8EBA0EB53054367AB096538EDEC7DB5_13</vt:lpwstr>
  </property>
</Properties>
</file>