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24"/>
        </w:rPr>
      </w:pPr>
      <w:r>
        <w:rPr>
          <w:rFonts w:hint="eastAsia" w:ascii="宋体" w:hAnsi="宋体"/>
          <w:b/>
          <w:sz w:val="24"/>
        </w:rPr>
        <w:t>汕头大学医学院附属肿瘤医院患者及医院职工满意度第三方调查委托服务项目 招标文件</w:t>
      </w:r>
      <w:bookmarkStart w:id="4" w:name="_GoBack"/>
      <w:bookmarkEnd w:id="4"/>
    </w:p>
    <w:p>
      <w:pPr>
        <w:rPr>
          <w:rFonts w:hint="eastAsia"/>
          <w:b/>
          <w:sz w:val="24"/>
        </w:rPr>
      </w:pPr>
      <w:r>
        <w:rPr>
          <w:rFonts w:hint="eastAsia"/>
          <w:b/>
          <w:sz w:val="24"/>
        </w:rPr>
        <w:t>一、招标类别：公共服务</w:t>
      </w:r>
    </w:p>
    <w:p>
      <w:pPr>
        <w:rPr>
          <w:rFonts w:hint="eastAsia"/>
          <w:b/>
          <w:sz w:val="24"/>
        </w:rPr>
      </w:pPr>
      <w:r>
        <w:rPr>
          <w:rFonts w:hint="eastAsia"/>
          <w:b/>
          <w:sz w:val="24"/>
        </w:rPr>
        <w:t>二、招标编号：ZW2023-17</w:t>
      </w:r>
    </w:p>
    <w:p>
      <w:pPr>
        <w:ind w:left="1771" w:hanging="1771" w:hangingChars="735"/>
        <w:rPr>
          <w:rFonts w:hint="eastAsia"/>
          <w:b/>
          <w:sz w:val="24"/>
        </w:rPr>
      </w:pPr>
      <w:r>
        <w:rPr>
          <w:rFonts w:hint="eastAsia"/>
          <w:b/>
          <w:sz w:val="24"/>
        </w:rPr>
        <w:t>三、招标内容： 患者及医院职工满意度第三方调查委托服务</w:t>
      </w:r>
    </w:p>
    <w:p>
      <w:pPr>
        <w:rPr>
          <w:rFonts w:hint="eastAsia" w:ascii="宋体" w:hAnsi="宋体"/>
          <w:b/>
          <w:sz w:val="24"/>
        </w:rPr>
      </w:pPr>
      <w:r>
        <w:rPr>
          <w:rFonts w:hint="eastAsia" w:ascii="宋体" w:hAnsi="宋体"/>
          <w:b/>
          <w:sz w:val="24"/>
        </w:rPr>
        <w:t>四、项目概况：</w:t>
      </w:r>
    </w:p>
    <w:p>
      <w:pPr>
        <w:ind w:firstLine="480" w:firstLineChars="200"/>
        <w:rPr>
          <w:rFonts w:hint="eastAsia" w:ascii="宋体" w:hAnsi="宋体"/>
          <w:sz w:val="24"/>
        </w:rPr>
      </w:pPr>
      <w:r>
        <w:rPr>
          <w:rFonts w:hint="eastAsia" w:ascii="宋体" w:hAnsi="宋体"/>
          <w:sz w:val="24"/>
        </w:rPr>
        <w:t>我院目前是粤东地区唯一一所集预防、医疗、教学和科研为一体的非营利性三级甲等肿瘤专科医院，下设两个运行院区：饶平路院区（饶平路7号），开放床位数323张；大学路院区（学成路），开放床位数678张。现有职工980人。</w:t>
      </w:r>
    </w:p>
    <w:p>
      <w:pPr>
        <w:rPr>
          <w:rFonts w:hint="eastAsia" w:ascii="宋体" w:hAnsi="宋体"/>
          <w:b/>
          <w:sz w:val="24"/>
        </w:rPr>
      </w:pPr>
      <w:r>
        <w:rPr>
          <w:rFonts w:hint="eastAsia" w:ascii="宋体" w:hAnsi="宋体"/>
          <w:sz w:val="24"/>
        </w:rPr>
        <w:t>为加强管理，引进第三方机构开展满意度调查工作，相关调查结果用于质量改进，同时纳入绩效考评。</w:t>
      </w:r>
    </w:p>
    <w:p>
      <w:pPr>
        <w:ind w:firstLine="360" w:firstLineChars="150"/>
        <w:rPr>
          <w:rFonts w:hint="eastAsia" w:ascii="宋体" w:hAnsi="宋体"/>
          <w:sz w:val="24"/>
        </w:rPr>
      </w:pPr>
      <w:r>
        <w:rPr>
          <w:rFonts w:hint="eastAsia" w:ascii="宋体" w:hAnsi="宋体"/>
          <w:sz w:val="24"/>
        </w:rPr>
        <w:t>根据广东省公立医院绩效评价指标体系要求，开展医院患者和医院职工满意度第三方评价工作，</w:t>
      </w:r>
      <w:r>
        <w:rPr>
          <w:rFonts w:hint="eastAsia" w:ascii="宋体" w:hAnsi="宋体"/>
          <w:b/>
          <w:sz w:val="24"/>
        </w:rPr>
        <w:t>实行期限为2年</w:t>
      </w:r>
      <w:r>
        <w:rPr>
          <w:rFonts w:hint="eastAsia" w:ascii="宋体" w:hAnsi="宋体"/>
          <w:sz w:val="24"/>
        </w:rPr>
        <w:t>，服务费按年进行结算，具体以合同签订为准。</w:t>
      </w:r>
    </w:p>
    <w:p>
      <w:pPr>
        <w:ind w:firstLine="360" w:firstLineChars="150"/>
        <w:rPr>
          <w:rFonts w:hint="eastAsia" w:ascii="宋体" w:hAnsi="宋体"/>
          <w:sz w:val="24"/>
        </w:rPr>
      </w:pPr>
      <w:r>
        <w:rPr>
          <w:rFonts w:hint="eastAsia" w:ascii="宋体" w:hAnsi="宋体"/>
          <w:sz w:val="24"/>
        </w:rPr>
        <w:t>五、投标人资格条件：</w:t>
      </w:r>
    </w:p>
    <w:p>
      <w:pPr>
        <w:numPr>
          <w:ilvl w:val="0"/>
          <w:numId w:val="1"/>
        </w:numPr>
        <w:rPr>
          <w:rFonts w:hint="eastAsia"/>
        </w:rPr>
      </w:pPr>
      <w:r>
        <w:rPr>
          <w:rFonts w:hint="eastAsia" w:ascii="宋体" w:hAnsi="宋体"/>
          <w:sz w:val="24"/>
        </w:rPr>
        <w:t xml:space="preserve">    </w:t>
      </w:r>
      <w:r>
        <w:rPr>
          <w:rFonts w:hint="eastAsia"/>
        </w:rPr>
        <w:t>投标人应具备《政府采购法》第二十二条规定的条件。</w:t>
      </w:r>
    </w:p>
    <w:p>
      <w:pPr>
        <w:rPr>
          <w:rFonts w:hint="eastAsia"/>
        </w:rPr>
      </w:pPr>
      <w:r>
        <w:rPr>
          <w:rFonts w:hint="eastAsia"/>
        </w:rPr>
        <w:t>1.1投标人须是在中华人民共和国境内注册的具有独立承担民事责任能力的国内独立法人；</w:t>
      </w:r>
    </w:p>
    <w:p>
      <w:pPr>
        <w:rPr>
          <w:rFonts w:hint="eastAsia"/>
        </w:rPr>
      </w:pPr>
      <w:r>
        <w:rPr>
          <w:rFonts w:hint="eastAsia"/>
        </w:rPr>
        <w:t xml:space="preserve">1.2投标人须提供在中华人民共和国境内注册的法人或分支机构（分支机构提供法人授权书复印件加盖分支机构公章）或其他组织的营业执照等（或事业单位法人证书，或社会团体法人登记证书）、组织机构代码证、税务登记证【如已办理了多证合一，则仅需提供合证后的营业执照】证明文件复印件(加盖公章)； </w:t>
      </w:r>
    </w:p>
    <w:p>
      <w:pPr>
        <w:rPr>
          <w:rFonts w:hint="eastAsia"/>
        </w:rPr>
      </w:pPr>
      <w:r>
        <w:rPr>
          <w:rFonts w:hint="eastAsia"/>
        </w:rPr>
        <w:t>1.</w:t>
      </w:r>
      <w:r>
        <w:rPr>
          <w:rFonts w:hint="eastAsia" w:ascii="宋体" w:hAnsi="宋体"/>
          <w:sz w:val="24"/>
        </w:rPr>
        <w:t>3</w:t>
      </w:r>
      <w:r>
        <w:rPr>
          <w:rFonts w:hint="eastAsia"/>
        </w:rPr>
        <w:t>投标人须具有有效的且具备相关经营范围的营业执照；</w:t>
      </w:r>
    </w:p>
    <w:p>
      <w:pPr>
        <w:rPr>
          <w:rFonts w:hint="eastAsia"/>
        </w:rPr>
      </w:pPr>
      <w:r>
        <w:rPr>
          <w:rFonts w:hint="eastAsia"/>
        </w:rPr>
        <w:t>1.</w:t>
      </w:r>
      <w:r>
        <w:rPr>
          <w:rFonts w:hint="eastAsia" w:ascii="宋体" w:hAnsi="宋体"/>
          <w:sz w:val="24"/>
        </w:rPr>
        <w:t>4</w:t>
      </w:r>
      <w:r>
        <w:rPr>
          <w:rFonts w:hint="eastAsia"/>
        </w:rPr>
        <w:t>投标人须提供参加政府采购活动前3年内在经营活动中没有重大违法记录的书面声明；（提供《参加政府采购活动前三年内在经营活动中没有重大违法记录的声明函》）（或提供汕头市政府采购投标人信用承诺函）</w:t>
      </w:r>
    </w:p>
    <w:p>
      <w:pPr>
        <w:rPr>
          <w:rFonts w:hint="eastAsia"/>
        </w:rPr>
      </w:pPr>
      <w:r>
        <w:rPr>
          <w:rFonts w:hint="eastAsia"/>
        </w:rPr>
        <w:t>1.</w:t>
      </w:r>
      <w:r>
        <w:rPr>
          <w:rFonts w:hint="eastAsia" w:ascii="宋体" w:hAnsi="宋体"/>
          <w:sz w:val="24"/>
        </w:rPr>
        <w:t>5</w:t>
      </w:r>
      <w:r>
        <w:rPr>
          <w:rFonts w:hint="eastAsia"/>
        </w:rPr>
        <w:t>、投标人必须符合法律、行政法规规定的其他条件；</w:t>
      </w:r>
    </w:p>
    <w:p>
      <w:pPr>
        <w:rPr>
          <w:rFonts w:hint="eastAsia"/>
        </w:rPr>
      </w:pPr>
      <w:r>
        <w:rPr>
          <w:rFonts w:hint="eastAsia"/>
        </w:rPr>
        <w:t>2、本项目的特定资格要求：</w:t>
      </w:r>
    </w:p>
    <w:p>
      <w:pPr>
        <w:rPr>
          <w:rFonts w:hint="eastAsia"/>
        </w:rPr>
      </w:pPr>
      <w:r>
        <w:rPr>
          <w:rFonts w:hint="eastAsia"/>
        </w:rPr>
        <w:t>2.1根据《中华人民共和国政府采购法实施条例》第十八条的规定，单位负责人为同一人或者存在直接控股、管理关系的不同投标人，不得参加同一合同项下的政府采购活动，投标人应在《投标人资格的声明函》中如实做出承诺；</w:t>
      </w:r>
    </w:p>
    <w:p>
      <w:pPr>
        <w:rPr>
          <w:rFonts w:hint="eastAsia"/>
        </w:rPr>
      </w:pPr>
      <w:r>
        <w:rPr>
          <w:rFonts w:hint="eastAsia"/>
        </w:rPr>
        <w:t>3、本项目不接受联合体投标。</w:t>
      </w:r>
    </w:p>
    <w:p>
      <w:pPr>
        <w:rPr>
          <w:rFonts w:hint="eastAsia"/>
        </w:rPr>
      </w:pPr>
      <w:r>
        <w:rPr>
          <w:rFonts w:hint="eastAsia"/>
        </w:rPr>
        <w:t>说明：获取采购文件时，投标人代表须提供以下资料：（所有资料复印件均需加盖投标人公章）</w:t>
      </w:r>
    </w:p>
    <w:p>
      <w:pPr>
        <w:rPr>
          <w:rFonts w:hint="eastAsia"/>
        </w:rPr>
      </w:pPr>
      <w:r>
        <w:rPr>
          <w:rFonts w:hint="eastAsia"/>
        </w:rPr>
        <w:t>3.1</w:t>
      </w:r>
      <w:r>
        <w:rPr>
          <w:rFonts w:hint="eastAsia"/>
        </w:rPr>
        <w:tab/>
      </w:r>
      <w:r>
        <w:rPr>
          <w:rFonts w:hint="eastAsia"/>
        </w:rPr>
        <w:t>须提供在中华人民共和国境内注册的法人或其他组织的营业执照；</w:t>
      </w:r>
    </w:p>
    <w:p>
      <w:pPr>
        <w:rPr>
          <w:rFonts w:hint="eastAsia"/>
        </w:rPr>
      </w:pPr>
      <w:r>
        <w:rPr>
          <w:rFonts w:hint="eastAsia"/>
        </w:rPr>
        <w:t>3.2《法定代表人证明书》和法定代表人身份证复印件、《法定代表人授权委托书》和授权代表身份证复印件；（如法定代表人亲自办理获取采购文件事宜的，无需提交法定代表人授权委托书及授权代表身份证复印件。）；</w:t>
      </w:r>
    </w:p>
    <w:p>
      <w:pPr>
        <w:rPr>
          <w:rFonts w:hint="eastAsia"/>
        </w:rPr>
      </w:pPr>
      <w:r>
        <w:rPr>
          <w:rFonts w:hint="eastAsia"/>
        </w:rPr>
        <w:t>以上文件在报名登记时必须提供原件核对，文件提供人应保证以上文件真实可靠，如因所提供文件不实导致与本项目有关的任何损失由提供人承担</w:t>
      </w:r>
    </w:p>
    <w:p>
      <w:pPr>
        <w:rPr>
          <w:rFonts w:hint="eastAsia"/>
        </w:rPr>
      </w:pPr>
      <w:r>
        <w:rPr>
          <w:rFonts w:hint="eastAsia" w:ascii="宋体" w:hAnsi="宋体"/>
          <w:sz w:val="24"/>
        </w:rPr>
        <w:t>4</w:t>
      </w:r>
      <w:r>
        <w:rPr>
          <w:rFonts w:hint="eastAsia"/>
        </w:rPr>
        <w:t>.投标人未被列入“信用中国”网站（www.creditchina.gov.cn）失信被执行人、重大税收违法案件当事人名单、政府采购严重违约失信行为记录名单。同时，不处于中国政府采购网（www.ccgp.gov.cn）“政府采购严重违法失信行为信息记录”中的禁止参加政府采购活动期间。【投标人于投标报名截止日在“信用中国”网站（www.creditchina.gov.cn）及中国政府采购网（www.ccgp.gov.cn）查询结果截图并加盖公章为准】</w:t>
      </w:r>
    </w:p>
    <w:p>
      <w:pPr>
        <w:ind w:firstLine="360" w:firstLineChars="150"/>
        <w:rPr>
          <w:rFonts w:ascii="宋体" w:hAnsi="宋体"/>
          <w:sz w:val="24"/>
        </w:rPr>
      </w:pPr>
    </w:p>
    <w:p>
      <w:pPr>
        <w:rPr>
          <w:rFonts w:ascii="宋体" w:hAnsi="宋体"/>
          <w:b/>
          <w:sz w:val="24"/>
        </w:rPr>
      </w:pPr>
      <w:r>
        <w:rPr>
          <w:rFonts w:hint="eastAsia" w:ascii="宋体" w:hAnsi="宋体"/>
          <w:b/>
          <w:sz w:val="24"/>
        </w:rPr>
        <w:t>五、用户需求：</w:t>
      </w:r>
    </w:p>
    <w:p>
      <w:pPr>
        <w:numPr>
          <w:ilvl w:val="0"/>
          <w:numId w:val="2"/>
        </w:numPr>
      </w:pPr>
      <w:r>
        <w:rPr>
          <w:rFonts w:hint="eastAsia"/>
        </w:rPr>
        <w:t>项目服务时间：2024-2025年度（两年）</w:t>
      </w:r>
    </w:p>
    <w:p>
      <w:pPr>
        <w:numPr>
          <w:ilvl w:val="0"/>
          <w:numId w:val="2"/>
        </w:numPr>
      </w:pPr>
      <w:r>
        <w:rPr>
          <w:rFonts w:hint="eastAsia"/>
        </w:rPr>
        <w:t>最高限价：人民币壹拾万元（</w:t>
      </w:r>
      <w:r>
        <w:rPr>
          <w:rFonts w:hint="eastAsia" w:ascii="宋体" w:hAnsi="宋体" w:cs="宋体"/>
        </w:rPr>
        <w:t>￥</w:t>
      </w:r>
      <w:r>
        <w:rPr>
          <w:rFonts w:hint="eastAsia"/>
        </w:rPr>
        <w:t>100，000.00）</w:t>
      </w:r>
    </w:p>
    <w:p>
      <w:pPr>
        <w:numPr>
          <w:ilvl w:val="0"/>
          <w:numId w:val="2"/>
        </w:numPr>
      </w:pPr>
      <w:r>
        <w:rPr>
          <w:rFonts w:hint="eastAsia"/>
        </w:rPr>
        <w:t>项目内容：以半年为时间单位开展患者满意度度调查，出具半年度患者满意度调查报告（如遇特殊情况，可适当调整调查周期）；开展年度职工满意度调查，出具调查报告。</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6"/>
        <w:gridCol w:w="902"/>
        <w:gridCol w:w="763"/>
        <w:gridCol w:w="960"/>
        <w:gridCol w:w="3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6" w:type="dxa"/>
            <w:noWrap w:val="0"/>
            <w:vAlign w:val="top"/>
          </w:tcPr>
          <w:p>
            <w:r>
              <w:rPr>
                <w:rFonts w:hint="eastAsia"/>
              </w:rPr>
              <w:t>项目名称</w:t>
            </w:r>
          </w:p>
        </w:tc>
        <w:tc>
          <w:tcPr>
            <w:tcW w:w="902" w:type="dxa"/>
            <w:noWrap w:val="0"/>
            <w:vAlign w:val="top"/>
          </w:tcPr>
          <w:p>
            <w:r>
              <w:rPr>
                <w:rFonts w:hint="eastAsia"/>
              </w:rPr>
              <w:t>数量</w:t>
            </w:r>
          </w:p>
        </w:tc>
        <w:tc>
          <w:tcPr>
            <w:tcW w:w="763" w:type="dxa"/>
            <w:noWrap w:val="0"/>
            <w:vAlign w:val="top"/>
          </w:tcPr>
          <w:p>
            <w:r>
              <w:rPr>
                <w:rFonts w:hint="eastAsia"/>
              </w:rPr>
              <w:t>单位</w:t>
            </w:r>
          </w:p>
        </w:tc>
        <w:tc>
          <w:tcPr>
            <w:tcW w:w="960" w:type="dxa"/>
            <w:noWrap w:val="0"/>
            <w:vAlign w:val="top"/>
          </w:tcPr>
          <w:p>
            <w:r>
              <w:rPr>
                <w:rFonts w:hint="eastAsia"/>
              </w:rPr>
              <w:t>服务期</w:t>
            </w:r>
          </w:p>
        </w:tc>
        <w:tc>
          <w:tcPr>
            <w:tcW w:w="3391" w:type="dxa"/>
            <w:noWrap w:val="0"/>
            <w:vAlign w:val="top"/>
          </w:tcPr>
          <w:p>
            <w:r>
              <w:rPr>
                <w:rFonts w:hint="eastAsia"/>
              </w:rPr>
              <w:t>最高总价限价（人民币）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6" w:type="dxa"/>
            <w:noWrap w:val="0"/>
            <w:vAlign w:val="top"/>
          </w:tcPr>
          <w:p>
            <w:r>
              <w:rPr>
                <w:rFonts w:hint="eastAsia"/>
              </w:rPr>
              <w:t>2024-2025年度第三方满意度调查服务项目招标</w:t>
            </w:r>
          </w:p>
        </w:tc>
        <w:tc>
          <w:tcPr>
            <w:tcW w:w="902" w:type="dxa"/>
            <w:noWrap w:val="0"/>
            <w:vAlign w:val="top"/>
          </w:tcPr>
          <w:p>
            <w:r>
              <w:rPr>
                <w:rFonts w:hint="eastAsia"/>
              </w:rPr>
              <w:t>1</w:t>
            </w:r>
          </w:p>
        </w:tc>
        <w:tc>
          <w:tcPr>
            <w:tcW w:w="763" w:type="dxa"/>
            <w:noWrap w:val="0"/>
            <w:vAlign w:val="top"/>
          </w:tcPr>
          <w:p>
            <w:r>
              <w:rPr>
                <w:rFonts w:hint="eastAsia"/>
              </w:rPr>
              <w:t>项</w:t>
            </w:r>
          </w:p>
        </w:tc>
        <w:tc>
          <w:tcPr>
            <w:tcW w:w="960" w:type="dxa"/>
            <w:noWrap w:val="0"/>
            <w:vAlign w:val="top"/>
          </w:tcPr>
          <w:p>
            <w:r>
              <w:rPr>
                <w:rFonts w:hint="eastAsia"/>
              </w:rPr>
              <w:t>两年</w:t>
            </w:r>
          </w:p>
        </w:tc>
        <w:tc>
          <w:tcPr>
            <w:tcW w:w="3391" w:type="dxa"/>
            <w:noWrap w:val="0"/>
            <w:vAlign w:val="top"/>
          </w:tcPr>
          <w:p>
            <w:pPr>
              <w:jc w:val="center"/>
              <w:rPr>
                <w:b/>
                <w:bCs/>
              </w:rPr>
            </w:pPr>
            <w:r>
              <w:rPr>
                <w:rFonts w:hint="eastAsia"/>
                <w:b/>
                <w:bCs/>
              </w:rPr>
              <w:t>10.00万元/两年</w:t>
            </w:r>
          </w:p>
          <w:p>
            <w:r>
              <w:rPr>
                <w:rFonts w:hint="eastAsia"/>
                <w:b/>
                <w:bCs/>
              </w:rPr>
              <w:t>凡高于最高限价的投标，一律视为无效投标。</w:t>
            </w:r>
          </w:p>
        </w:tc>
      </w:tr>
    </w:tbl>
    <w:p>
      <w:pPr>
        <w:rPr>
          <w:b/>
          <w:bCs/>
        </w:rPr>
      </w:pPr>
      <w:r>
        <w:rPr>
          <w:rFonts w:hint="eastAsia"/>
          <w:b/>
          <w:bCs/>
        </w:rPr>
        <w:t>4.调查对象、样本量</w:t>
      </w:r>
    </w:p>
    <w:p>
      <w:r>
        <w:rPr>
          <w:rFonts w:hint="eastAsia"/>
        </w:rPr>
        <w:t xml:space="preserve">   每半年开展一次门诊、住院、出院患者满意度调查，每个测评对象（饶平路院区门诊患者不低于100份、住院患者不低于200份、出院患者不低于100份，大学路院区门诊患者不低于150份、住院患者不低于500份、出院患者不低于150份），样本涵盖每个科室，各科室平均分配调查问卷，样本总量不低于1200份。每年开展一次职工满意度调查（含员工对医院的满意度、临床科室对医技医辅科室满意度和员工对行政后勤部门综合测评），样本量不低于800份。</w:t>
      </w:r>
    </w:p>
    <w:p>
      <w:pPr>
        <w:rPr>
          <w:b/>
          <w:bCs/>
        </w:rPr>
      </w:pPr>
      <w:r>
        <w:rPr>
          <w:rFonts w:hint="eastAsia"/>
          <w:b/>
          <w:bCs/>
        </w:rPr>
        <w:t>5.调查方式</w:t>
      </w:r>
    </w:p>
    <w:p>
      <w:r>
        <w:rPr>
          <w:rFonts w:hint="eastAsia"/>
        </w:rPr>
        <w:t xml:space="preserve">   调查形式包含面访、计算机辅助电话访问、短信、微信等。</w:t>
      </w:r>
    </w:p>
    <w:p>
      <w:pPr>
        <w:rPr>
          <w:b/>
          <w:bCs/>
        </w:rPr>
      </w:pPr>
      <w:r>
        <w:rPr>
          <w:rFonts w:hint="eastAsia"/>
          <w:b/>
          <w:bCs/>
        </w:rPr>
        <w:t>6.调查资料、报告的提交</w:t>
      </w:r>
    </w:p>
    <w:p>
      <w:r>
        <w:rPr>
          <w:rFonts w:hint="eastAsia"/>
        </w:rPr>
        <w:t xml:space="preserve">   每次调查周期结束15日内将本期满意度数据资料反馈给采购人，内容需要包括样本量（含总样本量、回访成功数、回访成功率、回访成果病例的相关信息）、特别表扬和批评信息汇总、各分项调查项目综合评价汇总、调查原始数据等；编制调查评价报告，内容需包含测评对象的满意度情况、结果分析、提出意见与建议等；协助提交与调查测评相关（如三甲评审、绩效考核等）的其他报告及数据资料。祥见下表：</w:t>
      </w:r>
    </w:p>
    <w:p>
      <w:r>
        <w:rPr>
          <w:rFonts w:hint="eastAsia"/>
        </w:rPr>
        <w:t xml:space="preserve"> </w:t>
      </w:r>
    </w:p>
    <w:tbl>
      <w:tblPr>
        <w:tblStyle w:val="5"/>
        <w:tblW w:w="8415" w:type="dxa"/>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75"/>
        <w:gridCol w:w="945"/>
        <w:gridCol w:w="1650"/>
        <w:gridCol w:w="750"/>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5" w:type="dxa"/>
            <w:noWrap w:val="0"/>
            <w:vAlign w:val="top"/>
          </w:tcPr>
          <w:p>
            <w:r>
              <w:rPr>
                <w:rFonts w:hint="eastAsia"/>
              </w:rPr>
              <w:t>项目</w:t>
            </w:r>
          </w:p>
        </w:tc>
        <w:tc>
          <w:tcPr>
            <w:tcW w:w="945" w:type="dxa"/>
            <w:noWrap w:val="0"/>
            <w:vAlign w:val="top"/>
          </w:tcPr>
          <w:p>
            <w:r>
              <w:rPr>
                <w:rFonts w:hint="eastAsia"/>
              </w:rPr>
              <w:t>频次</w:t>
            </w:r>
          </w:p>
        </w:tc>
        <w:tc>
          <w:tcPr>
            <w:tcW w:w="1650" w:type="dxa"/>
            <w:noWrap w:val="0"/>
            <w:vAlign w:val="top"/>
          </w:tcPr>
          <w:p>
            <w:r>
              <w:rPr>
                <w:rFonts w:hint="eastAsia"/>
              </w:rPr>
              <w:t>形式</w:t>
            </w:r>
          </w:p>
        </w:tc>
        <w:tc>
          <w:tcPr>
            <w:tcW w:w="750" w:type="dxa"/>
            <w:noWrap w:val="0"/>
            <w:vAlign w:val="top"/>
          </w:tcPr>
          <w:p>
            <w:r>
              <w:rPr>
                <w:rFonts w:hint="eastAsia"/>
              </w:rPr>
              <w:t>份/次</w:t>
            </w:r>
          </w:p>
        </w:tc>
        <w:tc>
          <w:tcPr>
            <w:tcW w:w="1395" w:type="dxa"/>
            <w:noWrap w:val="0"/>
            <w:vAlign w:val="top"/>
          </w:tcPr>
          <w:p>
            <w:r>
              <w:rPr>
                <w:rFonts w:hint="eastAsia"/>
              </w:rPr>
              <w:t>数量合计/年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5" w:type="dxa"/>
            <w:noWrap w:val="0"/>
            <w:vAlign w:val="top"/>
          </w:tcPr>
          <w:p>
            <w:r>
              <w:rPr>
                <w:rFonts w:hint="eastAsia"/>
              </w:rPr>
              <w:t>患者满意度总体调查测评报告</w:t>
            </w:r>
          </w:p>
        </w:tc>
        <w:tc>
          <w:tcPr>
            <w:tcW w:w="945" w:type="dxa"/>
            <w:noWrap w:val="0"/>
            <w:vAlign w:val="top"/>
          </w:tcPr>
          <w:p>
            <w:r>
              <w:rPr>
                <w:rFonts w:hint="eastAsia"/>
              </w:rPr>
              <w:t>年度</w:t>
            </w:r>
          </w:p>
        </w:tc>
        <w:tc>
          <w:tcPr>
            <w:tcW w:w="1650" w:type="dxa"/>
            <w:noWrap w:val="0"/>
            <w:vAlign w:val="top"/>
          </w:tcPr>
          <w:p>
            <w:r>
              <w:rPr>
                <w:rFonts w:hint="eastAsia"/>
              </w:rPr>
              <w:t>电子版+纸质版</w:t>
            </w:r>
          </w:p>
        </w:tc>
        <w:tc>
          <w:tcPr>
            <w:tcW w:w="750" w:type="dxa"/>
            <w:noWrap w:val="0"/>
            <w:vAlign w:val="top"/>
          </w:tcPr>
          <w:p>
            <w:r>
              <w:rPr>
                <w:rFonts w:hint="eastAsia"/>
              </w:rPr>
              <w:t>1</w:t>
            </w:r>
          </w:p>
        </w:tc>
        <w:tc>
          <w:tcPr>
            <w:tcW w:w="1395" w:type="dxa"/>
            <w:noWrap w:val="0"/>
            <w:vAlign w:val="top"/>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5" w:type="dxa"/>
            <w:noWrap w:val="0"/>
            <w:vAlign w:val="top"/>
          </w:tcPr>
          <w:p>
            <w:r>
              <w:rPr>
                <w:rFonts w:hint="eastAsia"/>
              </w:rPr>
              <w:t>患者满意度饶平路院区调查测评报告</w:t>
            </w:r>
          </w:p>
        </w:tc>
        <w:tc>
          <w:tcPr>
            <w:tcW w:w="945" w:type="dxa"/>
            <w:noWrap w:val="0"/>
            <w:vAlign w:val="top"/>
          </w:tcPr>
          <w:p>
            <w:r>
              <w:rPr>
                <w:rFonts w:hint="eastAsia"/>
              </w:rPr>
              <w:t>半年度</w:t>
            </w:r>
          </w:p>
        </w:tc>
        <w:tc>
          <w:tcPr>
            <w:tcW w:w="1650" w:type="dxa"/>
            <w:noWrap w:val="0"/>
            <w:vAlign w:val="top"/>
          </w:tcPr>
          <w:p>
            <w:r>
              <w:rPr>
                <w:rFonts w:hint="eastAsia"/>
              </w:rPr>
              <w:t>电子版+纸质版</w:t>
            </w:r>
          </w:p>
        </w:tc>
        <w:tc>
          <w:tcPr>
            <w:tcW w:w="750" w:type="dxa"/>
            <w:noWrap w:val="0"/>
            <w:vAlign w:val="top"/>
          </w:tcPr>
          <w:p>
            <w:r>
              <w:rPr>
                <w:rFonts w:hint="eastAsia"/>
              </w:rPr>
              <w:t>1</w:t>
            </w:r>
          </w:p>
        </w:tc>
        <w:tc>
          <w:tcPr>
            <w:tcW w:w="1395" w:type="dxa"/>
            <w:noWrap w:val="0"/>
            <w:vAlign w:val="top"/>
          </w:tcPr>
          <w:p>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5" w:type="dxa"/>
            <w:noWrap w:val="0"/>
            <w:vAlign w:val="top"/>
          </w:tcPr>
          <w:p>
            <w:r>
              <w:rPr>
                <w:rFonts w:hint="eastAsia"/>
              </w:rPr>
              <w:t>患者满意度大学路院区调查测评报告</w:t>
            </w:r>
          </w:p>
        </w:tc>
        <w:tc>
          <w:tcPr>
            <w:tcW w:w="945" w:type="dxa"/>
            <w:noWrap w:val="0"/>
            <w:vAlign w:val="top"/>
          </w:tcPr>
          <w:p>
            <w:r>
              <w:rPr>
                <w:rFonts w:hint="eastAsia"/>
              </w:rPr>
              <w:t>半年度</w:t>
            </w:r>
          </w:p>
        </w:tc>
        <w:tc>
          <w:tcPr>
            <w:tcW w:w="1650" w:type="dxa"/>
            <w:noWrap w:val="0"/>
            <w:vAlign w:val="top"/>
          </w:tcPr>
          <w:p>
            <w:r>
              <w:rPr>
                <w:rFonts w:hint="eastAsia"/>
              </w:rPr>
              <w:t>电子版+纸质版</w:t>
            </w:r>
          </w:p>
        </w:tc>
        <w:tc>
          <w:tcPr>
            <w:tcW w:w="750" w:type="dxa"/>
            <w:noWrap w:val="0"/>
            <w:vAlign w:val="top"/>
          </w:tcPr>
          <w:p>
            <w:r>
              <w:rPr>
                <w:rFonts w:hint="eastAsia"/>
              </w:rPr>
              <w:t>1</w:t>
            </w:r>
          </w:p>
        </w:tc>
        <w:tc>
          <w:tcPr>
            <w:tcW w:w="1395" w:type="dxa"/>
            <w:noWrap w:val="0"/>
            <w:vAlign w:val="top"/>
          </w:tcPr>
          <w:p>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5" w:type="dxa"/>
            <w:noWrap w:val="0"/>
            <w:vAlign w:val="top"/>
          </w:tcPr>
          <w:p>
            <w:r>
              <w:rPr>
                <w:rFonts w:hint="eastAsia"/>
              </w:rPr>
              <w:t>职工满意度总体调查测评报告</w:t>
            </w:r>
          </w:p>
        </w:tc>
        <w:tc>
          <w:tcPr>
            <w:tcW w:w="945" w:type="dxa"/>
            <w:noWrap w:val="0"/>
            <w:vAlign w:val="top"/>
          </w:tcPr>
          <w:p>
            <w:r>
              <w:rPr>
                <w:rFonts w:hint="eastAsia"/>
              </w:rPr>
              <w:t>年度</w:t>
            </w:r>
          </w:p>
        </w:tc>
        <w:tc>
          <w:tcPr>
            <w:tcW w:w="1650" w:type="dxa"/>
            <w:noWrap w:val="0"/>
            <w:vAlign w:val="top"/>
          </w:tcPr>
          <w:p>
            <w:r>
              <w:rPr>
                <w:rFonts w:hint="eastAsia"/>
              </w:rPr>
              <w:t>电子版+纸质版</w:t>
            </w:r>
          </w:p>
        </w:tc>
        <w:tc>
          <w:tcPr>
            <w:tcW w:w="750" w:type="dxa"/>
            <w:noWrap w:val="0"/>
            <w:vAlign w:val="top"/>
          </w:tcPr>
          <w:p>
            <w:r>
              <w:rPr>
                <w:rFonts w:hint="eastAsia"/>
              </w:rPr>
              <w:t>1</w:t>
            </w:r>
          </w:p>
        </w:tc>
        <w:tc>
          <w:tcPr>
            <w:tcW w:w="1395" w:type="dxa"/>
            <w:noWrap w:val="0"/>
            <w:vAlign w:val="top"/>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5" w:type="dxa"/>
            <w:noWrap w:val="0"/>
            <w:vAlign w:val="top"/>
          </w:tcPr>
          <w:p>
            <w:r>
              <w:rPr>
                <w:rFonts w:hint="eastAsia"/>
              </w:rPr>
              <w:t>职工满意度饶平路院区调查测评报告</w:t>
            </w:r>
          </w:p>
        </w:tc>
        <w:tc>
          <w:tcPr>
            <w:tcW w:w="945" w:type="dxa"/>
            <w:noWrap w:val="0"/>
            <w:vAlign w:val="top"/>
          </w:tcPr>
          <w:p>
            <w:r>
              <w:rPr>
                <w:rFonts w:hint="eastAsia"/>
              </w:rPr>
              <w:t>年度</w:t>
            </w:r>
          </w:p>
        </w:tc>
        <w:tc>
          <w:tcPr>
            <w:tcW w:w="1650" w:type="dxa"/>
            <w:noWrap w:val="0"/>
            <w:vAlign w:val="top"/>
          </w:tcPr>
          <w:p>
            <w:r>
              <w:rPr>
                <w:rFonts w:hint="eastAsia"/>
              </w:rPr>
              <w:t>电子版+纸质版</w:t>
            </w:r>
          </w:p>
        </w:tc>
        <w:tc>
          <w:tcPr>
            <w:tcW w:w="750" w:type="dxa"/>
            <w:noWrap w:val="0"/>
            <w:vAlign w:val="top"/>
          </w:tcPr>
          <w:p>
            <w:r>
              <w:rPr>
                <w:rFonts w:hint="eastAsia"/>
              </w:rPr>
              <w:t>1</w:t>
            </w:r>
          </w:p>
        </w:tc>
        <w:tc>
          <w:tcPr>
            <w:tcW w:w="1395" w:type="dxa"/>
            <w:noWrap w:val="0"/>
            <w:vAlign w:val="top"/>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5" w:type="dxa"/>
            <w:noWrap w:val="0"/>
            <w:vAlign w:val="top"/>
          </w:tcPr>
          <w:p>
            <w:r>
              <w:rPr>
                <w:rFonts w:hint="eastAsia"/>
              </w:rPr>
              <w:t>职工满意度大学路院区调查测评报告</w:t>
            </w:r>
          </w:p>
        </w:tc>
        <w:tc>
          <w:tcPr>
            <w:tcW w:w="945" w:type="dxa"/>
            <w:noWrap w:val="0"/>
            <w:vAlign w:val="top"/>
          </w:tcPr>
          <w:p>
            <w:r>
              <w:rPr>
                <w:rFonts w:hint="eastAsia"/>
              </w:rPr>
              <w:t>年度</w:t>
            </w:r>
          </w:p>
        </w:tc>
        <w:tc>
          <w:tcPr>
            <w:tcW w:w="1650" w:type="dxa"/>
            <w:noWrap w:val="0"/>
            <w:vAlign w:val="top"/>
          </w:tcPr>
          <w:p>
            <w:r>
              <w:rPr>
                <w:rFonts w:hint="eastAsia"/>
              </w:rPr>
              <w:t>电子版+纸质版</w:t>
            </w:r>
          </w:p>
        </w:tc>
        <w:tc>
          <w:tcPr>
            <w:tcW w:w="750" w:type="dxa"/>
            <w:noWrap w:val="0"/>
            <w:vAlign w:val="top"/>
          </w:tcPr>
          <w:p>
            <w:r>
              <w:rPr>
                <w:rFonts w:hint="eastAsia"/>
              </w:rPr>
              <w:t>1</w:t>
            </w:r>
          </w:p>
        </w:tc>
        <w:tc>
          <w:tcPr>
            <w:tcW w:w="1395" w:type="dxa"/>
            <w:noWrap w:val="0"/>
            <w:vAlign w:val="top"/>
          </w:tcPr>
          <w:p>
            <w:r>
              <w:rPr>
                <w:rFonts w:hint="eastAsia"/>
              </w:rPr>
              <w:t>1</w:t>
            </w:r>
          </w:p>
        </w:tc>
      </w:tr>
    </w:tbl>
    <w:p/>
    <w:p>
      <w:pPr>
        <w:ind w:firstLine="420" w:firstLineChars="200"/>
      </w:pPr>
      <w:r>
        <w:rPr>
          <w:rFonts w:hint="eastAsia"/>
        </w:rPr>
        <w:t>（1）每半年度结束后15内提交测评报告（WORD/PDF电子版、打印装订一式四份），每年以专题讨论或讲座形式进行反馈。</w:t>
      </w:r>
    </w:p>
    <w:p>
      <w:r>
        <w:rPr>
          <w:rFonts w:hint="eastAsia"/>
        </w:rPr>
        <w:t xml:space="preserve">   （2）调查测评涉及所有资料及成果归采购人独家享有，任何个人及单位未经招标人同意不得引用或公开发表本调查测评成果和相关数据，妥善保管资料，负有保密义务和保密责任，否则，采购人有权追究其法律责任。</w:t>
      </w:r>
    </w:p>
    <w:p>
      <w:r>
        <w:rPr>
          <w:rFonts w:hint="eastAsia"/>
        </w:rPr>
        <w:t xml:space="preserve">   （3）所有操作文件（含调查问卷）应在征得采购人同意后方可付诸执行，未经采购单位同意不得更改。</w:t>
      </w:r>
    </w:p>
    <w:p>
      <w:r>
        <w:rPr>
          <w:rFonts w:hint="eastAsia"/>
        </w:rPr>
        <w:t xml:space="preserve">   （4）投标人需自行完成样本量采集，采购人在能力范围内予以积极配合。</w:t>
      </w:r>
    </w:p>
    <w:p>
      <w:r>
        <w:rPr>
          <w:rFonts w:hint="eastAsia"/>
        </w:rPr>
        <w:t xml:space="preserve">   （5）提供持续、稳定的项目维护服务，及时响应采购人需求。</w:t>
      </w:r>
    </w:p>
    <w:p>
      <w:pPr>
        <w:rPr>
          <w:b/>
          <w:bCs/>
        </w:rPr>
      </w:pPr>
      <w:r>
        <w:rPr>
          <w:rFonts w:hint="eastAsia"/>
          <w:b/>
          <w:bCs/>
        </w:rPr>
        <w:t>7.服务要求</w:t>
      </w:r>
    </w:p>
    <w:p>
      <w:pPr>
        <w:ind w:firstLine="420"/>
      </w:pPr>
      <w:r>
        <w:rPr>
          <w:rFonts w:hint="eastAsia"/>
        </w:rPr>
        <w:t>（1）投标人所制定的调查方案、问卷内容、实施办法、结果报告等都要经过采购人同意才能进行，若达不到质量要求，采购人可以提出终止项目。</w:t>
      </w:r>
    </w:p>
    <w:p>
      <w:pPr>
        <w:ind w:firstLine="420"/>
      </w:pPr>
      <w:r>
        <w:rPr>
          <w:rFonts w:hint="eastAsia"/>
        </w:rPr>
        <w:t>（2）投标人具有提供持续、稳定的项目维护服务，能及时响应采购人的紧急服务需求。</w:t>
      </w:r>
    </w:p>
    <w:p>
      <w:pPr>
        <w:ind w:firstLine="420"/>
      </w:pPr>
      <w:r>
        <w:rPr>
          <w:rFonts w:hint="eastAsia"/>
        </w:rPr>
        <w:t>（3）投标人需具备信息安全相关认证证书，维护采购信息资料安全，保护受调查者隐私，资料保存能满足保密性与安全性要求，回访过程全程录音，且保存半年以上，并能随时调取以便复核。</w:t>
      </w:r>
    </w:p>
    <w:p>
      <w:pPr>
        <w:ind w:firstLine="420"/>
      </w:pPr>
      <w:r>
        <w:rPr>
          <w:rFonts w:hint="eastAsia"/>
        </w:rPr>
        <w:t>（4）投标人需针对本项目成立专门的服务团队，团队成员名单及背景资料需书面提交采购人同意后方可作为执行项目的团队。服务团队要稳定，有固定接洽人员与采购人联系并定期提交成果。服务人员应经过岗前专业培训和同质化培训，包括医院和医疗管理培训、访问培训、问卷内容培训及调查工作培训等；服务人员应具备良好的沟通能力，到采购人各院区开展调查服务，须遵守采购人的相关人员管理规定，必须佩戴有效的身份证明胸卡。</w:t>
      </w:r>
    </w:p>
    <w:p>
      <w:pPr>
        <w:ind w:firstLine="420" w:firstLineChars="200"/>
      </w:pPr>
      <w:r>
        <w:rPr>
          <w:rFonts w:hint="eastAsia"/>
        </w:rPr>
        <w:t>（5）具有独立的测评终端和采集软件系统,能为医院建立专属的数据应用平台和数据库。</w:t>
      </w:r>
    </w:p>
    <w:p>
      <w:pPr>
        <w:ind w:firstLine="420"/>
      </w:pPr>
      <w:r>
        <w:rPr>
          <w:rFonts w:hint="eastAsia"/>
        </w:rPr>
        <w:t>（6）投标人需有一支稳定的专业研发队伍和数据分析团队。</w:t>
      </w:r>
    </w:p>
    <w:p>
      <w:pPr>
        <w:ind w:firstLine="420"/>
      </w:pPr>
      <w:r>
        <w:rPr>
          <w:rFonts w:hint="eastAsia"/>
        </w:rPr>
        <w:t>（7）中标人不得以任何方式转包或分包本项目，否则采购人有权单方终止合同，不予退还履约保证金，由此产生的一切损失由中标人自行承担。</w:t>
      </w:r>
    </w:p>
    <w:p>
      <w:pPr>
        <w:rPr>
          <w:b/>
          <w:bCs/>
        </w:rPr>
      </w:pPr>
      <w:r>
        <w:rPr>
          <w:rFonts w:hint="eastAsia"/>
          <w:b/>
          <w:bCs/>
        </w:rPr>
        <w:t>8.商务要求及验收标准</w:t>
      </w:r>
    </w:p>
    <w:p>
      <w:pPr>
        <w:ind w:firstLine="420" w:firstLineChars="200"/>
      </w:pPr>
      <w:r>
        <w:rPr>
          <w:rFonts w:hint="eastAsia"/>
        </w:rPr>
        <w:t>1.项目实施时间、地点（范围）</w:t>
      </w:r>
    </w:p>
    <w:p>
      <w:pPr>
        <w:ind w:firstLine="420" w:firstLineChars="200"/>
      </w:pPr>
      <w:r>
        <w:rPr>
          <w:rFonts w:hint="eastAsia"/>
        </w:rPr>
        <w:t>项目实施时间：2024年1月1日至2025年12月31日</w:t>
      </w:r>
    </w:p>
    <w:p>
      <w:pPr>
        <w:ind w:firstLine="420" w:firstLineChars="200"/>
      </w:pPr>
      <w:r>
        <w:rPr>
          <w:rFonts w:hint="eastAsia"/>
        </w:rPr>
        <w:t>项目实施地点（范围）：汕头大学医学院附属肿瘤医院饶平路院区、大学路院区</w:t>
      </w:r>
    </w:p>
    <w:p>
      <w:pPr>
        <w:ind w:firstLine="420" w:firstLineChars="200"/>
      </w:pPr>
      <w:r>
        <w:rPr>
          <w:rFonts w:hint="eastAsia"/>
        </w:rPr>
        <w:t>2.报价要求：投标报价为全包价，包含人员费用、场地、交通费用、设施费用、管理费用、专家费用、研发费用、电话通讯费用、税收扥本项目涉及的所有费用。</w:t>
      </w:r>
    </w:p>
    <w:p>
      <w:pPr>
        <w:ind w:firstLine="420" w:firstLineChars="200"/>
      </w:pPr>
      <w:r>
        <w:rPr>
          <w:rFonts w:hint="eastAsia"/>
        </w:rPr>
        <w:t>3.验收标准：</w:t>
      </w:r>
    </w:p>
    <w:p>
      <w:r>
        <w:rPr>
          <w:rFonts w:hint="eastAsia"/>
        </w:rPr>
        <w:t xml:space="preserve">  （1）每半年调查结束后交付的满意度调研报告（总报告、院区分报告）及相应的原始数据、录音记录，报告均须提供电子版及纸质版；</w:t>
      </w:r>
    </w:p>
    <w:p>
      <w:r>
        <w:rPr>
          <w:rFonts w:hint="eastAsia"/>
        </w:rPr>
        <w:t xml:space="preserve">  （2）年底交付的成果应涵盖上述所有要求，应包括调查方案、调查问卷、回访原始数据、录音记录、患者和职工年度总调查分析报告书以及每个院区的评价报告等。</w:t>
      </w:r>
    </w:p>
    <w:p>
      <w:r>
        <w:rPr>
          <w:rFonts w:hint="eastAsia"/>
        </w:rPr>
        <w:t xml:space="preserve">  （3）调查分析报告的内容应包括调查设计原理和组织实施、调查对象构成、主要统计结果，所有具体数据、分析依据和方法、分析内容和结论，客户具体满意度情况、存在问题和具体情况、质控情况、改进措施和建议、整改方案等，在交付上述成果时，应向甲方提供相关工作底稿。</w:t>
      </w:r>
    </w:p>
    <w:p>
      <w:r>
        <w:rPr>
          <w:rFonts w:hint="eastAsia"/>
        </w:rPr>
        <w:t xml:space="preserve">  （4）为医院建立专属的数据应用平台和数据库。</w:t>
      </w:r>
    </w:p>
    <w:p>
      <w:r>
        <w:rPr>
          <w:rFonts w:hint="eastAsia"/>
        </w:rPr>
        <w:t xml:space="preserve">  （5）报告交付后每年举办一期结果通报培训会议（包括通报结果、解读报告、现场答疑等内容）。</w:t>
      </w:r>
    </w:p>
    <w:p>
      <w:pPr>
        <w:rPr>
          <w:rFonts w:hint="eastAsia" w:ascii="宋体" w:hAnsi="宋体"/>
          <w:b/>
          <w:sz w:val="24"/>
        </w:rPr>
      </w:pPr>
      <w:r>
        <w:rPr>
          <w:rFonts w:hint="eastAsia" w:ascii="宋体" w:hAnsi="宋体"/>
          <w:b/>
          <w:sz w:val="24"/>
        </w:rPr>
        <w:t>五、服务规格及要求</w:t>
      </w:r>
    </w:p>
    <w:p>
      <w:pPr>
        <w:rPr>
          <w:rFonts w:hint="eastAsia" w:ascii="宋体" w:hAnsi="宋体"/>
          <w:sz w:val="24"/>
        </w:rPr>
      </w:pPr>
      <w:r>
        <w:rPr>
          <w:rFonts w:hint="eastAsia" w:ascii="宋体" w:hAnsi="宋体"/>
          <w:sz w:val="24"/>
        </w:rPr>
        <w:t>1、调查方式:现场问卷调查、电话调查。</w:t>
      </w:r>
    </w:p>
    <w:p>
      <w:pPr>
        <w:rPr>
          <w:rFonts w:hint="eastAsia" w:ascii="宋体" w:hAnsi="宋体"/>
          <w:sz w:val="24"/>
        </w:rPr>
      </w:pPr>
      <w:r>
        <w:rPr>
          <w:rFonts w:hint="eastAsia" w:ascii="宋体" w:hAnsi="宋体"/>
          <w:sz w:val="24"/>
        </w:rPr>
        <w:t>2、调查问卷设计应合理，经招标方确认后方可开展调查工作，服务商根据调查结果进行评估，制定评估表，评估要素，评估方法，评估标准及相应的分值最后形成评价报告提交招标方验收，同时建立相关的工作档案，以便查询。</w:t>
      </w:r>
    </w:p>
    <w:p>
      <w:pPr>
        <w:rPr>
          <w:rFonts w:hint="eastAsia" w:ascii="宋体" w:hAnsi="宋体"/>
          <w:sz w:val="24"/>
        </w:rPr>
      </w:pPr>
      <w:r>
        <w:rPr>
          <w:rFonts w:hint="eastAsia" w:ascii="宋体" w:hAnsi="宋体"/>
          <w:sz w:val="24"/>
        </w:rPr>
        <w:t>3、承担任务的第三方评价机构应具有完善的组织机构，熟悉有关第三方评价的评估政策，有承担过医院患者及医院职工满意度第三方评价相关经验。</w:t>
      </w:r>
    </w:p>
    <w:p>
      <w:pPr>
        <w:rPr>
          <w:rFonts w:hint="eastAsia" w:ascii="宋体" w:hAnsi="宋体"/>
          <w:sz w:val="24"/>
        </w:rPr>
      </w:pPr>
      <w:r>
        <w:rPr>
          <w:rFonts w:hint="eastAsia" w:ascii="宋体" w:hAnsi="宋体"/>
          <w:sz w:val="24"/>
        </w:rPr>
        <w:t>4、人员要求：须拥有足够的人力、财力和服务能力等资源，保证按质按时按量完成评价工作。</w:t>
      </w:r>
    </w:p>
    <w:p>
      <w:pPr>
        <w:rPr>
          <w:rFonts w:hint="eastAsia" w:ascii="宋体" w:hAnsi="宋体"/>
          <w:sz w:val="24"/>
        </w:rPr>
      </w:pPr>
      <w:r>
        <w:rPr>
          <w:rFonts w:hint="eastAsia" w:ascii="宋体" w:hAnsi="宋体"/>
          <w:sz w:val="24"/>
        </w:rPr>
        <w:t>5、报价要求：投标报价应包括人工费、服务费、交通费、招标代理服务费、不可预见费等完成本项目所有内容所需的一切费用（含税金）。所有因为评价工作产生的费用开支（含差旅费等）均由中标方自理。中标方应具备相应的硬件、软件支持。</w:t>
      </w:r>
    </w:p>
    <w:p>
      <w:pPr>
        <w:rPr>
          <w:rFonts w:hint="eastAsia" w:ascii="宋体" w:hAnsi="宋体"/>
          <w:sz w:val="24"/>
        </w:rPr>
      </w:pPr>
      <w:r>
        <w:rPr>
          <w:rFonts w:hint="eastAsia" w:ascii="宋体" w:hAnsi="宋体"/>
          <w:sz w:val="24"/>
        </w:rPr>
        <w:t>6、服务期、交付进度：评价机构应建立相应的第三方评价工作制度、组织足够人力，确保按时按质保量完成评价任务。</w:t>
      </w:r>
    </w:p>
    <w:p>
      <w:pPr>
        <w:rPr>
          <w:rFonts w:hint="eastAsia" w:ascii="宋体" w:hAnsi="宋体"/>
          <w:sz w:val="24"/>
        </w:rPr>
      </w:pPr>
      <w:r>
        <w:rPr>
          <w:rFonts w:hint="eastAsia" w:ascii="宋体" w:hAnsi="宋体"/>
          <w:b/>
          <w:sz w:val="24"/>
        </w:rPr>
        <w:t>六、付款方式</w:t>
      </w:r>
    </w:p>
    <w:p>
      <w:pPr>
        <w:rPr>
          <w:rFonts w:hint="eastAsia" w:ascii="宋体" w:hAnsi="宋体"/>
          <w:sz w:val="24"/>
        </w:rPr>
      </w:pPr>
      <w:r>
        <w:rPr>
          <w:rFonts w:hint="eastAsia" w:ascii="宋体" w:hAnsi="宋体"/>
          <w:sz w:val="24"/>
        </w:rPr>
        <w:t xml:space="preserve">   1.</w:t>
      </w:r>
      <w:commentRangeStart w:id="0"/>
      <w:r>
        <w:rPr>
          <w:rFonts w:hint="eastAsia" w:ascii="宋体" w:hAnsi="宋体"/>
          <w:sz w:val="24"/>
        </w:rPr>
        <w:t>每年结算一次调查服务费，每次费用为合同金额的50%。</w:t>
      </w:r>
      <w:commentRangeEnd w:id="0"/>
      <w:r>
        <w:commentReference w:id="0"/>
      </w:r>
    </w:p>
    <w:p>
      <w:pPr>
        <w:rPr>
          <w:rFonts w:hint="eastAsia" w:ascii="宋体" w:hAnsi="宋体"/>
          <w:sz w:val="24"/>
        </w:rPr>
      </w:pPr>
      <w:r>
        <w:rPr>
          <w:rFonts w:hint="eastAsia" w:ascii="宋体" w:hAnsi="宋体"/>
          <w:sz w:val="24"/>
        </w:rPr>
        <w:t xml:space="preserve">   2.采购人在收到中标人每半年提交的调查报告并确认无误后，中标人开具发票，采购人在收到发票后开始办理支付手续。</w:t>
      </w:r>
    </w:p>
    <w:p>
      <w:pPr>
        <w:rPr>
          <w:b/>
          <w:bCs/>
          <w:sz w:val="28"/>
          <w:szCs w:val="28"/>
        </w:rPr>
      </w:pPr>
      <w:r>
        <w:rPr>
          <w:rFonts w:hint="eastAsia"/>
          <w:b/>
          <w:bCs/>
          <w:sz w:val="28"/>
          <w:szCs w:val="28"/>
        </w:rPr>
        <w:t>七、保密条款</w:t>
      </w:r>
    </w:p>
    <w:p>
      <w:r>
        <w:rPr>
          <w:rFonts w:hint="eastAsia"/>
        </w:rPr>
        <w:t xml:space="preserve">    中标人需承诺保证对在本项目实施过程中涉及的讨论、签订、执行等过程中所获悉的属于采购人的且无法自公开渠道获得的文件及资料（如患者基本信息、单位运营情况、财务信息、技术信息、经验信息等）予以保密。未经该资料和文件的原提供方书面同意，中标人不得向第三方泄露涉及本项目的相关内容（法律、法规另有规定或双方另有约定的除外）。</w:t>
      </w:r>
    </w:p>
    <w:p>
      <w:pPr>
        <w:rPr>
          <w:b/>
          <w:bCs/>
          <w:sz w:val="28"/>
          <w:szCs w:val="28"/>
        </w:rPr>
      </w:pPr>
      <w:r>
        <w:rPr>
          <w:rFonts w:hint="eastAsia"/>
          <w:b/>
          <w:bCs/>
          <w:sz w:val="28"/>
          <w:szCs w:val="28"/>
        </w:rPr>
        <w:t>八、综合评分</w:t>
      </w:r>
    </w:p>
    <w:tbl>
      <w:tblPr>
        <w:tblStyle w:val="5"/>
        <w:tblW w:w="8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456"/>
        <w:gridCol w:w="5249"/>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74" w:type="dxa"/>
            <w:noWrap w:val="0"/>
            <w:vAlign w:val="top"/>
          </w:tcPr>
          <w:p>
            <w:pPr>
              <w:rPr>
                <w:b/>
                <w:bCs/>
              </w:rPr>
            </w:pPr>
            <w:r>
              <w:rPr>
                <w:rFonts w:hint="eastAsia"/>
                <w:b/>
                <w:bCs/>
              </w:rPr>
              <w:t>序号</w:t>
            </w:r>
          </w:p>
        </w:tc>
        <w:tc>
          <w:tcPr>
            <w:tcW w:w="1456" w:type="dxa"/>
            <w:noWrap w:val="0"/>
            <w:vAlign w:val="top"/>
          </w:tcPr>
          <w:p>
            <w:pPr>
              <w:rPr>
                <w:b/>
                <w:bCs/>
              </w:rPr>
            </w:pPr>
            <w:r>
              <w:rPr>
                <w:rFonts w:hint="eastAsia"/>
                <w:b/>
                <w:bCs/>
              </w:rPr>
              <w:t>评审因素</w:t>
            </w:r>
          </w:p>
        </w:tc>
        <w:tc>
          <w:tcPr>
            <w:tcW w:w="5249" w:type="dxa"/>
            <w:noWrap w:val="0"/>
            <w:vAlign w:val="top"/>
          </w:tcPr>
          <w:p>
            <w:pPr>
              <w:jc w:val="center"/>
              <w:rPr>
                <w:b/>
                <w:bCs/>
              </w:rPr>
            </w:pPr>
            <w:r>
              <w:rPr>
                <w:rFonts w:hint="eastAsia"/>
                <w:b/>
                <w:bCs/>
              </w:rPr>
              <w:t>评分细则</w:t>
            </w:r>
          </w:p>
        </w:tc>
        <w:tc>
          <w:tcPr>
            <w:tcW w:w="1138" w:type="dxa"/>
            <w:noWrap w:val="0"/>
            <w:vAlign w:val="top"/>
          </w:tcPr>
          <w:p>
            <w:pPr>
              <w:rPr>
                <w:b/>
                <w:bCs/>
              </w:rPr>
            </w:pPr>
            <w:r>
              <w:rPr>
                <w:rFonts w:hint="eastAsia"/>
                <w:b/>
                <w:bCs/>
              </w:rPr>
              <w:t>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74" w:type="dxa"/>
            <w:noWrap w:val="0"/>
            <w:vAlign w:val="top"/>
          </w:tcPr>
          <w:p>
            <w:pPr>
              <w:jc w:val="center"/>
              <w:rPr>
                <w:b/>
                <w:bCs/>
              </w:rPr>
            </w:pPr>
            <w:r>
              <w:rPr>
                <w:rFonts w:hint="eastAsia"/>
                <w:b/>
                <w:bCs/>
              </w:rPr>
              <w:t>一</w:t>
            </w:r>
          </w:p>
        </w:tc>
        <w:tc>
          <w:tcPr>
            <w:tcW w:w="7843" w:type="dxa"/>
            <w:gridSpan w:val="3"/>
            <w:noWrap w:val="0"/>
            <w:vAlign w:val="top"/>
          </w:tcPr>
          <w:p>
            <w:pPr>
              <w:jc w:val="center"/>
              <w:rPr>
                <w:b/>
                <w:bCs/>
              </w:rPr>
            </w:pPr>
            <w:r>
              <w:rPr>
                <w:rFonts w:hint="eastAsia"/>
                <w:b/>
                <w:bCs/>
              </w:rPr>
              <w:t>技术部分（40分）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74" w:type="dxa"/>
            <w:noWrap w:val="0"/>
            <w:vAlign w:val="top"/>
          </w:tcPr>
          <w:p>
            <w:pPr>
              <w:jc w:val="center"/>
            </w:pPr>
            <w:r>
              <w:rPr>
                <w:rFonts w:hint="eastAsia"/>
              </w:rPr>
              <w:t>1</w:t>
            </w:r>
          </w:p>
        </w:tc>
        <w:tc>
          <w:tcPr>
            <w:tcW w:w="1456" w:type="dxa"/>
            <w:noWrap w:val="0"/>
            <w:vAlign w:val="top"/>
          </w:tcPr>
          <w:p>
            <w:r>
              <w:rPr>
                <w:rFonts w:hint="eastAsia"/>
              </w:rPr>
              <w:t>整体方案</w:t>
            </w:r>
          </w:p>
        </w:tc>
        <w:tc>
          <w:tcPr>
            <w:tcW w:w="5249" w:type="dxa"/>
            <w:noWrap w:val="0"/>
            <w:vAlign w:val="top"/>
          </w:tcPr>
          <w:p>
            <w:r>
              <w:rPr>
                <w:rFonts w:hint="eastAsia"/>
              </w:rPr>
              <w:t>实施方案：能对项目需求能充分响应，并具有较全面的措施，包括但不限于：方案设计、实施周期、时间规划、人员培训方案和工作管控等。充分考虑项目结果的真实性、可靠性等。</w:t>
            </w:r>
          </w:p>
          <w:p>
            <w:r>
              <w:rPr>
                <w:rFonts w:hint="eastAsia"/>
              </w:rPr>
              <w:t>1、方案科学、合理并且完整：10分；</w:t>
            </w:r>
          </w:p>
          <w:p>
            <w:r>
              <w:rPr>
                <w:rFonts w:hint="eastAsia"/>
              </w:rPr>
              <w:t>2、方案不够科学、合理但不够完整：5分；</w:t>
            </w:r>
          </w:p>
          <w:p>
            <w:r>
              <w:rPr>
                <w:rFonts w:hint="eastAsia"/>
              </w:rPr>
              <w:t>3、方案不科学、合理性差且不完整：1分；</w:t>
            </w:r>
          </w:p>
          <w:p>
            <w:r>
              <w:rPr>
                <w:rFonts w:hint="eastAsia"/>
              </w:rPr>
              <w:t>4、无提供不得分，</w:t>
            </w:r>
          </w:p>
        </w:tc>
        <w:tc>
          <w:tcPr>
            <w:tcW w:w="1138" w:type="dxa"/>
            <w:noWrap w:val="0"/>
            <w:vAlign w:val="top"/>
          </w:tcPr>
          <w:p>
            <w:pPr>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74" w:type="dxa"/>
            <w:noWrap w:val="0"/>
            <w:vAlign w:val="top"/>
          </w:tcPr>
          <w:p>
            <w:pPr>
              <w:jc w:val="center"/>
            </w:pPr>
            <w:r>
              <w:rPr>
                <w:rFonts w:hint="eastAsia"/>
              </w:rPr>
              <w:t>2</w:t>
            </w:r>
          </w:p>
        </w:tc>
        <w:tc>
          <w:tcPr>
            <w:tcW w:w="1456" w:type="dxa"/>
            <w:noWrap w:val="0"/>
            <w:vAlign w:val="top"/>
          </w:tcPr>
          <w:p>
            <w:r>
              <w:rPr>
                <w:rFonts w:hint="eastAsia"/>
              </w:rPr>
              <w:t>测评报告的设计</w:t>
            </w:r>
          </w:p>
        </w:tc>
        <w:tc>
          <w:tcPr>
            <w:tcW w:w="5249" w:type="dxa"/>
            <w:noWrap w:val="0"/>
            <w:vAlign w:val="top"/>
          </w:tcPr>
          <w:p>
            <w:r>
              <w:rPr>
                <w:rFonts w:hint="eastAsia"/>
              </w:rPr>
              <w:t>测评报告：能对项目满意度数据资料进行全面的描述，包括</w:t>
            </w:r>
            <w:r>
              <w:rPr>
                <w:rFonts w:hint="eastAsia"/>
                <w:highlight w:val="yellow"/>
              </w:rPr>
              <w:t>但不限于</w:t>
            </w:r>
            <w:r>
              <w:rPr>
                <w:rFonts w:hint="eastAsia"/>
              </w:rPr>
              <w:t>：患者满意度中心总体调查测评报告、患者满意度各院区调查测评报告、患者满意度测评报告及数据、职工满意度中心总体调查测评报告和职工满意度各院区调查测评报告。</w:t>
            </w:r>
          </w:p>
          <w:p>
            <w:r>
              <w:rPr>
                <w:rFonts w:hint="eastAsia"/>
              </w:rPr>
              <w:t>1、设计科学、合理并且完整：8分；</w:t>
            </w:r>
          </w:p>
          <w:p>
            <w:r>
              <w:rPr>
                <w:rFonts w:hint="eastAsia"/>
              </w:rPr>
              <w:t>2、设计不够科学，合理但不够完整：4分；</w:t>
            </w:r>
          </w:p>
          <w:p>
            <w:r>
              <w:rPr>
                <w:rFonts w:hint="eastAsia"/>
              </w:rPr>
              <w:t>3、设计不科学、合理性差且不完整：1分；</w:t>
            </w:r>
          </w:p>
          <w:p>
            <w:r>
              <w:rPr>
                <w:rFonts w:hint="eastAsia"/>
              </w:rPr>
              <w:t>4、无提供不得分。</w:t>
            </w:r>
          </w:p>
        </w:tc>
        <w:tc>
          <w:tcPr>
            <w:tcW w:w="1138" w:type="dxa"/>
            <w:noWrap w:val="0"/>
            <w:vAlign w:val="top"/>
          </w:tcPr>
          <w:p>
            <w:pPr>
              <w:jc w:val="center"/>
            </w:pP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74" w:type="dxa"/>
            <w:noWrap w:val="0"/>
            <w:vAlign w:val="top"/>
          </w:tcPr>
          <w:p>
            <w:pPr>
              <w:jc w:val="center"/>
            </w:pPr>
            <w:r>
              <w:rPr>
                <w:rFonts w:hint="eastAsia"/>
              </w:rPr>
              <w:t>3</w:t>
            </w:r>
          </w:p>
        </w:tc>
        <w:tc>
          <w:tcPr>
            <w:tcW w:w="1456" w:type="dxa"/>
            <w:noWrap w:val="0"/>
            <w:vAlign w:val="top"/>
          </w:tcPr>
          <w:p>
            <w:r>
              <w:rPr>
                <w:rFonts w:hint="eastAsia"/>
              </w:rPr>
              <w:t>质保措施</w:t>
            </w:r>
          </w:p>
        </w:tc>
        <w:tc>
          <w:tcPr>
            <w:tcW w:w="5249" w:type="dxa"/>
            <w:noWrap w:val="0"/>
            <w:vAlign w:val="top"/>
          </w:tcPr>
          <w:p>
            <w:r>
              <w:rPr>
                <w:rFonts w:hint="eastAsia"/>
              </w:rPr>
              <w:t>本项目要求有严格的质量监控体系来进行质控监测，包括</w:t>
            </w:r>
            <w:r>
              <w:rPr>
                <w:rFonts w:hint="eastAsia"/>
                <w:highlight w:val="yellow"/>
              </w:rPr>
              <w:t>但不限于</w:t>
            </w:r>
            <w:r>
              <w:rPr>
                <w:rFonts w:hint="eastAsia"/>
              </w:rPr>
              <w:t>：调查结果的真实性和准确性、可随时对调查过程和结果进行监控和抽查、有切实可行的质量保证措施和调查结束可提供调查原始资料及录音文件。</w:t>
            </w:r>
          </w:p>
          <w:p>
            <w:pPr>
              <w:numPr>
                <w:ilvl w:val="0"/>
                <w:numId w:val="3"/>
              </w:numPr>
            </w:pPr>
            <w:r>
              <w:rPr>
                <w:rFonts w:hint="eastAsia"/>
              </w:rPr>
              <w:t>质控措施合理且有针对性，原始数据和录音能保存12个月以上（含12个月）：</w:t>
            </w:r>
            <w:r>
              <w:rPr>
                <w:rFonts w:hint="eastAsia"/>
                <w:highlight w:val="yellow"/>
              </w:rPr>
              <w:t>8分</w:t>
            </w:r>
            <w:r>
              <w:rPr>
                <w:rFonts w:hint="eastAsia"/>
              </w:rPr>
              <w:t>；</w:t>
            </w:r>
          </w:p>
          <w:p>
            <w:pPr>
              <w:numPr>
                <w:ilvl w:val="0"/>
                <w:numId w:val="3"/>
              </w:numPr>
            </w:pPr>
            <w:r>
              <w:rPr>
                <w:rFonts w:hint="eastAsia"/>
              </w:rPr>
              <w:t>质控措施较合理且有针对性，原始数据和录音能保存6个月以上（含6个月，不含12个月）：</w:t>
            </w:r>
            <w:r>
              <w:rPr>
                <w:rFonts w:hint="eastAsia"/>
                <w:highlight w:val="yellow"/>
              </w:rPr>
              <w:t>4分</w:t>
            </w:r>
            <w:r>
              <w:rPr>
                <w:rFonts w:hint="eastAsia"/>
              </w:rPr>
              <w:t>；</w:t>
            </w:r>
          </w:p>
          <w:p>
            <w:r>
              <w:rPr>
                <w:rFonts w:hint="eastAsia"/>
              </w:rPr>
              <w:t>3、质控措施不合理，且没有针对性，原始数据和录音能保存6个月以下或不能提供原始资料和录音：0分。</w:t>
            </w:r>
          </w:p>
          <w:p>
            <w:r>
              <w:rPr>
                <w:rFonts w:hint="eastAsia"/>
              </w:rPr>
              <w:t>（投标人需提供承诺函，及详细方案措施，不提供或提供不全不得分。）</w:t>
            </w:r>
          </w:p>
        </w:tc>
        <w:tc>
          <w:tcPr>
            <w:tcW w:w="1138" w:type="dxa"/>
            <w:noWrap w:val="0"/>
            <w:vAlign w:val="top"/>
          </w:tcPr>
          <w:p>
            <w:pPr>
              <w:jc w:val="center"/>
            </w:pPr>
            <w:r>
              <w:rPr>
                <w:rFonts w:hint="eastAsia"/>
                <w:highlight w:val="yellow"/>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74" w:type="dxa"/>
            <w:noWrap w:val="0"/>
            <w:vAlign w:val="top"/>
          </w:tcPr>
          <w:p>
            <w:pPr>
              <w:jc w:val="center"/>
            </w:pPr>
            <w:r>
              <w:rPr>
                <w:rFonts w:hint="eastAsia"/>
              </w:rPr>
              <w:t>4</w:t>
            </w:r>
          </w:p>
        </w:tc>
        <w:tc>
          <w:tcPr>
            <w:tcW w:w="1456" w:type="dxa"/>
            <w:noWrap w:val="0"/>
            <w:vAlign w:val="top"/>
          </w:tcPr>
          <w:p>
            <w:r>
              <w:rPr>
                <w:rFonts w:hint="eastAsia"/>
              </w:rPr>
              <w:t>信息保密方案</w:t>
            </w:r>
          </w:p>
        </w:tc>
        <w:tc>
          <w:tcPr>
            <w:tcW w:w="5249" w:type="dxa"/>
            <w:noWrap w:val="0"/>
            <w:vAlign w:val="top"/>
          </w:tcPr>
          <w:p>
            <w:r>
              <w:rPr>
                <w:rFonts w:hint="eastAsia"/>
              </w:rPr>
              <w:t>保密方案内容包括但不限于保密的原则、保密具体措施、需要保密的事项等。</w:t>
            </w:r>
          </w:p>
          <w:p>
            <w:r>
              <w:rPr>
                <w:rFonts w:hint="eastAsia"/>
              </w:rPr>
              <w:t>1、保密方案全面详细、合理可行：6分；</w:t>
            </w:r>
          </w:p>
          <w:p>
            <w:r>
              <w:rPr>
                <w:rFonts w:hint="eastAsia"/>
              </w:rPr>
              <w:t>2、保密方案较全面详细、较合理可行：3分；</w:t>
            </w:r>
          </w:p>
          <w:p>
            <w:r>
              <w:rPr>
                <w:rFonts w:hint="eastAsia"/>
              </w:rPr>
              <w:t>3、保密方案不全面、不合理可行：1分；</w:t>
            </w:r>
          </w:p>
          <w:p>
            <w:r>
              <w:rPr>
                <w:rFonts w:hint="eastAsia"/>
              </w:rPr>
              <w:t>4、无或其他不得分。</w:t>
            </w:r>
          </w:p>
        </w:tc>
        <w:tc>
          <w:tcPr>
            <w:tcW w:w="1138" w:type="dxa"/>
            <w:noWrap w:val="0"/>
            <w:vAlign w:val="top"/>
          </w:tcPr>
          <w:p>
            <w:pPr>
              <w:jc w:val="center"/>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74" w:type="dxa"/>
            <w:noWrap w:val="0"/>
            <w:vAlign w:val="top"/>
          </w:tcPr>
          <w:p>
            <w:pPr>
              <w:jc w:val="center"/>
            </w:pPr>
            <w:r>
              <w:rPr>
                <w:rFonts w:hint="eastAsia"/>
              </w:rPr>
              <w:t>5</w:t>
            </w:r>
          </w:p>
        </w:tc>
        <w:tc>
          <w:tcPr>
            <w:tcW w:w="1456" w:type="dxa"/>
            <w:noWrap w:val="0"/>
            <w:vAlign w:val="top"/>
          </w:tcPr>
          <w:p>
            <w:r>
              <w:rPr>
                <w:rFonts w:hint="eastAsia"/>
              </w:rPr>
              <w:t>项目团队成员配置情况</w:t>
            </w:r>
          </w:p>
        </w:tc>
        <w:tc>
          <w:tcPr>
            <w:tcW w:w="5249" w:type="dxa"/>
            <w:noWrap w:val="0"/>
            <w:vAlign w:val="top"/>
          </w:tcPr>
          <w:p>
            <w:r>
              <w:rPr>
                <w:rFonts w:hint="eastAsia"/>
              </w:rPr>
              <w:t>1、项目服务团队投入情况：</w:t>
            </w:r>
          </w:p>
          <w:p>
            <w:r>
              <w:rPr>
                <w:rFonts w:hint="eastAsia"/>
              </w:rPr>
              <w:t>拟投入本项目的其他工作人员（项目负责人除外）人数超过5人（不含）：</w:t>
            </w:r>
            <w:r>
              <w:rPr>
                <w:rFonts w:hint="eastAsia"/>
                <w:highlight w:val="yellow"/>
              </w:rPr>
              <w:t>2分</w:t>
            </w:r>
            <w:r>
              <w:rPr>
                <w:rFonts w:hint="eastAsia"/>
              </w:rPr>
              <w:t>；</w:t>
            </w:r>
          </w:p>
          <w:p>
            <w:r>
              <w:rPr>
                <w:rFonts w:hint="eastAsia"/>
              </w:rPr>
              <w:t>拟投入本项目的其他工作人员（项目负责人除外）人数为3人（含）至5人（含）：1分；</w:t>
            </w:r>
          </w:p>
          <w:p>
            <w:r>
              <w:rPr>
                <w:rFonts w:hint="eastAsia"/>
              </w:rPr>
              <w:t>拟投入本项目的其他工作人员（项目负责人除外）人数低于2人（含）：0分。</w:t>
            </w:r>
          </w:p>
          <w:p>
            <w:r>
              <w:rPr>
                <w:rFonts w:hint="eastAsia"/>
              </w:rPr>
              <w:t>需提供承诺函，本项最高得2分，不提供不得分。</w:t>
            </w:r>
          </w:p>
          <w:p>
            <w:pPr>
              <w:numPr>
                <w:ilvl w:val="0"/>
                <w:numId w:val="4"/>
              </w:numPr>
            </w:pPr>
            <w:r>
              <w:rPr>
                <w:rFonts w:hint="eastAsia"/>
              </w:rPr>
              <w:t>项目团队成员同类项目工作经验情况：</w:t>
            </w:r>
          </w:p>
          <w:p>
            <w:r>
              <w:rPr>
                <w:rFonts w:hint="eastAsia"/>
              </w:rPr>
              <w:t>项目团队成员（项目负责人除外）：具有二年以上（含2年）同类项目工作经验的、具有非常丰富的研发和数据分析经验的，每提供一名得1分，最高得</w:t>
            </w:r>
            <w:r>
              <w:rPr>
                <w:rFonts w:hint="eastAsia"/>
                <w:highlight w:val="yellow"/>
              </w:rPr>
              <w:t>2分</w:t>
            </w:r>
            <w:r>
              <w:rPr>
                <w:rFonts w:hint="eastAsia"/>
              </w:rPr>
              <w:t>。</w:t>
            </w:r>
          </w:p>
          <w:p>
            <w:r>
              <w:rPr>
                <w:rFonts w:hint="eastAsia"/>
              </w:rPr>
              <w:t>注：不同公司的劳动年限可累计，提供上述人员在投标人单位任职的证明文件等相关材料，不提供不得分。</w:t>
            </w:r>
          </w:p>
        </w:tc>
        <w:tc>
          <w:tcPr>
            <w:tcW w:w="1138" w:type="dxa"/>
            <w:noWrap w:val="0"/>
            <w:vAlign w:val="top"/>
          </w:tcPr>
          <w:p>
            <w:pPr>
              <w:jc w:val="center"/>
            </w:pPr>
            <w:r>
              <w:rPr>
                <w:rFonts w:hint="eastAsia"/>
                <w:highlight w:val="yellow"/>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74" w:type="dxa"/>
            <w:noWrap w:val="0"/>
            <w:vAlign w:val="top"/>
          </w:tcPr>
          <w:p>
            <w:pPr>
              <w:jc w:val="center"/>
            </w:pPr>
            <w:r>
              <w:rPr>
                <w:rFonts w:hint="eastAsia"/>
              </w:rPr>
              <w:t>6</w:t>
            </w:r>
          </w:p>
        </w:tc>
        <w:tc>
          <w:tcPr>
            <w:tcW w:w="1456" w:type="dxa"/>
            <w:noWrap w:val="0"/>
            <w:vAlign w:val="top"/>
          </w:tcPr>
          <w:p>
            <w:r>
              <w:rPr>
                <w:rFonts w:hint="eastAsia"/>
              </w:rPr>
              <w:t>项目负责人配置</w:t>
            </w:r>
          </w:p>
        </w:tc>
        <w:tc>
          <w:tcPr>
            <w:tcW w:w="5249" w:type="dxa"/>
            <w:noWrap w:val="0"/>
            <w:vAlign w:val="top"/>
          </w:tcPr>
          <w:p>
            <w:pPr>
              <w:numPr>
                <w:ilvl w:val="0"/>
                <w:numId w:val="5"/>
              </w:numPr>
            </w:pPr>
            <w:r>
              <w:rPr>
                <w:rFonts w:hint="eastAsia"/>
              </w:rPr>
              <w:t>项目负责人（仅限1人）工作经验：</w:t>
            </w:r>
          </w:p>
          <w:p>
            <w:r>
              <w:rPr>
                <w:rFonts w:hint="eastAsia"/>
              </w:rPr>
              <w:t>具有5年（不含）或以上同类项目管理工作经验的，得2分；</w:t>
            </w:r>
          </w:p>
          <w:p>
            <w:r>
              <w:rPr>
                <w:rFonts w:hint="eastAsia"/>
              </w:rPr>
              <w:t>具有2年（不含）~5年（含）同类项目管理工作经验的，得1分；</w:t>
            </w:r>
          </w:p>
          <w:p>
            <w:r>
              <w:rPr>
                <w:rFonts w:hint="eastAsia"/>
              </w:rPr>
              <w:t>其他情况不得分。</w:t>
            </w:r>
          </w:p>
          <w:p>
            <w:pPr>
              <w:numPr>
                <w:ilvl w:val="0"/>
                <w:numId w:val="5"/>
              </w:numPr>
            </w:pPr>
            <w:r>
              <w:rPr>
                <w:rFonts w:hint="eastAsia"/>
              </w:rPr>
              <w:t>项目负责人（仅限1人）学历职称要求：</w:t>
            </w:r>
          </w:p>
          <w:p>
            <w:r>
              <w:rPr>
                <w:rFonts w:hint="eastAsia"/>
              </w:rPr>
              <w:t>本科及以上学历得2分；</w:t>
            </w:r>
          </w:p>
          <w:p>
            <w:r>
              <w:rPr>
                <w:rFonts w:hint="eastAsia"/>
              </w:rPr>
              <w:t>大专学历得1分；</w:t>
            </w:r>
          </w:p>
          <w:p>
            <w:r>
              <w:rPr>
                <w:rFonts w:hint="eastAsia"/>
              </w:rPr>
              <w:t>其他情况不得分。</w:t>
            </w:r>
          </w:p>
          <w:p>
            <w:r>
              <w:rPr>
                <w:rFonts w:hint="eastAsia"/>
              </w:rPr>
              <w:t>注：如该人员在不同公司工作过的劳动年限可进行累计。须提供其在投标人公司所签订的劳动合同、提供学历证书复印件，及以往的工作经历证明（如工资发放表、工作评价表）等相关材料，复印件加盖投标人公章；缺项漏项或不提供不得分。</w:t>
            </w:r>
          </w:p>
        </w:tc>
        <w:tc>
          <w:tcPr>
            <w:tcW w:w="1138" w:type="dxa"/>
            <w:noWrap w:val="0"/>
            <w:vAlign w:val="top"/>
          </w:tcPr>
          <w:p>
            <w:pPr>
              <w:jc w:val="cente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74" w:type="dxa"/>
            <w:noWrap w:val="0"/>
            <w:vAlign w:val="top"/>
          </w:tcPr>
          <w:p>
            <w:pPr>
              <w:jc w:val="center"/>
              <w:rPr>
                <w:b/>
                <w:bCs/>
              </w:rPr>
            </w:pPr>
            <w:r>
              <w:rPr>
                <w:rFonts w:hint="eastAsia"/>
                <w:b/>
                <w:bCs/>
              </w:rPr>
              <w:t>二</w:t>
            </w:r>
          </w:p>
        </w:tc>
        <w:tc>
          <w:tcPr>
            <w:tcW w:w="7843" w:type="dxa"/>
            <w:gridSpan w:val="3"/>
            <w:noWrap w:val="0"/>
            <w:vAlign w:val="top"/>
          </w:tcPr>
          <w:p>
            <w:pPr>
              <w:jc w:val="center"/>
              <w:rPr>
                <w:b/>
                <w:bCs/>
              </w:rPr>
            </w:pPr>
            <w:r>
              <w:rPr>
                <w:rFonts w:hint="eastAsia"/>
                <w:b/>
                <w:bCs/>
              </w:rPr>
              <w:t>商务部分（30分）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74" w:type="dxa"/>
            <w:noWrap w:val="0"/>
            <w:vAlign w:val="top"/>
          </w:tcPr>
          <w:p>
            <w:pPr>
              <w:jc w:val="center"/>
            </w:pPr>
            <w:r>
              <w:rPr>
                <w:rFonts w:hint="eastAsia"/>
              </w:rPr>
              <w:t>1</w:t>
            </w:r>
          </w:p>
        </w:tc>
        <w:tc>
          <w:tcPr>
            <w:tcW w:w="1456" w:type="dxa"/>
            <w:noWrap w:val="0"/>
            <w:vAlign w:val="top"/>
          </w:tcPr>
          <w:p>
            <w:r>
              <w:rPr>
                <w:rFonts w:hint="eastAsia"/>
              </w:rPr>
              <w:t>同类项目业绩</w:t>
            </w:r>
          </w:p>
        </w:tc>
        <w:tc>
          <w:tcPr>
            <w:tcW w:w="5249" w:type="dxa"/>
            <w:noWrap w:val="0"/>
            <w:vAlign w:val="top"/>
          </w:tcPr>
          <w:p>
            <w:r>
              <w:rPr>
                <w:rFonts w:hint="eastAsia"/>
              </w:rPr>
              <w:t>2021年1月1日以来的每提供一个同类服务项目经验得2分，最高得6分。（提供合同证明材料复印件并将加盖公章，未提供不得分）</w:t>
            </w:r>
          </w:p>
        </w:tc>
        <w:tc>
          <w:tcPr>
            <w:tcW w:w="1138" w:type="dxa"/>
            <w:noWrap w:val="0"/>
            <w:vAlign w:val="top"/>
          </w:tcPr>
          <w:p>
            <w:pPr>
              <w:jc w:val="center"/>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74" w:type="dxa"/>
            <w:noWrap w:val="0"/>
            <w:vAlign w:val="top"/>
          </w:tcPr>
          <w:p>
            <w:pPr>
              <w:jc w:val="center"/>
            </w:pPr>
            <w:r>
              <w:rPr>
                <w:rFonts w:hint="eastAsia"/>
              </w:rPr>
              <w:t>2</w:t>
            </w:r>
          </w:p>
        </w:tc>
        <w:tc>
          <w:tcPr>
            <w:tcW w:w="1456" w:type="dxa"/>
            <w:noWrap w:val="0"/>
            <w:vAlign w:val="top"/>
          </w:tcPr>
          <w:p>
            <w:r>
              <w:rPr>
                <w:rFonts w:hint="eastAsia"/>
              </w:rPr>
              <w:t>客户评价</w:t>
            </w:r>
          </w:p>
        </w:tc>
        <w:tc>
          <w:tcPr>
            <w:tcW w:w="5249" w:type="dxa"/>
            <w:noWrap w:val="0"/>
            <w:vAlign w:val="top"/>
          </w:tcPr>
          <w:p>
            <w:r>
              <w:rPr>
                <w:rFonts w:hint="eastAsia"/>
              </w:rPr>
              <w:t>上述项目提供评价为优秀/满意/80分（含）以上或类似评价的客户评价：</w:t>
            </w:r>
          </w:p>
          <w:p>
            <w:r>
              <w:rPr>
                <w:rFonts w:hint="eastAsia"/>
              </w:rPr>
              <w:t>每提供一份符合上述要求的评价得2分，最高得6分。</w:t>
            </w:r>
          </w:p>
          <w:p>
            <w:r>
              <w:rPr>
                <w:rFonts w:hint="eastAsia"/>
              </w:rPr>
              <w:t>（提供客户评价证明材料复印件并加盖公章，同一个单位出具多份评价资料的只计分一次，不重复得分，未提供不得分）</w:t>
            </w:r>
          </w:p>
        </w:tc>
        <w:tc>
          <w:tcPr>
            <w:tcW w:w="1138" w:type="dxa"/>
            <w:noWrap w:val="0"/>
            <w:vAlign w:val="top"/>
          </w:tcPr>
          <w:p>
            <w:pPr>
              <w:jc w:val="center"/>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74" w:type="dxa"/>
            <w:noWrap w:val="0"/>
            <w:vAlign w:val="top"/>
          </w:tcPr>
          <w:p>
            <w:pPr>
              <w:jc w:val="center"/>
            </w:pPr>
            <w:r>
              <w:rPr>
                <w:rFonts w:hint="eastAsia"/>
              </w:rPr>
              <w:t>3</w:t>
            </w:r>
          </w:p>
        </w:tc>
        <w:tc>
          <w:tcPr>
            <w:tcW w:w="1456" w:type="dxa"/>
            <w:noWrap w:val="0"/>
            <w:vAlign w:val="top"/>
          </w:tcPr>
          <w:p>
            <w:r>
              <w:rPr>
                <w:rFonts w:hint="eastAsia"/>
              </w:rPr>
              <w:t>服务商实力</w:t>
            </w:r>
          </w:p>
        </w:tc>
        <w:tc>
          <w:tcPr>
            <w:tcW w:w="5249" w:type="dxa"/>
            <w:noWrap w:val="0"/>
            <w:vAlign w:val="top"/>
          </w:tcPr>
          <w:p>
            <w:pPr>
              <w:widowControl/>
              <w:ind w:right="-34"/>
              <w:jc w:val="left"/>
            </w:pPr>
            <w:r>
              <w:rPr>
                <w:rFonts w:hint="eastAsia"/>
              </w:rPr>
              <w:t>从服务商的资质、经验、技术力量等方面进行评审：</w:t>
            </w:r>
          </w:p>
          <w:p>
            <w:pPr>
              <w:widowControl/>
              <w:ind w:right="-34"/>
              <w:jc w:val="left"/>
              <w:rPr>
                <w:szCs w:val="21"/>
              </w:rPr>
            </w:pPr>
            <w:r>
              <w:t>1</w:t>
            </w:r>
            <w:r>
              <w:rPr>
                <w:rFonts w:hint="eastAsia"/>
              </w:rPr>
              <w:t>、服务商</w:t>
            </w:r>
            <w:r>
              <w:rPr>
                <w:rFonts w:hint="eastAsia"/>
                <w:szCs w:val="21"/>
              </w:rPr>
              <w:t>综合实力强，经验丰富、人员安排合理，得6分；</w:t>
            </w:r>
          </w:p>
          <w:p>
            <w:pPr>
              <w:widowControl/>
              <w:ind w:right="-34"/>
              <w:jc w:val="left"/>
              <w:rPr>
                <w:szCs w:val="21"/>
              </w:rPr>
            </w:pPr>
            <w:r>
              <w:t>2</w:t>
            </w:r>
            <w:r>
              <w:rPr>
                <w:rFonts w:hint="eastAsia"/>
              </w:rPr>
              <w:t>、服务商</w:t>
            </w:r>
            <w:r>
              <w:rPr>
                <w:rFonts w:hint="eastAsia"/>
                <w:szCs w:val="21"/>
              </w:rPr>
              <w:t>综合实力较强，经验较丰富、人员安排较合理，得4分；</w:t>
            </w:r>
          </w:p>
          <w:p>
            <w:pPr>
              <w:widowControl/>
              <w:ind w:right="-34"/>
              <w:jc w:val="left"/>
              <w:rPr>
                <w:szCs w:val="21"/>
              </w:rPr>
            </w:pPr>
            <w:r>
              <w:t>3</w:t>
            </w:r>
            <w:r>
              <w:rPr>
                <w:rFonts w:hint="eastAsia"/>
              </w:rPr>
              <w:t>、服务商</w:t>
            </w:r>
            <w:r>
              <w:rPr>
                <w:rFonts w:hint="eastAsia"/>
                <w:szCs w:val="21"/>
              </w:rPr>
              <w:t>综合实力及项目团队力量基本能满足项目要求，得2分；</w:t>
            </w:r>
          </w:p>
          <w:p>
            <w:r>
              <w:rPr>
                <w:rFonts w:hint="eastAsia"/>
              </w:rPr>
              <w:t>注：未提供的不得分。</w:t>
            </w:r>
          </w:p>
        </w:tc>
        <w:tc>
          <w:tcPr>
            <w:tcW w:w="1138" w:type="dxa"/>
            <w:noWrap w:val="0"/>
            <w:vAlign w:val="top"/>
          </w:tcPr>
          <w:p>
            <w:pPr>
              <w:jc w:val="center"/>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74" w:type="dxa"/>
            <w:noWrap w:val="0"/>
            <w:vAlign w:val="top"/>
          </w:tcPr>
          <w:p>
            <w:pPr>
              <w:jc w:val="center"/>
            </w:pPr>
            <w:r>
              <w:rPr>
                <w:rFonts w:hint="eastAsia"/>
              </w:rPr>
              <w:t>4</w:t>
            </w:r>
          </w:p>
        </w:tc>
        <w:tc>
          <w:tcPr>
            <w:tcW w:w="1456" w:type="dxa"/>
            <w:noWrap w:val="0"/>
            <w:vAlign w:val="top"/>
          </w:tcPr>
          <w:p>
            <w:r>
              <w:rPr>
                <w:rFonts w:hint="eastAsia"/>
              </w:rPr>
              <w:t>商务条款响应</w:t>
            </w:r>
          </w:p>
        </w:tc>
        <w:tc>
          <w:tcPr>
            <w:tcW w:w="5249" w:type="dxa"/>
            <w:noWrap w:val="0"/>
            <w:vAlign w:val="top"/>
          </w:tcPr>
          <w:p>
            <w:pPr>
              <w:widowControl/>
            </w:pPr>
            <w:r>
              <w:rPr>
                <w:rFonts w:ascii="Calibri" w:hAnsi="Calibri"/>
              </w:rPr>
              <w:t>根据</w:t>
            </w:r>
            <w:r>
              <w:rPr>
                <w:rFonts w:hint="eastAsia" w:ascii="Calibri" w:hAnsi="Calibri"/>
              </w:rPr>
              <w:t>响应文件</w:t>
            </w:r>
            <w:r>
              <w:rPr>
                <w:rFonts w:ascii="Calibri" w:hAnsi="Calibri"/>
              </w:rPr>
              <w:t>对“</w:t>
            </w:r>
            <w:r>
              <w:rPr>
                <w:rFonts w:hint="eastAsia" w:ascii="Calibri" w:hAnsi="Calibri"/>
              </w:rPr>
              <w:t>项目要求</w:t>
            </w:r>
            <w:r>
              <w:rPr>
                <w:rFonts w:ascii="Calibri" w:hAnsi="Calibri"/>
              </w:rPr>
              <w:t>”</w:t>
            </w:r>
            <w:r>
              <w:rPr>
                <w:rFonts w:hint="eastAsia" w:ascii="Calibri" w:hAnsi="Calibri"/>
              </w:rPr>
              <w:t>的响应情况</w:t>
            </w:r>
            <w:r>
              <w:rPr>
                <w:rFonts w:ascii="Calibri" w:hAnsi="Calibri"/>
              </w:rPr>
              <w:t>进行评审和比较：完全响应</w:t>
            </w:r>
            <w:r>
              <w:rPr>
                <w:rFonts w:hint="eastAsia" w:ascii="Calibri" w:hAnsi="Calibri"/>
              </w:rPr>
              <w:t>的</w:t>
            </w:r>
            <w:r>
              <w:rPr>
                <w:rFonts w:ascii="Calibri" w:hAnsi="Calibri"/>
              </w:rPr>
              <w:t>，得</w:t>
            </w:r>
            <w:r>
              <w:rPr>
                <w:rFonts w:hint="eastAsia" w:ascii="Calibri" w:hAnsi="Calibri"/>
              </w:rPr>
              <w:t>6</w:t>
            </w:r>
            <w:r>
              <w:rPr>
                <w:rFonts w:ascii="Calibri" w:hAnsi="Calibri"/>
              </w:rPr>
              <w:t>分；每负偏离一项扣</w:t>
            </w:r>
            <w:r>
              <w:rPr>
                <w:rFonts w:hint="eastAsia" w:ascii="Calibri" w:hAnsi="Calibri"/>
              </w:rPr>
              <w:t>1</w:t>
            </w:r>
            <w:r>
              <w:rPr>
                <w:rFonts w:ascii="Calibri" w:hAnsi="Calibri"/>
              </w:rPr>
              <w:t>分</w:t>
            </w:r>
            <w:r>
              <w:rPr>
                <w:rFonts w:hint="eastAsia" w:ascii="Calibri" w:hAnsi="Calibri"/>
              </w:rPr>
              <w:t>，</w:t>
            </w:r>
            <w:r>
              <w:rPr>
                <w:rFonts w:ascii="Calibri" w:hAnsi="Calibri"/>
              </w:rPr>
              <w:t>扣完为止</w:t>
            </w:r>
            <w:r>
              <w:rPr>
                <w:rFonts w:hint="eastAsia" w:ascii="Calibri" w:hAnsi="Calibri"/>
              </w:rPr>
              <w:t>。</w:t>
            </w:r>
          </w:p>
          <w:p>
            <w:r>
              <w:rPr>
                <w:rFonts w:hint="eastAsia"/>
              </w:rPr>
              <w:t>注：未提供“项目要求响应表”的不得分。</w:t>
            </w:r>
          </w:p>
        </w:tc>
        <w:tc>
          <w:tcPr>
            <w:tcW w:w="1138" w:type="dxa"/>
            <w:noWrap w:val="0"/>
            <w:vAlign w:val="top"/>
          </w:tcPr>
          <w:p>
            <w:pPr>
              <w:jc w:val="center"/>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74" w:type="dxa"/>
            <w:noWrap w:val="0"/>
            <w:vAlign w:val="top"/>
          </w:tcPr>
          <w:p>
            <w:pPr>
              <w:jc w:val="center"/>
            </w:pPr>
            <w:r>
              <w:rPr>
                <w:rFonts w:hint="eastAsia"/>
              </w:rPr>
              <w:t>5</w:t>
            </w:r>
          </w:p>
        </w:tc>
        <w:tc>
          <w:tcPr>
            <w:tcW w:w="1456" w:type="dxa"/>
            <w:noWrap w:val="0"/>
            <w:vAlign w:val="top"/>
          </w:tcPr>
          <w:p>
            <w:r>
              <w:rPr>
                <w:rFonts w:hint="eastAsia"/>
              </w:rPr>
              <w:t>信息管理系统的利用</w:t>
            </w:r>
          </w:p>
        </w:tc>
        <w:tc>
          <w:tcPr>
            <w:tcW w:w="5249" w:type="dxa"/>
            <w:noWrap w:val="0"/>
            <w:vAlign w:val="top"/>
          </w:tcPr>
          <w:p>
            <w:r>
              <w:rPr>
                <w:rFonts w:hint="eastAsia" w:ascii="Calibri" w:hAnsi="Calibri"/>
              </w:rPr>
              <w:t xml:space="preserve">投标人具有独立的测评终端和采集软件系统，可操作性强，能为医院建立专属的数据应用数据库，且拟投入本项目使用，得6分。 </w:t>
            </w:r>
            <w:r>
              <w:rPr>
                <w:rFonts w:hint="eastAsia" w:ascii="Calibri" w:hAnsi="Calibri"/>
              </w:rPr>
              <w:br w:type="textWrapping"/>
            </w:r>
            <w:r>
              <w:rPr>
                <w:rFonts w:hint="eastAsia" w:ascii="Calibri" w:hAnsi="Calibri"/>
              </w:rPr>
              <w:t xml:space="preserve">注：如为自有系统的，提供软件著作权证明材料；如为租赁或购买系统的，提供租赁或购买合同及发票复印件；不提供不得分。 </w:t>
            </w:r>
          </w:p>
        </w:tc>
        <w:tc>
          <w:tcPr>
            <w:tcW w:w="1138" w:type="dxa"/>
            <w:noWrap w:val="0"/>
            <w:vAlign w:val="top"/>
          </w:tcPr>
          <w:p>
            <w:pPr>
              <w:jc w:val="center"/>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74" w:type="dxa"/>
            <w:noWrap w:val="0"/>
            <w:vAlign w:val="top"/>
          </w:tcPr>
          <w:p>
            <w:pPr>
              <w:jc w:val="center"/>
              <w:rPr>
                <w:b/>
                <w:bCs/>
              </w:rPr>
            </w:pPr>
            <w:r>
              <w:rPr>
                <w:rFonts w:hint="eastAsia"/>
                <w:b/>
                <w:bCs/>
              </w:rPr>
              <w:t>三</w:t>
            </w:r>
          </w:p>
        </w:tc>
        <w:tc>
          <w:tcPr>
            <w:tcW w:w="7843" w:type="dxa"/>
            <w:gridSpan w:val="3"/>
            <w:noWrap w:val="0"/>
            <w:vAlign w:val="top"/>
          </w:tcPr>
          <w:p>
            <w:pPr>
              <w:jc w:val="center"/>
              <w:rPr>
                <w:b/>
                <w:bCs/>
              </w:rPr>
            </w:pPr>
            <w:r>
              <w:rPr>
                <w:rFonts w:hint="eastAsia"/>
                <w:b/>
                <w:bCs/>
              </w:rPr>
              <w:t>价格部分（30分）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74" w:type="dxa"/>
            <w:noWrap w:val="0"/>
            <w:vAlign w:val="top"/>
          </w:tcPr>
          <w:p>
            <w:pPr>
              <w:jc w:val="center"/>
            </w:pPr>
            <w:r>
              <w:rPr>
                <w:rFonts w:hint="eastAsia"/>
              </w:rPr>
              <w:t>1</w:t>
            </w:r>
          </w:p>
        </w:tc>
        <w:tc>
          <w:tcPr>
            <w:tcW w:w="1456" w:type="dxa"/>
            <w:noWrap w:val="0"/>
            <w:vAlign w:val="top"/>
          </w:tcPr>
          <w:p>
            <w:r>
              <w:rPr>
                <w:rFonts w:hint="eastAsia"/>
              </w:rPr>
              <w:t>投标报价</w:t>
            </w:r>
          </w:p>
        </w:tc>
        <w:tc>
          <w:tcPr>
            <w:tcW w:w="5249" w:type="dxa"/>
            <w:noWrap w:val="0"/>
            <w:vAlign w:val="top"/>
          </w:tcPr>
          <w:p>
            <w:r>
              <w:rPr>
                <w:rFonts w:hint="eastAsia"/>
              </w:rPr>
              <w:t>价格分采用低价优先法计算，即满足招标文件要求且投标价格最低的投标报价为评价基准价，其价格分为满分。其他投标人的价格分统一按照下列公式计算：</w:t>
            </w:r>
          </w:p>
          <w:p>
            <w:r>
              <w:rPr>
                <w:rFonts w:hint="eastAsia"/>
              </w:rPr>
              <w:t>价格得分=（评标基准价/投标报价）</w:t>
            </w:r>
            <w:r>
              <w:rPr>
                <w:rFonts w:ascii="Arial" w:hAnsi="Arial" w:cs="Arial"/>
              </w:rPr>
              <w:t>×</w:t>
            </w:r>
            <w:r>
              <w:rPr>
                <w:rFonts w:hint="eastAsia"/>
              </w:rPr>
              <w:t>100</w:t>
            </w:r>
            <w:r>
              <w:rPr>
                <w:rFonts w:hint="eastAsia" w:ascii="微软雅黑" w:hAnsi="微软雅黑" w:eastAsia="微软雅黑" w:cs="微软雅黑"/>
              </w:rPr>
              <w:t>×</w:t>
            </w:r>
            <w:r>
              <w:rPr>
                <w:rFonts w:hint="eastAsia"/>
              </w:rPr>
              <w:t>价格权重。</w:t>
            </w:r>
          </w:p>
          <w:p>
            <w:r>
              <w:rPr>
                <w:rFonts w:hint="eastAsia"/>
              </w:rPr>
              <w:t>注：1、因落实政府采购政策进行价格调整的，以调整后的价格计算评标基准价和投标报价，详见《价格扣除》；2、投标报价得分四舍五入后，小数点后保留两位数有效数。</w:t>
            </w:r>
          </w:p>
        </w:tc>
        <w:tc>
          <w:tcPr>
            <w:tcW w:w="1138" w:type="dxa"/>
            <w:noWrap w:val="0"/>
            <w:vAlign w:val="top"/>
          </w:tcPr>
          <w:p>
            <w:pPr>
              <w:jc w:val="center"/>
            </w:pPr>
            <w:r>
              <w:rPr>
                <w:rFonts w:hint="eastAsi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479" w:type="dxa"/>
            <w:gridSpan w:val="3"/>
            <w:noWrap w:val="0"/>
            <w:vAlign w:val="top"/>
          </w:tcPr>
          <w:p>
            <w:pPr>
              <w:jc w:val="center"/>
              <w:rPr>
                <w:b/>
                <w:bCs/>
              </w:rPr>
            </w:pPr>
            <w:r>
              <w:rPr>
                <w:rFonts w:hint="eastAsia"/>
                <w:b/>
                <w:bCs/>
              </w:rPr>
              <w:t>合  计</w:t>
            </w:r>
          </w:p>
        </w:tc>
        <w:tc>
          <w:tcPr>
            <w:tcW w:w="1138" w:type="dxa"/>
            <w:noWrap w:val="0"/>
            <w:vAlign w:val="top"/>
          </w:tcPr>
          <w:p>
            <w:pPr>
              <w:jc w:val="center"/>
              <w:rPr>
                <w:b/>
                <w:bCs/>
              </w:rPr>
            </w:pPr>
            <w:r>
              <w:rPr>
                <w:rFonts w:hint="eastAsia"/>
                <w:b/>
                <w:bCs/>
              </w:rPr>
              <w:t>100</w:t>
            </w:r>
          </w:p>
        </w:tc>
      </w:tr>
    </w:tbl>
    <w:p/>
    <w:p>
      <w:pPr>
        <w:rPr>
          <w:rFonts w:hint="eastAsia" w:ascii="宋体" w:hAnsi="宋体"/>
          <w:b/>
          <w:sz w:val="24"/>
        </w:rPr>
      </w:pPr>
      <w:r>
        <w:rPr>
          <w:rFonts w:hint="eastAsia" w:ascii="宋体" w:hAnsi="宋体"/>
          <w:b/>
          <w:sz w:val="24"/>
        </w:rPr>
        <w:t>九、为保证本项目的顺利完成，投标方应列明需业主配合的工作内容和具体要求。</w:t>
      </w:r>
    </w:p>
    <w:p>
      <w:pPr>
        <w:rPr>
          <w:b/>
          <w:bCs/>
          <w:sz w:val="28"/>
          <w:szCs w:val="28"/>
        </w:rPr>
      </w:pPr>
      <w:r>
        <w:rPr>
          <w:rFonts w:hint="eastAsia"/>
          <w:b/>
          <w:bCs/>
          <w:sz w:val="28"/>
          <w:szCs w:val="28"/>
        </w:rPr>
        <w:t>十、合同——违约责任</w:t>
      </w:r>
    </w:p>
    <w:p>
      <w:pPr>
        <w:spacing w:line="276" w:lineRule="auto"/>
        <w:ind w:firstLine="440" w:firstLineChars="200"/>
        <w:jc w:val="left"/>
        <w:rPr>
          <w:rFonts w:ascii="宋体" w:hAnsi="宋体"/>
          <w:sz w:val="22"/>
          <w:szCs w:val="22"/>
        </w:rPr>
      </w:pPr>
      <w:r>
        <w:rPr>
          <w:rFonts w:hint="eastAsia" w:ascii="宋体" w:hAnsi="宋体"/>
          <w:sz w:val="22"/>
          <w:szCs w:val="22"/>
        </w:rPr>
        <w:t>1</w:t>
      </w:r>
      <w:r>
        <w:rPr>
          <w:rFonts w:ascii="宋体" w:hAnsi="宋体"/>
          <w:sz w:val="22"/>
          <w:szCs w:val="22"/>
        </w:rPr>
        <w:t>.</w:t>
      </w:r>
      <w:r>
        <w:rPr>
          <w:rFonts w:hint="eastAsia" w:ascii="宋体" w:hAnsi="宋体"/>
          <w:sz w:val="22"/>
          <w:szCs w:val="22"/>
        </w:rPr>
        <w:t>任何一方未履行本协议项下的任何一项条款均被视为违约。违约方应承担因自己的违约行为而给守约方造成的经济损失。</w:t>
      </w:r>
    </w:p>
    <w:p>
      <w:pPr>
        <w:spacing w:line="276" w:lineRule="auto"/>
        <w:ind w:firstLine="440" w:firstLineChars="200"/>
        <w:jc w:val="left"/>
        <w:rPr>
          <w:rFonts w:ascii="宋体" w:hAnsi="宋体"/>
          <w:sz w:val="22"/>
          <w:szCs w:val="22"/>
        </w:rPr>
      </w:pPr>
      <w:r>
        <w:rPr>
          <w:rFonts w:hint="eastAsia" w:ascii="宋体" w:hAnsi="宋体"/>
          <w:sz w:val="22"/>
          <w:szCs w:val="22"/>
        </w:rPr>
        <w:t>2.如乙方不能提供原始资料和录音，乙方应向甲方支付相当于合同总金额10％的违约金，甲方有权直接从应支付乙方的相应合同金额中扣除。</w:t>
      </w:r>
    </w:p>
    <w:p>
      <w:pPr>
        <w:spacing w:line="276" w:lineRule="auto"/>
        <w:ind w:firstLine="440" w:firstLineChars="200"/>
        <w:jc w:val="left"/>
        <w:rPr>
          <w:rFonts w:ascii="宋体" w:hAnsi="宋体"/>
          <w:sz w:val="22"/>
          <w:szCs w:val="22"/>
        </w:rPr>
      </w:pPr>
      <w:r>
        <w:rPr>
          <w:rFonts w:hint="eastAsia" w:ascii="宋体" w:hAnsi="宋体"/>
          <w:sz w:val="22"/>
          <w:szCs w:val="22"/>
        </w:rPr>
        <w:t>3</w:t>
      </w:r>
      <w:r>
        <w:rPr>
          <w:rFonts w:ascii="宋体" w:hAnsi="宋体"/>
          <w:sz w:val="22"/>
          <w:szCs w:val="22"/>
        </w:rPr>
        <w:t>.</w:t>
      </w:r>
      <w:r>
        <w:rPr>
          <w:rFonts w:hint="eastAsia" w:ascii="宋体" w:hAnsi="宋体"/>
          <w:sz w:val="22"/>
          <w:szCs w:val="22"/>
        </w:rPr>
        <w:t>如乙方无法在规定时间内提交调查成果，每逾期一天，乙方应向甲方支付相当于合同总金额0.1％的违约金；甲方有权直接从应支付乙方的相应合同金额中扣除。逾期超过15天，甲方有权解除本合同，乙方向甲方支付合同总金额20%的违约金，造成甲方的其它损失，乙方应承担相应的赔偿责任。如甲方要求乙方继续履行合同义务，则乙方应在甲方要求的时间内完成工作。</w:t>
      </w:r>
    </w:p>
    <w:p>
      <w:pPr>
        <w:spacing w:line="276" w:lineRule="auto"/>
        <w:ind w:firstLine="440" w:firstLineChars="200"/>
        <w:jc w:val="left"/>
        <w:rPr>
          <w:rFonts w:ascii="宋体" w:hAnsi="宋体"/>
          <w:sz w:val="22"/>
          <w:szCs w:val="22"/>
        </w:rPr>
      </w:pPr>
      <w:r>
        <w:rPr>
          <w:rFonts w:hint="eastAsia" w:ascii="宋体" w:hAnsi="宋体"/>
          <w:sz w:val="22"/>
          <w:szCs w:val="22"/>
        </w:rPr>
        <w:t>4</w:t>
      </w:r>
      <w:r>
        <w:rPr>
          <w:rFonts w:ascii="宋体" w:hAnsi="宋体"/>
          <w:sz w:val="22"/>
          <w:szCs w:val="22"/>
        </w:rPr>
        <w:t>.</w:t>
      </w:r>
      <w:r>
        <w:rPr>
          <w:rFonts w:hint="eastAsia" w:ascii="宋体" w:hAnsi="宋体"/>
          <w:sz w:val="22"/>
          <w:szCs w:val="22"/>
        </w:rPr>
        <w:t>如因乙方行为侵害甲方和第三方合法权益，乙方应负责处理并承担所有责任。因此给甲方造成损失的，乙方应承担赔偿责任。</w:t>
      </w:r>
    </w:p>
    <w:p>
      <w:pPr>
        <w:widowControl/>
        <w:adjustRightInd w:val="0"/>
        <w:snapToGrid w:val="0"/>
        <w:spacing w:line="360" w:lineRule="auto"/>
        <w:jc w:val="left"/>
        <w:rPr>
          <w:rFonts w:hint="eastAsia" w:ascii="宋体" w:hAnsi="宋体" w:cs="宋体"/>
          <w:b/>
          <w:bCs/>
          <w:kern w:val="0"/>
          <w:sz w:val="24"/>
        </w:rPr>
      </w:pPr>
      <w:r>
        <w:rPr>
          <w:rFonts w:hint="eastAsia" w:ascii="宋体" w:hAnsi="宋体" w:cs="宋体"/>
          <w:b/>
          <w:bCs/>
          <w:kern w:val="0"/>
          <w:sz w:val="24"/>
        </w:rPr>
        <w:t>十一、投标文件格式要求及项目时间</w:t>
      </w:r>
    </w:p>
    <w:p>
      <w:pPr>
        <w:widowControl/>
        <w:adjustRightInd w:val="0"/>
        <w:snapToGrid w:val="0"/>
        <w:spacing w:line="360" w:lineRule="auto"/>
        <w:ind w:firstLine="420"/>
        <w:jc w:val="left"/>
        <w:rPr>
          <w:rFonts w:hint="eastAsia" w:ascii="宋体" w:hAnsi="宋体"/>
          <w:sz w:val="24"/>
        </w:rPr>
      </w:pPr>
      <w:r>
        <w:rPr>
          <w:rFonts w:hint="eastAsia" w:ascii="宋体" w:hAnsi="宋体"/>
          <w:sz w:val="24"/>
        </w:rPr>
        <w:t>1、正本一份(含报价、资质等全部文件,需投标方法人代表签字、单位盖章)，副本二份。投标文件封面应注明“正本”和“副本”,要求正副本相符，若正本与副本不符，以正本为准。</w:t>
      </w:r>
    </w:p>
    <w:p>
      <w:pPr>
        <w:widowControl/>
        <w:adjustRightInd w:val="0"/>
        <w:snapToGrid w:val="0"/>
        <w:spacing w:line="360" w:lineRule="auto"/>
        <w:ind w:firstLine="420"/>
        <w:jc w:val="left"/>
        <w:rPr>
          <w:rFonts w:hint="eastAsia" w:ascii="宋体" w:hAnsi="宋体"/>
          <w:sz w:val="24"/>
        </w:rPr>
      </w:pPr>
      <w:r>
        <w:rPr>
          <w:rFonts w:hint="eastAsia" w:ascii="宋体" w:hAnsi="宋体"/>
          <w:sz w:val="24"/>
        </w:rPr>
        <w:t xml:space="preserve">2、标书封面（邮寄标书的，需在邮件封面标识）写明所投项目名称、联系电话及联系人。 </w:t>
      </w:r>
    </w:p>
    <w:p>
      <w:pPr>
        <w:widowControl/>
        <w:adjustRightInd w:val="0"/>
        <w:snapToGrid w:val="0"/>
        <w:spacing w:line="360" w:lineRule="auto"/>
        <w:ind w:firstLine="480" w:firstLineChars="200"/>
        <w:jc w:val="left"/>
        <w:rPr>
          <w:rFonts w:hint="eastAsia" w:ascii="宋体" w:hAnsi="宋体"/>
          <w:sz w:val="24"/>
        </w:rPr>
      </w:pPr>
      <w:r>
        <w:rPr>
          <w:rFonts w:hint="eastAsia" w:ascii="宋体" w:hAnsi="宋体"/>
          <w:sz w:val="24"/>
        </w:rPr>
        <w:t>3、投标文件送达时间：即日起至2023年 11月 17日17:00 时止。</w:t>
      </w:r>
    </w:p>
    <w:p>
      <w:pPr>
        <w:widowControl/>
        <w:adjustRightInd w:val="0"/>
        <w:snapToGrid w:val="0"/>
        <w:spacing w:line="360" w:lineRule="auto"/>
        <w:ind w:firstLine="480" w:firstLineChars="200"/>
        <w:jc w:val="left"/>
        <w:rPr>
          <w:rFonts w:hint="eastAsia" w:ascii="宋体" w:hAnsi="宋体"/>
          <w:sz w:val="24"/>
        </w:rPr>
      </w:pPr>
      <w:r>
        <w:rPr>
          <w:rFonts w:hint="eastAsia" w:ascii="宋体" w:hAnsi="宋体"/>
          <w:sz w:val="24"/>
        </w:rPr>
        <w:t>4、标书送达地点：汕头大学医学院附属肿瘤医院总务招标小组</w:t>
      </w:r>
    </w:p>
    <w:p>
      <w:pPr>
        <w:widowControl/>
        <w:adjustRightInd w:val="0"/>
        <w:snapToGrid w:val="0"/>
        <w:spacing w:line="360" w:lineRule="auto"/>
        <w:ind w:firstLine="480" w:firstLineChars="200"/>
        <w:jc w:val="left"/>
        <w:rPr>
          <w:rFonts w:hint="eastAsia" w:ascii="宋体" w:hAnsi="宋体"/>
          <w:sz w:val="24"/>
        </w:rPr>
      </w:pPr>
      <w:r>
        <w:rPr>
          <w:rFonts w:hint="eastAsia" w:ascii="宋体" w:hAnsi="宋体"/>
          <w:sz w:val="24"/>
        </w:rPr>
        <w:t>地址：汕头市饶平路7号   综合门诊部3号楼二楼  总务科</w:t>
      </w:r>
    </w:p>
    <w:p>
      <w:pPr>
        <w:widowControl/>
        <w:adjustRightInd w:val="0"/>
        <w:snapToGrid w:val="0"/>
        <w:spacing w:line="360" w:lineRule="auto"/>
        <w:ind w:firstLine="480" w:firstLineChars="200"/>
        <w:jc w:val="left"/>
        <w:rPr>
          <w:rFonts w:hint="eastAsia" w:ascii="宋体" w:hAnsi="宋体"/>
          <w:sz w:val="24"/>
        </w:rPr>
      </w:pPr>
      <w:r>
        <w:rPr>
          <w:rFonts w:hint="eastAsia" w:ascii="宋体" w:hAnsi="宋体"/>
          <w:sz w:val="24"/>
        </w:rPr>
        <w:t>联系电话：0754-88555844-1108 13531266526  邮政编码：515031</w:t>
      </w:r>
    </w:p>
    <w:p>
      <w:pPr>
        <w:widowControl/>
        <w:adjustRightInd w:val="0"/>
        <w:snapToGrid w:val="0"/>
        <w:spacing w:line="360" w:lineRule="auto"/>
        <w:ind w:firstLine="480" w:firstLineChars="200"/>
        <w:jc w:val="left"/>
        <w:rPr>
          <w:rFonts w:hint="eastAsia" w:ascii="宋体" w:hAnsi="宋体"/>
          <w:sz w:val="24"/>
        </w:rPr>
      </w:pPr>
      <w:r>
        <w:rPr>
          <w:rFonts w:hint="eastAsia" w:ascii="宋体" w:hAnsi="宋体"/>
          <w:sz w:val="24"/>
        </w:rPr>
        <w:t>联系人： 李老师</w:t>
      </w:r>
    </w:p>
    <w:p>
      <w:pPr>
        <w:rPr>
          <w:rFonts w:hint="eastAsia" w:ascii="宋体" w:hAnsi="宋体"/>
          <w:sz w:val="24"/>
        </w:rPr>
      </w:pPr>
    </w:p>
    <w:p>
      <w:pPr>
        <w:ind w:firstLine="3840" w:firstLineChars="1600"/>
        <w:rPr>
          <w:rFonts w:hint="eastAsia"/>
          <w:sz w:val="24"/>
        </w:rPr>
      </w:pPr>
      <w:r>
        <w:rPr>
          <w:rFonts w:hint="eastAsia"/>
          <w:sz w:val="24"/>
        </w:rPr>
        <w:t>汕头大学医学院附属肿瘤医院</w:t>
      </w:r>
    </w:p>
    <w:p>
      <w:pPr>
        <w:ind w:firstLine="3840" w:firstLineChars="1600"/>
        <w:rPr>
          <w:rFonts w:hint="eastAsia"/>
          <w:sz w:val="24"/>
        </w:rPr>
      </w:pPr>
      <w:r>
        <w:rPr>
          <w:rFonts w:hint="eastAsia"/>
          <w:sz w:val="24"/>
        </w:rPr>
        <w:t xml:space="preserve">    2023年11月06日</w:t>
      </w:r>
    </w:p>
    <w:p>
      <w:pPr>
        <w:ind w:firstLine="3840" w:firstLineChars="1600"/>
        <w:rPr>
          <w:rFonts w:hint="eastAsia"/>
          <w:sz w:val="24"/>
        </w:rPr>
      </w:pPr>
    </w:p>
    <w:p>
      <w:pPr>
        <w:ind w:firstLine="3840" w:firstLineChars="1600"/>
        <w:rPr>
          <w:rFonts w:hint="eastAsia"/>
          <w:sz w:val="24"/>
        </w:rPr>
      </w:pPr>
      <w:r>
        <w:rPr>
          <w:rFonts w:hint="eastAsia"/>
          <w:sz w:val="24"/>
        </w:rPr>
        <w:t>合同模版：</w:t>
      </w:r>
    </w:p>
    <w:p>
      <w:pPr>
        <w:pStyle w:val="8"/>
        <w:rPr>
          <w:rFonts w:hint="eastAsia"/>
          <w:b/>
          <w:sz w:val="44"/>
          <w:szCs w:val="44"/>
        </w:rPr>
      </w:pPr>
      <w:r>
        <w:rPr>
          <w:rFonts w:hint="eastAsia"/>
          <w:b/>
          <w:sz w:val="44"/>
          <w:szCs w:val="44"/>
        </w:rPr>
        <w:t>汕头大学医学院附属肿瘤医院患者及医院职工</w:t>
      </w:r>
    </w:p>
    <w:p>
      <w:pPr>
        <w:pStyle w:val="8"/>
        <w:rPr>
          <w:rFonts w:hint="eastAsia"/>
          <w:b/>
          <w:sz w:val="44"/>
          <w:szCs w:val="44"/>
        </w:rPr>
      </w:pPr>
      <w:r>
        <w:rPr>
          <w:rFonts w:hint="eastAsia"/>
          <w:b/>
          <w:sz w:val="44"/>
          <w:szCs w:val="44"/>
        </w:rPr>
        <w:t>满意度第三方评价项目合同</w:t>
      </w:r>
    </w:p>
    <w:p>
      <w:pPr>
        <w:pStyle w:val="8"/>
        <w:rPr>
          <w:b/>
          <w:sz w:val="48"/>
          <w:szCs w:val="48"/>
        </w:rPr>
      </w:pPr>
    </w:p>
    <w:p>
      <w:pPr>
        <w:pStyle w:val="8"/>
      </w:pPr>
    </w:p>
    <w:p>
      <w:pPr>
        <w:pStyle w:val="8"/>
      </w:pPr>
    </w:p>
    <w:p>
      <w:pPr>
        <w:pStyle w:val="8"/>
      </w:pPr>
    </w:p>
    <w:p>
      <w:pPr>
        <w:pStyle w:val="8"/>
      </w:pPr>
    </w:p>
    <w:p>
      <w:pPr>
        <w:pStyle w:val="8"/>
      </w:pPr>
    </w:p>
    <w:p>
      <w:pPr>
        <w:pStyle w:val="8"/>
        <w:ind w:firstLine="2400" w:firstLineChars="1000"/>
        <w:jc w:val="both"/>
        <w:rPr>
          <w:szCs w:val="24"/>
        </w:rPr>
      </w:pPr>
      <w:bookmarkStart w:id="0" w:name="fldHTBH"/>
      <w:bookmarkEnd w:id="0"/>
    </w:p>
    <w:p>
      <w:pPr>
        <w:pStyle w:val="8"/>
        <w:ind w:firstLine="2400" w:firstLineChars="1000"/>
        <w:jc w:val="both"/>
        <w:rPr>
          <w:szCs w:val="24"/>
        </w:rPr>
      </w:pPr>
    </w:p>
    <w:p>
      <w:pPr>
        <w:pStyle w:val="8"/>
        <w:ind w:firstLine="2400" w:firstLineChars="1000"/>
        <w:jc w:val="both"/>
        <w:rPr>
          <w:szCs w:val="24"/>
        </w:rPr>
      </w:pPr>
    </w:p>
    <w:p>
      <w:pPr>
        <w:pStyle w:val="8"/>
        <w:ind w:firstLine="2400" w:firstLineChars="1000"/>
        <w:jc w:val="both"/>
        <w:rPr>
          <w:rFonts w:hint="eastAsia"/>
          <w:szCs w:val="24"/>
        </w:rPr>
      </w:pPr>
    </w:p>
    <w:p>
      <w:pPr>
        <w:pStyle w:val="8"/>
      </w:pPr>
    </w:p>
    <w:p>
      <w:pPr>
        <w:pStyle w:val="8"/>
      </w:pPr>
      <w:bookmarkStart w:id="1" w:name="fldDSFBH"/>
      <w:bookmarkEnd w:id="1"/>
    </w:p>
    <w:p>
      <w:pPr>
        <w:pStyle w:val="8"/>
      </w:pPr>
    </w:p>
    <w:p>
      <w:pPr>
        <w:pStyle w:val="8"/>
      </w:pPr>
    </w:p>
    <w:p>
      <w:pPr>
        <w:pStyle w:val="8"/>
      </w:pPr>
    </w:p>
    <w:p>
      <w:pPr>
        <w:pStyle w:val="8"/>
      </w:pPr>
    </w:p>
    <w:p>
      <w:pPr>
        <w:pStyle w:val="8"/>
      </w:pPr>
    </w:p>
    <w:p>
      <w:pPr>
        <w:pStyle w:val="8"/>
      </w:pPr>
    </w:p>
    <w:p>
      <w:pPr>
        <w:pStyle w:val="8"/>
      </w:pPr>
    </w:p>
    <w:p>
      <w:pPr>
        <w:pStyle w:val="8"/>
        <w:ind w:firstLine="2400" w:firstLineChars="1000"/>
        <w:jc w:val="both"/>
        <w:rPr>
          <w:rFonts w:hint="eastAsia"/>
          <w:szCs w:val="24"/>
        </w:rPr>
      </w:pPr>
      <w:r>
        <w:rPr>
          <w:rFonts w:hint="eastAsia"/>
          <w:szCs w:val="24"/>
        </w:rPr>
        <w:t>签订日期：2023年  月   日</w:t>
      </w:r>
    </w:p>
    <w:p>
      <w:pPr>
        <w:pStyle w:val="8"/>
      </w:pPr>
    </w:p>
    <w:p>
      <w:pPr>
        <w:pStyle w:val="8"/>
        <w:ind w:firstLine="2400" w:firstLineChars="1000"/>
        <w:jc w:val="both"/>
        <w:rPr>
          <w:szCs w:val="24"/>
        </w:rPr>
      </w:pPr>
      <w:r>
        <w:rPr>
          <w:rFonts w:hint="eastAsia"/>
          <w:szCs w:val="24"/>
        </w:rPr>
        <w:t>签订地点：</w:t>
      </w:r>
      <w:bookmarkStart w:id="2" w:name="fldQDDD"/>
      <w:bookmarkEnd w:id="2"/>
    </w:p>
    <w:p>
      <w:pPr>
        <w:pStyle w:val="8"/>
      </w:pPr>
    </w:p>
    <w:p>
      <w:pPr>
        <w:pStyle w:val="8"/>
        <w:jc w:val="both"/>
        <w:rPr>
          <w:rFonts w:hint="eastAsia"/>
        </w:rPr>
      </w:pPr>
      <w:bookmarkStart w:id="3" w:name="fldWJNR1"/>
      <w:bookmarkEnd w:id="3"/>
    </w:p>
    <w:p>
      <w:pPr>
        <w:snapToGrid w:val="0"/>
        <w:spacing w:line="312" w:lineRule="auto"/>
        <w:jc w:val="center"/>
        <w:rPr>
          <w:rFonts w:ascii="仿宋_GB2312"/>
          <w:sz w:val="24"/>
        </w:rPr>
        <w:sectPr>
          <w:footerReference r:id="rId5" w:type="even"/>
          <w:pgSz w:w="11907" w:h="16840"/>
          <w:pgMar w:top="1701" w:right="1134" w:bottom="1701" w:left="1134" w:header="851" w:footer="992" w:gutter="0"/>
          <w:cols w:space="720" w:num="1"/>
          <w:formProt w:val="0"/>
          <w:docGrid w:linePitch="435" w:charSpace="4096"/>
        </w:sectPr>
      </w:pPr>
    </w:p>
    <w:p>
      <w:pPr>
        <w:ind w:firstLine="520" w:firstLineChars="200"/>
        <w:outlineLvl w:val="0"/>
        <w:rPr>
          <w:rFonts w:hint="eastAsia" w:ascii="宋体" w:hAnsi="宋体"/>
          <w:b/>
          <w:sz w:val="24"/>
        </w:rPr>
      </w:pPr>
    </w:p>
    <w:p>
      <w:pPr>
        <w:ind w:firstLine="520" w:firstLineChars="200"/>
        <w:rPr>
          <w:rFonts w:ascii="宋体" w:hAnsi="宋体"/>
          <w:sz w:val="24"/>
        </w:rPr>
        <w:sectPr>
          <w:headerReference r:id="rId6" w:type="default"/>
          <w:footerReference r:id="rId7" w:type="even"/>
          <w:type w:val="continuous"/>
          <w:pgSz w:w="11907" w:h="16840"/>
          <w:pgMar w:top="1701" w:right="953" w:bottom="1701" w:left="1701" w:header="851" w:footer="992" w:gutter="0"/>
          <w:pgNumType w:start="30"/>
          <w:cols w:space="720" w:num="1"/>
          <w:docGrid w:type="linesAndChars" w:linePitch="435" w:charSpace="4096"/>
        </w:sectPr>
      </w:pPr>
    </w:p>
    <w:p>
      <w:pPr>
        <w:spacing w:line="360" w:lineRule="auto"/>
        <w:ind w:firstLine="440" w:firstLineChars="200"/>
        <w:rPr>
          <w:rFonts w:hint="eastAsia"/>
          <w:sz w:val="22"/>
          <w:szCs w:val="22"/>
        </w:rPr>
      </w:pPr>
      <w:r>
        <w:rPr>
          <w:rFonts w:hint="eastAsia"/>
          <w:sz w:val="22"/>
          <w:szCs w:val="22"/>
        </w:rPr>
        <w:t>甲方：汕头大学医学院附属肿瘤医院</w:t>
      </w:r>
    </w:p>
    <w:p>
      <w:pPr>
        <w:spacing w:line="360" w:lineRule="auto"/>
        <w:ind w:firstLine="440" w:firstLineChars="200"/>
        <w:rPr>
          <w:rFonts w:hint="eastAsia"/>
          <w:sz w:val="22"/>
          <w:szCs w:val="22"/>
        </w:rPr>
      </w:pPr>
      <w:r>
        <w:rPr>
          <w:rFonts w:hint="eastAsia"/>
          <w:sz w:val="22"/>
          <w:szCs w:val="22"/>
        </w:rPr>
        <w:t>电话：</w:t>
      </w:r>
      <w:r>
        <w:rPr>
          <w:rFonts w:hint="eastAsia"/>
          <w:sz w:val="22"/>
          <w:szCs w:val="22"/>
        </w:rPr>
        <w:tab/>
      </w:r>
      <w:r>
        <w:rPr>
          <w:rFonts w:hint="eastAsia"/>
          <w:sz w:val="22"/>
          <w:szCs w:val="22"/>
        </w:rPr>
        <w:t>0754-88560352</w:t>
      </w:r>
    </w:p>
    <w:p>
      <w:pPr>
        <w:spacing w:line="360" w:lineRule="auto"/>
        <w:ind w:firstLine="440" w:firstLineChars="200"/>
        <w:rPr>
          <w:sz w:val="22"/>
          <w:szCs w:val="22"/>
        </w:rPr>
      </w:pPr>
      <w:r>
        <w:rPr>
          <w:rFonts w:hint="eastAsia"/>
          <w:sz w:val="22"/>
          <w:szCs w:val="22"/>
        </w:rPr>
        <w:t>地址：</w:t>
      </w:r>
      <w:r>
        <w:rPr>
          <w:sz w:val="22"/>
          <w:szCs w:val="22"/>
        </w:rPr>
        <w:tab/>
      </w:r>
      <w:r>
        <w:rPr>
          <w:rFonts w:hint="eastAsia"/>
          <w:sz w:val="22"/>
          <w:szCs w:val="22"/>
        </w:rPr>
        <w:t>广东省汕头市金平区饶平路7号</w:t>
      </w:r>
    </w:p>
    <w:p>
      <w:pPr>
        <w:spacing w:line="360" w:lineRule="auto"/>
        <w:ind w:firstLine="440" w:firstLineChars="200"/>
        <w:rPr>
          <w:rFonts w:hint="eastAsia"/>
          <w:sz w:val="22"/>
          <w:szCs w:val="22"/>
        </w:rPr>
      </w:pPr>
      <w:r>
        <w:rPr>
          <w:rFonts w:hint="eastAsia"/>
          <w:sz w:val="22"/>
          <w:szCs w:val="22"/>
        </w:rPr>
        <w:t xml:space="preserve">乙方： </w:t>
      </w:r>
    </w:p>
    <w:p>
      <w:pPr>
        <w:spacing w:line="360" w:lineRule="auto"/>
        <w:ind w:firstLine="440" w:firstLineChars="200"/>
        <w:rPr>
          <w:rFonts w:hint="eastAsia"/>
          <w:sz w:val="22"/>
          <w:szCs w:val="22"/>
        </w:rPr>
      </w:pPr>
      <w:r>
        <w:rPr>
          <w:rFonts w:hint="eastAsia"/>
          <w:sz w:val="22"/>
          <w:szCs w:val="22"/>
        </w:rPr>
        <w:t>电话：</w:t>
      </w:r>
    </w:p>
    <w:p>
      <w:pPr>
        <w:spacing w:line="360" w:lineRule="auto"/>
        <w:ind w:firstLine="440" w:firstLineChars="200"/>
        <w:rPr>
          <w:rFonts w:hint="eastAsia"/>
          <w:sz w:val="22"/>
          <w:szCs w:val="22"/>
        </w:rPr>
      </w:pPr>
      <w:r>
        <w:rPr>
          <w:rFonts w:hint="eastAsia"/>
          <w:sz w:val="22"/>
          <w:szCs w:val="22"/>
        </w:rPr>
        <w:t>地址：</w:t>
      </w:r>
    </w:p>
    <w:p>
      <w:pPr>
        <w:spacing w:line="360" w:lineRule="auto"/>
        <w:ind w:firstLine="440" w:firstLineChars="200"/>
        <w:rPr>
          <w:rFonts w:hint="eastAsia"/>
          <w:sz w:val="22"/>
          <w:szCs w:val="22"/>
        </w:rPr>
      </w:pPr>
      <w:r>
        <w:rPr>
          <w:rFonts w:hint="eastAsia"/>
          <w:sz w:val="22"/>
          <w:szCs w:val="22"/>
        </w:rPr>
        <w:t>项目名称：汕头大学医学院附属肿瘤医院患者及医院职工满意度项目</w:t>
      </w:r>
    </w:p>
    <w:p>
      <w:pPr>
        <w:spacing w:line="360" w:lineRule="auto"/>
        <w:ind w:firstLine="440" w:firstLineChars="200"/>
        <w:rPr>
          <w:kern w:val="28"/>
          <w:sz w:val="22"/>
          <w:szCs w:val="22"/>
        </w:rPr>
      </w:pPr>
      <w:r>
        <w:rPr>
          <w:rFonts w:hint="eastAsia"/>
          <w:sz w:val="22"/>
          <w:szCs w:val="22"/>
        </w:rPr>
        <w:t>根据    的招标结果，按照《中华人民共和国招标投标法》、《中华人民共和国招标投标法实施条例》、《合同法》的规定，</w:t>
      </w:r>
      <w:r>
        <w:rPr>
          <w:rFonts w:hint="eastAsia"/>
          <w:kern w:val="28"/>
          <w:sz w:val="22"/>
          <w:szCs w:val="22"/>
        </w:rPr>
        <w:t>经双方协商，</w:t>
      </w:r>
      <w:r>
        <w:rPr>
          <w:rFonts w:hint="eastAsia"/>
          <w:sz w:val="22"/>
          <w:szCs w:val="22"/>
        </w:rPr>
        <w:t>本着平等互利和诚实信用的原则，</w:t>
      </w:r>
      <w:r>
        <w:rPr>
          <w:rFonts w:hint="eastAsia"/>
          <w:kern w:val="28"/>
          <w:sz w:val="22"/>
          <w:szCs w:val="22"/>
        </w:rPr>
        <w:t>一致同意签订本合同。</w:t>
      </w:r>
    </w:p>
    <w:p>
      <w:pPr>
        <w:spacing w:line="360" w:lineRule="auto"/>
        <w:ind w:firstLine="440" w:firstLineChars="200"/>
        <w:rPr>
          <w:rFonts w:hint="eastAsia" w:ascii="宋体" w:hAnsi="宋体"/>
          <w:kern w:val="28"/>
          <w:sz w:val="22"/>
          <w:szCs w:val="22"/>
        </w:rPr>
      </w:pPr>
      <w:r>
        <w:rPr>
          <w:rFonts w:hint="eastAsia"/>
          <w:sz w:val="22"/>
          <w:szCs w:val="22"/>
        </w:rPr>
        <w:t>本合同自签订生效之日起2年内有效，如遇国家宏观调控、政府的政策性调整或其他原因，导致甲方无法在有效期内享受本合同标的，乙方应无条件接受（并且不退回中标服务费）。</w:t>
      </w:r>
      <w:r>
        <w:rPr>
          <w:rFonts w:hint="eastAsia"/>
          <w:bCs/>
          <w:sz w:val="22"/>
          <w:szCs w:val="22"/>
        </w:rPr>
        <w:t>经甲乙共同协商，签订立本合同，共同遵守如下条款</w:t>
      </w:r>
      <w:r>
        <w:rPr>
          <w:rFonts w:hint="eastAsia" w:ascii="宋体" w:hAnsi="宋体"/>
          <w:kern w:val="28"/>
          <w:sz w:val="22"/>
          <w:szCs w:val="22"/>
        </w:rPr>
        <w:t>：</w:t>
      </w:r>
    </w:p>
    <w:p>
      <w:pPr>
        <w:numPr>
          <w:ilvl w:val="0"/>
          <w:numId w:val="6"/>
        </w:numPr>
        <w:spacing w:line="420" w:lineRule="exact"/>
        <w:ind w:right="210" w:rightChars="100"/>
        <w:jc w:val="left"/>
        <w:rPr>
          <w:rFonts w:hint="eastAsia" w:ascii="宋体" w:hAnsi="宋体"/>
          <w:sz w:val="24"/>
        </w:rPr>
      </w:pPr>
      <w:r>
        <w:rPr>
          <w:rFonts w:hint="eastAsia" w:ascii="宋体" w:hAnsi="宋体"/>
          <w:sz w:val="24"/>
        </w:rPr>
        <w:t>项目及年限：</w:t>
      </w:r>
    </w:p>
    <w:p>
      <w:pPr>
        <w:spacing w:line="420" w:lineRule="exact"/>
        <w:ind w:left="239" w:leftChars="114" w:right="210" w:rightChars="100" w:firstLine="480" w:firstLineChars="200"/>
        <w:jc w:val="left"/>
        <w:rPr>
          <w:rFonts w:hint="eastAsia" w:ascii="宋体" w:hAnsi="宋体"/>
          <w:sz w:val="24"/>
        </w:rPr>
      </w:pPr>
      <w:r>
        <w:rPr>
          <w:rFonts w:hint="eastAsia" w:ascii="宋体" w:hAnsi="宋体"/>
          <w:sz w:val="24"/>
        </w:rPr>
        <w:t>职工及患者满意度第三方社会调查（2年）</w:t>
      </w:r>
    </w:p>
    <w:p>
      <w:pPr>
        <w:numPr>
          <w:ilvl w:val="0"/>
          <w:numId w:val="6"/>
        </w:numPr>
        <w:tabs>
          <w:tab w:val="left" w:pos="426"/>
        </w:tabs>
        <w:spacing w:line="360" w:lineRule="auto"/>
        <w:rPr>
          <w:rFonts w:hint="eastAsia"/>
          <w:sz w:val="22"/>
          <w:szCs w:val="22"/>
        </w:rPr>
      </w:pPr>
      <w:r>
        <w:rPr>
          <w:rFonts w:hint="eastAsia"/>
          <w:sz w:val="22"/>
          <w:szCs w:val="22"/>
        </w:rPr>
        <w:t>合同总金额：</w:t>
      </w:r>
    </w:p>
    <w:p>
      <w:pPr>
        <w:tabs>
          <w:tab w:val="left" w:pos="630"/>
        </w:tabs>
        <w:spacing w:line="360" w:lineRule="auto"/>
        <w:ind w:firstLine="770" w:firstLineChars="350"/>
        <w:rPr>
          <w:rFonts w:hint="eastAsia"/>
          <w:sz w:val="22"/>
          <w:szCs w:val="22"/>
        </w:rPr>
      </w:pPr>
      <w:r>
        <w:rPr>
          <w:rFonts w:hint="eastAsia"/>
          <w:sz w:val="22"/>
          <w:szCs w:val="22"/>
        </w:rPr>
        <w:t>合同总金额为（大写）： （￥元）人民币。</w:t>
      </w:r>
    </w:p>
    <w:p>
      <w:pPr>
        <w:numPr>
          <w:ilvl w:val="0"/>
          <w:numId w:val="6"/>
        </w:numPr>
        <w:tabs>
          <w:tab w:val="left" w:pos="426"/>
        </w:tabs>
        <w:spacing w:line="360" w:lineRule="auto"/>
        <w:rPr>
          <w:rFonts w:hint="eastAsia"/>
          <w:b/>
          <w:sz w:val="22"/>
          <w:szCs w:val="22"/>
        </w:rPr>
      </w:pPr>
      <w:r>
        <w:rPr>
          <w:rFonts w:hint="eastAsia"/>
          <w:b/>
          <w:sz w:val="22"/>
          <w:szCs w:val="22"/>
        </w:rPr>
        <w:t>服务范围</w:t>
      </w:r>
    </w:p>
    <w:p>
      <w:pPr>
        <w:spacing w:line="360" w:lineRule="auto"/>
        <w:rPr>
          <w:rFonts w:hint="eastAsia" w:ascii="宋体" w:hAnsi="宋体"/>
          <w:sz w:val="22"/>
          <w:szCs w:val="22"/>
        </w:rPr>
      </w:pPr>
      <w:r>
        <w:rPr>
          <w:rFonts w:hint="eastAsia" w:ascii="宋体" w:hAnsi="宋体"/>
          <w:sz w:val="22"/>
          <w:szCs w:val="22"/>
        </w:rPr>
        <w:t>　　甲方聘请乙方提供以下服务：</w:t>
      </w:r>
    </w:p>
    <w:p>
      <w:pPr>
        <w:numPr>
          <w:ilvl w:val="0"/>
          <w:numId w:val="2"/>
        </w:numPr>
      </w:pPr>
      <w:r>
        <w:rPr>
          <w:rFonts w:hint="eastAsia"/>
        </w:rPr>
        <w:t>项目内容：以半年为时间单位开展患者满意度度调查，出具半年度患者满意度调查报告（如遇特殊情况，可适当调整调查周期）；开展年度职工满意度调查，出具调查报告。</w:t>
      </w:r>
    </w:p>
    <w:tbl>
      <w:tblPr>
        <w:tblStyle w:val="5"/>
        <w:tblW w:w="0" w:type="auto"/>
        <w:tblInd w:w="17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6"/>
        <w:gridCol w:w="902"/>
        <w:gridCol w:w="763"/>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6" w:type="dxa"/>
            <w:noWrap w:val="0"/>
            <w:vAlign w:val="top"/>
          </w:tcPr>
          <w:p>
            <w:pPr>
              <w:jc w:val="center"/>
            </w:pPr>
            <w:r>
              <w:rPr>
                <w:rFonts w:hint="eastAsia"/>
              </w:rPr>
              <w:t>项目名称</w:t>
            </w:r>
          </w:p>
        </w:tc>
        <w:tc>
          <w:tcPr>
            <w:tcW w:w="902" w:type="dxa"/>
            <w:noWrap w:val="0"/>
            <w:vAlign w:val="top"/>
          </w:tcPr>
          <w:p>
            <w:pPr>
              <w:jc w:val="center"/>
            </w:pPr>
            <w:r>
              <w:rPr>
                <w:rFonts w:hint="eastAsia"/>
              </w:rPr>
              <w:t>数量</w:t>
            </w:r>
          </w:p>
        </w:tc>
        <w:tc>
          <w:tcPr>
            <w:tcW w:w="763" w:type="dxa"/>
            <w:noWrap w:val="0"/>
            <w:vAlign w:val="top"/>
          </w:tcPr>
          <w:p>
            <w:pPr>
              <w:jc w:val="center"/>
            </w:pPr>
            <w:r>
              <w:rPr>
                <w:rFonts w:hint="eastAsia"/>
              </w:rPr>
              <w:t>单位</w:t>
            </w:r>
          </w:p>
        </w:tc>
        <w:tc>
          <w:tcPr>
            <w:tcW w:w="960" w:type="dxa"/>
            <w:noWrap w:val="0"/>
            <w:vAlign w:val="top"/>
          </w:tcPr>
          <w:p>
            <w:pPr>
              <w:jc w:val="center"/>
            </w:pPr>
            <w:r>
              <w:rPr>
                <w:rFonts w:hint="eastAsia"/>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6" w:type="dxa"/>
            <w:noWrap w:val="0"/>
            <w:vAlign w:val="top"/>
          </w:tcPr>
          <w:p>
            <w:pPr>
              <w:jc w:val="center"/>
            </w:pPr>
            <w:r>
              <w:rPr>
                <w:rFonts w:hint="eastAsia"/>
              </w:rPr>
              <w:t>2024-2025年度第三方满意度调查服务项目招标</w:t>
            </w:r>
          </w:p>
        </w:tc>
        <w:tc>
          <w:tcPr>
            <w:tcW w:w="902" w:type="dxa"/>
            <w:noWrap w:val="0"/>
            <w:vAlign w:val="top"/>
          </w:tcPr>
          <w:p>
            <w:pPr>
              <w:jc w:val="center"/>
            </w:pPr>
            <w:r>
              <w:rPr>
                <w:rFonts w:hint="eastAsia"/>
              </w:rPr>
              <w:t>1</w:t>
            </w:r>
          </w:p>
        </w:tc>
        <w:tc>
          <w:tcPr>
            <w:tcW w:w="763" w:type="dxa"/>
            <w:noWrap w:val="0"/>
            <w:vAlign w:val="top"/>
          </w:tcPr>
          <w:p>
            <w:pPr>
              <w:jc w:val="center"/>
            </w:pPr>
            <w:r>
              <w:rPr>
                <w:rFonts w:hint="eastAsia"/>
              </w:rPr>
              <w:t>项</w:t>
            </w:r>
          </w:p>
        </w:tc>
        <w:tc>
          <w:tcPr>
            <w:tcW w:w="960" w:type="dxa"/>
            <w:noWrap w:val="0"/>
            <w:vAlign w:val="top"/>
          </w:tcPr>
          <w:p>
            <w:pPr>
              <w:jc w:val="center"/>
            </w:pPr>
            <w:r>
              <w:rPr>
                <w:rFonts w:hint="eastAsia"/>
              </w:rPr>
              <w:t>两年</w:t>
            </w:r>
          </w:p>
        </w:tc>
      </w:tr>
    </w:tbl>
    <w:p>
      <w:pPr>
        <w:rPr>
          <w:b/>
          <w:bCs/>
        </w:rPr>
      </w:pPr>
      <w:r>
        <w:rPr>
          <w:rFonts w:hint="eastAsia"/>
          <w:b/>
          <w:bCs/>
        </w:rPr>
        <w:t>4.调查对象、样本量</w:t>
      </w:r>
    </w:p>
    <w:p>
      <w:r>
        <w:rPr>
          <w:rFonts w:hint="eastAsia"/>
        </w:rPr>
        <w:t xml:space="preserve">   每半年开展一次门诊、住院、出院患者满意度调查，每个测评对象（饶平路院区门诊患者不低于100份、住院患者不低于200份、出院患者不低于100份，大学路院区门诊患者不低于150份、住院患者不低于500份、出院患者不低于150份），样本涵盖每个科室，各科室平均分配调查问卷，样本总量不低于1200份。每年开展一次职工满意度调查（含员工对医院的满意度、临床科室对医技医辅科室满意度和员工对行政后勤部门综合测评），样本量不低于800份。</w:t>
      </w:r>
    </w:p>
    <w:p>
      <w:pPr>
        <w:rPr>
          <w:b/>
          <w:bCs/>
        </w:rPr>
      </w:pPr>
      <w:r>
        <w:rPr>
          <w:rFonts w:hint="eastAsia"/>
          <w:b/>
          <w:bCs/>
        </w:rPr>
        <w:t>5.调查方式</w:t>
      </w:r>
    </w:p>
    <w:p>
      <w:r>
        <w:rPr>
          <w:rFonts w:hint="eastAsia"/>
        </w:rPr>
        <w:t xml:space="preserve">   调查形式包含面访、计算机辅助电话访问、短信、微信等。</w:t>
      </w:r>
    </w:p>
    <w:p>
      <w:pPr>
        <w:rPr>
          <w:b/>
          <w:bCs/>
        </w:rPr>
      </w:pPr>
      <w:r>
        <w:rPr>
          <w:rFonts w:hint="eastAsia"/>
          <w:b/>
          <w:bCs/>
        </w:rPr>
        <w:t>6.调查资料、报告的提交</w:t>
      </w:r>
    </w:p>
    <w:p>
      <w:r>
        <w:rPr>
          <w:rFonts w:hint="eastAsia"/>
        </w:rPr>
        <w:t xml:space="preserve">   每次调查周期结束15日内将本期满意度数据资料反馈给采购人，内容需要包括样本量（含总样本量、回访成功数、回访成功率、回访成果病例的相关信息）、特别表扬和批评信息汇总、各分项调查项目综合评价汇总、调查原始数据等；编制调查评价报告，内容需包含测评对象的满意度情况、结果分析、提出意见与建议等；协助提交与调查测评相关（如三甲评审、绩效考核等）的其他报告及数据资料。祥见下表：</w:t>
      </w:r>
    </w:p>
    <w:p>
      <w:r>
        <w:rPr>
          <w:rFonts w:hint="eastAsia"/>
        </w:rPr>
        <w:t xml:space="preserve"> </w:t>
      </w:r>
    </w:p>
    <w:tbl>
      <w:tblPr>
        <w:tblStyle w:val="5"/>
        <w:tblW w:w="8415" w:type="dxa"/>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75"/>
        <w:gridCol w:w="945"/>
        <w:gridCol w:w="1650"/>
        <w:gridCol w:w="750"/>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5" w:type="dxa"/>
            <w:noWrap w:val="0"/>
            <w:vAlign w:val="top"/>
          </w:tcPr>
          <w:p>
            <w:r>
              <w:rPr>
                <w:rFonts w:hint="eastAsia"/>
              </w:rPr>
              <w:t>项目</w:t>
            </w:r>
          </w:p>
        </w:tc>
        <w:tc>
          <w:tcPr>
            <w:tcW w:w="945" w:type="dxa"/>
            <w:noWrap w:val="0"/>
            <w:vAlign w:val="top"/>
          </w:tcPr>
          <w:p>
            <w:r>
              <w:rPr>
                <w:rFonts w:hint="eastAsia"/>
              </w:rPr>
              <w:t>频次</w:t>
            </w:r>
          </w:p>
        </w:tc>
        <w:tc>
          <w:tcPr>
            <w:tcW w:w="1650" w:type="dxa"/>
            <w:noWrap w:val="0"/>
            <w:vAlign w:val="top"/>
          </w:tcPr>
          <w:p>
            <w:r>
              <w:rPr>
                <w:rFonts w:hint="eastAsia"/>
              </w:rPr>
              <w:t>形式</w:t>
            </w:r>
          </w:p>
        </w:tc>
        <w:tc>
          <w:tcPr>
            <w:tcW w:w="750" w:type="dxa"/>
            <w:noWrap w:val="0"/>
            <w:vAlign w:val="top"/>
          </w:tcPr>
          <w:p>
            <w:r>
              <w:rPr>
                <w:rFonts w:hint="eastAsia"/>
              </w:rPr>
              <w:t>份/次</w:t>
            </w:r>
          </w:p>
        </w:tc>
        <w:tc>
          <w:tcPr>
            <w:tcW w:w="1395" w:type="dxa"/>
            <w:noWrap w:val="0"/>
            <w:vAlign w:val="top"/>
          </w:tcPr>
          <w:p>
            <w:r>
              <w:rPr>
                <w:rFonts w:hint="eastAsia"/>
              </w:rPr>
              <w:t>数量合计/年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5" w:type="dxa"/>
            <w:noWrap w:val="0"/>
            <w:vAlign w:val="top"/>
          </w:tcPr>
          <w:p>
            <w:r>
              <w:rPr>
                <w:rFonts w:hint="eastAsia"/>
              </w:rPr>
              <w:t>患者满意度总体调查测评报告</w:t>
            </w:r>
          </w:p>
        </w:tc>
        <w:tc>
          <w:tcPr>
            <w:tcW w:w="945" w:type="dxa"/>
            <w:noWrap w:val="0"/>
            <w:vAlign w:val="top"/>
          </w:tcPr>
          <w:p>
            <w:r>
              <w:rPr>
                <w:rFonts w:hint="eastAsia"/>
              </w:rPr>
              <w:t>年度</w:t>
            </w:r>
          </w:p>
        </w:tc>
        <w:tc>
          <w:tcPr>
            <w:tcW w:w="1650" w:type="dxa"/>
            <w:noWrap w:val="0"/>
            <w:vAlign w:val="top"/>
          </w:tcPr>
          <w:p>
            <w:r>
              <w:rPr>
                <w:rFonts w:hint="eastAsia"/>
              </w:rPr>
              <w:t>电子版+纸质版</w:t>
            </w:r>
          </w:p>
        </w:tc>
        <w:tc>
          <w:tcPr>
            <w:tcW w:w="750" w:type="dxa"/>
            <w:noWrap w:val="0"/>
            <w:vAlign w:val="top"/>
          </w:tcPr>
          <w:p>
            <w:r>
              <w:rPr>
                <w:rFonts w:hint="eastAsia"/>
              </w:rPr>
              <w:t>1</w:t>
            </w:r>
          </w:p>
        </w:tc>
        <w:tc>
          <w:tcPr>
            <w:tcW w:w="1395" w:type="dxa"/>
            <w:noWrap w:val="0"/>
            <w:vAlign w:val="top"/>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5" w:type="dxa"/>
            <w:noWrap w:val="0"/>
            <w:vAlign w:val="top"/>
          </w:tcPr>
          <w:p>
            <w:r>
              <w:rPr>
                <w:rFonts w:hint="eastAsia"/>
              </w:rPr>
              <w:t>患者满意度饶平路院区调查测评报告</w:t>
            </w:r>
          </w:p>
        </w:tc>
        <w:tc>
          <w:tcPr>
            <w:tcW w:w="945" w:type="dxa"/>
            <w:noWrap w:val="0"/>
            <w:vAlign w:val="top"/>
          </w:tcPr>
          <w:p>
            <w:r>
              <w:rPr>
                <w:rFonts w:hint="eastAsia"/>
              </w:rPr>
              <w:t>半年度</w:t>
            </w:r>
          </w:p>
        </w:tc>
        <w:tc>
          <w:tcPr>
            <w:tcW w:w="1650" w:type="dxa"/>
            <w:noWrap w:val="0"/>
            <w:vAlign w:val="top"/>
          </w:tcPr>
          <w:p>
            <w:r>
              <w:rPr>
                <w:rFonts w:hint="eastAsia"/>
              </w:rPr>
              <w:t>电子版+纸质版</w:t>
            </w:r>
          </w:p>
        </w:tc>
        <w:tc>
          <w:tcPr>
            <w:tcW w:w="750" w:type="dxa"/>
            <w:noWrap w:val="0"/>
            <w:vAlign w:val="top"/>
          </w:tcPr>
          <w:p>
            <w:r>
              <w:rPr>
                <w:rFonts w:hint="eastAsia"/>
              </w:rPr>
              <w:t>1</w:t>
            </w:r>
          </w:p>
        </w:tc>
        <w:tc>
          <w:tcPr>
            <w:tcW w:w="1395" w:type="dxa"/>
            <w:noWrap w:val="0"/>
            <w:vAlign w:val="top"/>
          </w:tcPr>
          <w:p>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5" w:type="dxa"/>
            <w:noWrap w:val="0"/>
            <w:vAlign w:val="top"/>
          </w:tcPr>
          <w:p>
            <w:r>
              <w:rPr>
                <w:rFonts w:hint="eastAsia"/>
              </w:rPr>
              <w:t>患者满意度大学路院区调查测评报告</w:t>
            </w:r>
          </w:p>
        </w:tc>
        <w:tc>
          <w:tcPr>
            <w:tcW w:w="945" w:type="dxa"/>
            <w:noWrap w:val="0"/>
            <w:vAlign w:val="top"/>
          </w:tcPr>
          <w:p>
            <w:r>
              <w:rPr>
                <w:rFonts w:hint="eastAsia"/>
              </w:rPr>
              <w:t>半年度</w:t>
            </w:r>
          </w:p>
        </w:tc>
        <w:tc>
          <w:tcPr>
            <w:tcW w:w="1650" w:type="dxa"/>
            <w:noWrap w:val="0"/>
            <w:vAlign w:val="top"/>
          </w:tcPr>
          <w:p>
            <w:r>
              <w:rPr>
                <w:rFonts w:hint="eastAsia"/>
              </w:rPr>
              <w:t>电子版+纸质版</w:t>
            </w:r>
          </w:p>
        </w:tc>
        <w:tc>
          <w:tcPr>
            <w:tcW w:w="750" w:type="dxa"/>
            <w:noWrap w:val="0"/>
            <w:vAlign w:val="top"/>
          </w:tcPr>
          <w:p>
            <w:r>
              <w:rPr>
                <w:rFonts w:hint="eastAsia"/>
              </w:rPr>
              <w:t>1</w:t>
            </w:r>
          </w:p>
        </w:tc>
        <w:tc>
          <w:tcPr>
            <w:tcW w:w="1395" w:type="dxa"/>
            <w:noWrap w:val="0"/>
            <w:vAlign w:val="top"/>
          </w:tcPr>
          <w:p>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5" w:type="dxa"/>
            <w:noWrap w:val="0"/>
            <w:vAlign w:val="top"/>
          </w:tcPr>
          <w:p>
            <w:r>
              <w:rPr>
                <w:rFonts w:hint="eastAsia"/>
              </w:rPr>
              <w:t>职工满意度总体调查测评报告</w:t>
            </w:r>
          </w:p>
        </w:tc>
        <w:tc>
          <w:tcPr>
            <w:tcW w:w="945" w:type="dxa"/>
            <w:noWrap w:val="0"/>
            <w:vAlign w:val="top"/>
          </w:tcPr>
          <w:p>
            <w:r>
              <w:rPr>
                <w:rFonts w:hint="eastAsia"/>
              </w:rPr>
              <w:t>年度</w:t>
            </w:r>
          </w:p>
        </w:tc>
        <w:tc>
          <w:tcPr>
            <w:tcW w:w="1650" w:type="dxa"/>
            <w:noWrap w:val="0"/>
            <w:vAlign w:val="top"/>
          </w:tcPr>
          <w:p>
            <w:r>
              <w:rPr>
                <w:rFonts w:hint="eastAsia"/>
              </w:rPr>
              <w:t>电子版+纸质版</w:t>
            </w:r>
          </w:p>
        </w:tc>
        <w:tc>
          <w:tcPr>
            <w:tcW w:w="750" w:type="dxa"/>
            <w:noWrap w:val="0"/>
            <w:vAlign w:val="top"/>
          </w:tcPr>
          <w:p>
            <w:r>
              <w:rPr>
                <w:rFonts w:hint="eastAsia"/>
              </w:rPr>
              <w:t>1</w:t>
            </w:r>
          </w:p>
        </w:tc>
        <w:tc>
          <w:tcPr>
            <w:tcW w:w="1395" w:type="dxa"/>
            <w:noWrap w:val="0"/>
            <w:vAlign w:val="top"/>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5" w:type="dxa"/>
            <w:noWrap w:val="0"/>
            <w:vAlign w:val="top"/>
          </w:tcPr>
          <w:p>
            <w:r>
              <w:rPr>
                <w:rFonts w:hint="eastAsia"/>
              </w:rPr>
              <w:t>职工满意度饶平路院区调查测评报告</w:t>
            </w:r>
          </w:p>
        </w:tc>
        <w:tc>
          <w:tcPr>
            <w:tcW w:w="945" w:type="dxa"/>
            <w:noWrap w:val="0"/>
            <w:vAlign w:val="top"/>
          </w:tcPr>
          <w:p>
            <w:r>
              <w:rPr>
                <w:rFonts w:hint="eastAsia"/>
              </w:rPr>
              <w:t>年度</w:t>
            </w:r>
          </w:p>
        </w:tc>
        <w:tc>
          <w:tcPr>
            <w:tcW w:w="1650" w:type="dxa"/>
            <w:noWrap w:val="0"/>
            <w:vAlign w:val="top"/>
          </w:tcPr>
          <w:p>
            <w:r>
              <w:rPr>
                <w:rFonts w:hint="eastAsia"/>
              </w:rPr>
              <w:t>电子版+纸质版</w:t>
            </w:r>
          </w:p>
        </w:tc>
        <w:tc>
          <w:tcPr>
            <w:tcW w:w="750" w:type="dxa"/>
            <w:noWrap w:val="0"/>
            <w:vAlign w:val="top"/>
          </w:tcPr>
          <w:p>
            <w:r>
              <w:rPr>
                <w:rFonts w:hint="eastAsia"/>
              </w:rPr>
              <w:t>1</w:t>
            </w:r>
          </w:p>
        </w:tc>
        <w:tc>
          <w:tcPr>
            <w:tcW w:w="1395" w:type="dxa"/>
            <w:noWrap w:val="0"/>
            <w:vAlign w:val="top"/>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5" w:type="dxa"/>
            <w:noWrap w:val="0"/>
            <w:vAlign w:val="top"/>
          </w:tcPr>
          <w:p>
            <w:r>
              <w:rPr>
                <w:rFonts w:hint="eastAsia"/>
              </w:rPr>
              <w:t>职工满意度大学路院区调查测评报告</w:t>
            </w:r>
          </w:p>
        </w:tc>
        <w:tc>
          <w:tcPr>
            <w:tcW w:w="945" w:type="dxa"/>
            <w:noWrap w:val="0"/>
            <w:vAlign w:val="top"/>
          </w:tcPr>
          <w:p>
            <w:r>
              <w:rPr>
                <w:rFonts w:hint="eastAsia"/>
              </w:rPr>
              <w:t>年度</w:t>
            </w:r>
          </w:p>
        </w:tc>
        <w:tc>
          <w:tcPr>
            <w:tcW w:w="1650" w:type="dxa"/>
            <w:noWrap w:val="0"/>
            <w:vAlign w:val="top"/>
          </w:tcPr>
          <w:p>
            <w:r>
              <w:rPr>
                <w:rFonts w:hint="eastAsia"/>
              </w:rPr>
              <w:t>电子版+纸质版</w:t>
            </w:r>
          </w:p>
        </w:tc>
        <w:tc>
          <w:tcPr>
            <w:tcW w:w="750" w:type="dxa"/>
            <w:noWrap w:val="0"/>
            <w:vAlign w:val="top"/>
          </w:tcPr>
          <w:p>
            <w:r>
              <w:rPr>
                <w:rFonts w:hint="eastAsia"/>
              </w:rPr>
              <w:t>1</w:t>
            </w:r>
          </w:p>
        </w:tc>
        <w:tc>
          <w:tcPr>
            <w:tcW w:w="1395" w:type="dxa"/>
            <w:noWrap w:val="0"/>
            <w:vAlign w:val="top"/>
          </w:tcPr>
          <w:p>
            <w:r>
              <w:rPr>
                <w:rFonts w:hint="eastAsia"/>
              </w:rPr>
              <w:t>1</w:t>
            </w:r>
          </w:p>
        </w:tc>
      </w:tr>
    </w:tbl>
    <w:p/>
    <w:p>
      <w:pPr>
        <w:ind w:firstLine="420" w:firstLineChars="200"/>
      </w:pPr>
      <w:r>
        <w:rPr>
          <w:rFonts w:hint="eastAsia"/>
        </w:rPr>
        <w:t>（1）每半年度结束后15内提交测评报告（WORD/PDF电子版、打印装订一式四份），每年以专题讨论或讲座形式进行反馈。</w:t>
      </w:r>
    </w:p>
    <w:p>
      <w:r>
        <w:rPr>
          <w:rFonts w:hint="eastAsia"/>
        </w:rPr>
        <w:t xml:space="preserve">   （2）调查测评涉及所有资料及成果归采购人独家享有，任何个人及单位未经招标人同意不得引用或公开发表本调查测评成果和相关数据，妥善保管资料，负有保密义务和保密责任，否则，采购人有权追究其法律责任。</w:t>
      </w:r>
    </w:p>
    <w:p>
      <w:r>
        <w:rPr>
          <w:rFonts w:hint="eastAsia"/>
        </w:rPr>
        <w:t xml:space="preserve">   （3）所有操作文件（含调查问卷）应在征得采购人同意后方可付诸执行，未经采购单位同意不得更改。</w:t>
      </w:r>
    </w:p>
    <w:p>
      <w:r>
        <w:rPr>
          <w:rFonts w:hint="eastAsia"/>
        </w:rPr>
        <w:t xml:space="preserve">   （4）投标人需自行完成样本量采集，采购人在能力范围内予以积极配合。</w:t>
      </w:r>
    </w:p>
    <w:p>
      <w:r>
        <w:rPr>
          <w:rFonts w:hint="eastAsia"/>
        </w:rPr>
        <w:t xml:space="preserve">   （5）提供持续、稳定的项目维护服务，及时响应采购人需求。</w:t>
      </w:r>
    </w:p>
    <w:p>
      <w:pPr>
        <w:rPr>
          <w:b/>
          <w:bCs/>
        </w:rPr>
      </w:pPr>
      <w:r>
        <w:rPr>
          <w:rFonts w:hint="eastAsia"/>
          <w:b/>
          <w:bCs/>
        </w:rPr>
        <w:t>7.服务要求</w:t>
      </w:r>
    </w:p>
    <w:p>
      <w:pPr>
        <w:ind w:firstLine="420"/>
      </w:pPr>
      <w:r>
        <w:rPr>
          <w:rFonts w:hint="eastAsia"/>
        </w:rPr>
        <w:t>（1）投标人所制定的调查方案、问卷内容、实施办法、结果报告等都要经过采购人同意才能进行，若达不到质量要求，采购人可以提出终止项目。</w:t>
      </w:r>
    </w:p>
    <w:p>
      <w:pPr>
        <w:ind w:firstLine="420"/>
      </w:pPr>
      <w:r>
        <w:rPr>
          <w:rFonts w:hint="eastAsia"/>
        </w:rPr>
        <w:t>（2）投标人具有提供持续、稳定的项目维护服务，能及时响应采购人的紧急服务需求。</w:t>
      </w:r>
    </w:p>
    <w:p>
      <w:pPr>
        <w:ind w:firstLine="420"/>
      </w:pPr>
      <w:r>
        <w:rPr>
          <w:rFonts w:hint="eastAsia"/>
        </w:rPr>
        <w:t>（3）投标人需具备信息安全相关认证证书，维护采购信息资料安全，保护受调查者隐私，资料保存能满足保密性与安全性要求，回访过程全程录音，且保存半年以上，并能随时调取以便复核。</w:t>
      </w:r>
    </w:p>
    <w:p>
      <w:pPr>
        <w:ind w:firstLine="420"/>
      </w:pPr>
      <w:r>
        <w:rPr>
          <w:rFonts w:hint="eastAsia"/>
        </w:rPr>
        <w:t>（4）投标人需针对本项目成立专门的服务团队，团队成员名单及背景资料需书面提交采购人同意后方可作为执行项目的团队。服务团队要稳定，有固定接洽人员与采购人联系并定期提交成果。服务人员应经过岗前专业培训和同质化培训，包括医院和医疗管理培训、访问培训、问卷内容培训及调查工作培训等；服务人员应具备良好的沟通能力，到采购人各院区开展调查服务，须遵守采购人的相关人员管理规定，必须佩戴有效的身份证明胸卡。</w:t>
      </w:r>
    </w:p>
    <w:p>
      <w:pPr>
        <w:ind w:firstLine="420" w:firstLineChars="200"/>
      </w:pPr>
      <w:r>
        <w:rPr>
          <w:rFonts w:hint="eastAsia"/>
        </w:rPr>
        <w:t>（5）具有独立的测评终端和采集软件系统,能为医院建立专属的数据应用平台和数据库。</w:t>
      </w:r>
    </w:p>
    <w:p>
      <w:pPr>
        <w:ind w:firstLine="420"/>
      </w:pPr>
      <w:r>
        <w:rPr>
          <w:rFonts w:hint="eastAsia"/>
        </w:rPr>
        <w:t>（6）投标人需有一支稳定的专业研发队伍和数据分析团队。</w:t>
      </w:r>
    </w:p>
    <w:p>
      <w:pPr>
        <w:ind w:firstLine="420"/>
      </w:pPr>
      <w:r>
        <w:rPr>
          <w:rFonts w:hint="eastAsia"/>
        </w:rPr>
        <w:t>（7）中标人不得以任何方式转包或分包本项目，否则采购人有权单方终止合同，不予退还履约保证金，由此产生的一切损失由中标人自行承担。</w:t>
      </w:r>
    </w:p>
    <w:p>
      <w:pPr>
        <w:numPr>
          <w:ilvl w:val="0"/>
          <w:numId w:val="6"/>
        </w:numPr>
        <w:tabs>
          <w:tab w:val="left" w:pos="426"/>
        </w:tabs>
        <w:spacing w:line="360" w:lineRule="auto"/>
        <w:rPr>
          <w:rFonts w:hint="eastAsia" w:ascii="宋体" w:hAnsi="宋体"/>
          <w:b/>
          <w:sz w:val="22"/>
          <w:szCs w:val="22"/>
        </w:rPr>
      </w:pPr>
      <w:r>
        <w:rPr>
          <w:rFonts w:hint="eastAsia" w:ascii="宋体" w:hAnsi="宋体"/>
          <w:b/>
          <w:sz w:val="22"/>
          <w:szCs w:val="22"/>
        </w:rPr>
        <w:t>甲方乙方的权利和义务</w:t>
      </w:r>
    </w:p>
    <w:p>
      <w:pPr>
        <w:spacing w:line="360" w:lineRule="auto"/>
        <w:ind w:firstLine="142"/>
        <w:rPr>
          <w:rFonts w:hint="eastAsia" w:ascii="宋体" w:hAnsi="宋体"/>
          <w:sz w:val="22"/>
          <w:szCs w:val="22"/>
        </w:rPr>
      </w:pPr>
      <w:r>
        <w:rPr>
          <w:rFonts w:hint="eastAsia" w:ascii="宋体" w:hAnsi="宋体"/>
          <w:sz w:val="22"/>
          <w:szCs w:val="22"/>
        </w:rPr>
        <w:t>（一） 甲方的权利和义务</w:t>
      </w:r>
    </w:p>
    <w:p>
      <w:pPr>
        <w:pStyle w:val="9"/>
        <w:widowControl w:val="0"/>
        <w:numPr>
          <w:ilvl w:val="0"/>
          <w:numId w:val="7"/>
        </w:numPr>
        <w:spacing w:line="360" w:lineRule="auto"/>
        <w:ind w:hanging="874" w:firstLineChars="0"/>
        <w:rPr>
          <w:rFonts w:ascii="宋体" w:hAnsi="宋体"/>
          <w:sz w:val="22"/>
          <w:szCs w:val="22"/>
          <w:lang w:eastAsia="zh-CN"/>
        </w:rPr>
      </w:pPr>
      <w:r>
        <w:rPr>
          <w:rFonts w:hint="eastAsia" w:ascii="宋体" w:hAnsi="宋体"/>
          <w:sz w:val="22"/>
          <w:szCs w:val="22"/>
          <w:lang w:eastAsia="zh-CN"/>
        </w:rPr>
        <w:t>甲方应在本合同签署后5日内向乙方提供调查所需的相关资料。</w:t>
      </w:r>
    </w:p>
    <w:p>
      <w:pPr>
        <w:pStyle w:val="9"/>
        <w:widowControl w:val="0"/>
        <w:numPr>
          <w:ilvl w:val="0"/>
          <w:numId w:val="7"/>
        </w:numPr>
        <w:spacing w:line="360" w:lineRule="auto"/>
        <w:ind w:hanging="874" w:firstLineChars="0"/>
        <w:rPr>
          <w:rFonts w:ascii="宋体" w:hAnsi="宋体"/>
          <w:sz w:val="22"/>
          <w:szCs w:val="22"/>
          <w:lang w:eastAsia="zh-CN"/>
        </w:rPr>
      </w:pPr>
      <w:r>
        <w:rPr>
          <w:rFonts w:hint="eastAsia" w:ascii="宋体" w:hAnsi="宋体"/>
          <w:sz w:val="22"/>
          <w:szCs w:val="22"/>
          <w:lang w:eastAsia="zh-CN"/>
        </w:rPr>
        <w:t>甲方应按合同规定向乙方支付合同金额。</w:t>
      </w:r>
    </w:p>
    <w:p>
      <w:pPr>
        <w:pStyle w:val="9"/>
        <w:widowControl w:val="0"/>
        <w:numPr>
          <w:ilvl w:val="0"/>
          <w:numId w:val="7"/>
        </w:numPr>
        <w:spacing w:line="360" w:lineRule="auto"/>
        <w:ind w:hanging="874" w:firstLineChars="0"/>
        <w:rPr>
          <w:rFonts w:ascii="宋体" w:hAnsi="宋体"/>
          <w:sz w:val="22"/>
          <w:szCs w:val="22"/>
          <w:lang w:eastAsia="zh-CN"/>
        </w:rPr>
      </w:pPr>
      <w:r>
        <w:rPr>
          <w:rFonts w:hint="eastAsia" w:ascii="宋体" w:hAnsi="宋体"/>
          <w:sz w:val="22"/>
          <w:szCs w:val="22"/>
          <w:lang w:eastAsia="zh-CN"/>
        </w:rPr>
        <w:t>甲方对调查项目如有修改意见，应提前5个工作日书面通知乙方。</w:t>
      </w:r>
    </w:p>
    <w:p>
      <w:pPr>
        <w:pStyle w:val="9"/>
        <w:widowControl w:val="0"/>
        <w:numPr>
          <w:ilvl w:val="0"/>
          <w:numId w:val="7"/>
        </w:numPr>
        <w:spacing w:line="360" w:lineRule="auto"/>
        <w:ind w:hanging="874" w:firstLineChars="0"/>
        <w:rPr>
          <w:rFonts w:ascii="宋体" w:hAnsi="宋体"/>
          <w:sz w:val="22"/>
          <w:szCs w:val="22"/>
          <w:lang w:eastAsia="zh-CN"/>
        </w:rPr>
      </w:pPr>
      <w:r>
        <w:rPr>
          <w:rFonts w:hint="eastAsia" w:ascii="宋体" w:hAnsi="宋体"/>
          <w:sz w:val="22"/>
          <w:szCs w:val="22"/>
          <w:lang w:eastAsia="zh-CN"/>
        </w:rPr>
        <w:t>甲方负责审定验收乙方提供的调查成果并及时告知乙方验收意见。</w:t>
      </w:r>
    </w:p>
    <w:p>
      <w:pPr>
        <w:pStyle w:val="9"/>
        <w:widowControl w:val="0"/>
        <w:numPr>
          <w:ilvl w:val="0"/>
          <w:numId w:val="7"/>
        </w:numPr>
        <w:spacing w:line="360" w:lineRule="auto"/>
        <w:ind w:hanging="874" w:firstLineChars="0"/>
        <w:rPr>
          <w:rFonts w:ascii="宋体" w:hAnsi="宋体"/>
          <w:sz w:val="22"/>
          <w:szCs w:val="22"/>
          <w:lang w:eastAsia="zh-CN"/>
        </w:rPr>
      </w:pPr>
      <w:r>
        <w:rPr>
          <w:rFonts w:hint="eastAsia" w:ascii="宋体" w:hAnsi="宋体"/>
          <w:sz w:val="22"/>
          <w:szCs w:val="22"/>
          <w:lang w:eastAsia="zh-CN"/>
        </w:rPr>
        <w:t>甲方有权对乙方的调查过程进行监督，并有权要求乙方更换相关人员。</w:t>
      </w:r>
    </w:p>
    <w:p>
      <w:pPr>
        <w:pStyle w:val="9"/>
        <w:widowControl w:val="0"/>
        <w:numPr>
          <w:ilvl w:val="0"/>
          <w:numId w:val="7"/>
        </w:numPr>
        <w:spacing w:line="360" w:lineRule="auto"/>
        <w:ind w:hanging="874" w:firstLineChars="0"/>
        <w:rPr>
          <w:rFonts w:hint="eastAsia" w:ascii="宋体" w:hAnsi="宋体"/>
          <w:sz w:val="22"/>
          <w:szCs w:val="22"/>
          <w:lang w:eastAsia="zh-CN"/>
        </w:rPr>
      </w:pPr>
      <w:r>
        <w:rPr>
          <w:rFonts w:hint="eastAsia" w:ascii="宋体" w:hAnsi="宋体"/>
          <w:sz w:val="22"/>
          <w:szCs w:val="22"/>
          <w:lang w:eastAsia="zh-CN"/>
        </w:rPr>
        <w:t>甲方委派1名工作人员配合乙方工作。</w:t>
      </w:r>
    </w:p>
    <w:p>
      <w:pPr>
        <w:pStyle w:val="9"/>
        <w:widowControl w:val="0"/>
        <w:numPr>
          <w:ilvl w:val="0"/>
          <w:numId w:val="7"/>
        </w:numPr>
        <w:spacing w:line="360" w:lineRule="auto"/>
        <w:ind w:left="851" w:hanging="425" w:firstLineChars="0"/>
        <w:rPr>
          <w:rFonts w:hint="eastAsia" w:ascii="宋体" w:hAnsi="宋体"/>
          <w:sz w:val="22"/>
          <w:szCs w:val="22"/>
          <w:lang w:eastAsia="zh-CN"/>
        </w:rPr>
      </w:pPr>
      <w:r>
        <w:rPr>
          <w:rFonts w:hint="eastAsia" w:ascii="宋体" w:hAnsi="宋体"/>
          <w:sz w:val="22"/>
          <w:szCs w:val="22"/>
          <w:lang w:eastAsia="zh-CN"/>
        </w:rPr>
        <w:t>甲方有权随时对乙方的工作进行检验、跟踪、了解其获信息途径、乙方制作项目报告的依据，并有权要求乙方通过书面的方式全面、完整的披露甲方要求披露的信息制作依据、来源、途径和取得方式等等。</w:t>
      </w:r>
    </w:p>
    <w:p>
      <w:pPr>
        <w:spacing w:line="360" w:lineRule="auto"/>
        <w:ind w:firstLine="142"/>
        <w:rPr>
          <w:rFonts w:hint="eastAsia" w:ascii="宋体" w:hAnsi="宋体"/>
          <w:sz w:val="22"/>
          <w:szCs w:val="22"/>
        </w:rPr>
      </w:pPr>
      <w:r>
        <w:rPr>
          <w:rFonts w:hint="eastAsia" w:ascii="宋体" w:hAnsi="宋体"/>
          <w:sz w:val="22"/>
          <w:szCs w:val="22"/>
        </w:rPr>
        <w:t>（二） 乙方的权利和义务</w:t>
      </w:r>
    </w:p>
    <w:p>
      <w:pPr>
        <w:pStyle w:val="9"/>
        <w:widowControl w:val="0"/>
        <w:numPr>
          <w:ilvl w:val="0"/>
          <w:numId w:val="7"/>
        </w:numPr>
        <w:spacing w:line="360" w:lineRule="auto"/>
        <w:ind w:left="851" w:hanging="425" w:firstLineChars="0"/>
        <w:rPr>
          <w:rFonts w:ascii="宋体" w:hAnsi="宋体"/>
          <w:sz w:val="22"/>
          <w:szCs w:val="22"/>
          <w:lang w:eastAsia="zh-CN"/>
        </w:rPr>
      </w:pPr>
      <w:r>
        <w:rPr>
          <w:rFonts w:hint="eastAsia" w:ascii="宋体" w:hAnsi="宋体"/>
          <w:sz w:val="22"/>
          <w:szCs w:val="22"/>
          <w:lang w:eastAsia="zh-CN"/>
        </w:rPr>
        <w:t>乙方应严格依据甲方要求进行调查工作，应设立项目负责人全程督导培训，并出具分析报告。</w:t>
      </w:r>
    </w:p>
    <w:p>
      <w:pPr>
        <w:pStyle w:val="9"/>
        <w:widowControl w:val="0"/>
        <w:numPr>
          <w:ilvl w:val="0"/>
          <w:numId w:val="8"/>
        </w:numPr>
        <w:spacing w:line="360" w:lineRule="auto"/>
        <w:ind w:left="851" w:hanging="425" w:firstLineChars="0"/>
        <w:rPr>
          <w:rFonts w:ascii="宋体" w:hAnsi="宋体"/>
          <w:sz w:val="22"/>
          <w:szCs w:val="22"/>
          <w:lang w:eastAsia="zh-CN"/>
        </w:rPr>
      </w:pPr>
      <w:r>
        <w:rPr>
          <w:rFonts w:hint="eastAsia" w:ascii="宋体" w:hAnsi="宋体"/>
          <w:sz w:val="22"/>
          <w:szCs w:val="22"/>
          <w:lang w:eastAsia="zh-CN"/>
        </w:rPr>
        <w:t>乙方保证已经完全理解甲方关于调查项目的具体要求、使用用途、制作目的及需求等，并有能力依据甲方的要求完成调查工作。</w:t>
      </w:r>
    </w:p>
    <w:p>
      <w:pPr>
        <w:pStyle w:val="9"/>
        <w:widowControl w:val="0"/>
        <w:numPr>
          <w:ilvl w:val="0"/>
          <w:numId w:val="8"/>
        </w:numPr>
        <w:spacing w:line="360" w:lineRule="auto"/>
        <w:ind w:left="851" w:hanging="425" w:firstLineChars="0"/>
        <w:rPr>
          <w:rFonts w:ascii="宋体" w:hAnsi="宋体"/>
          <w:sz w:val="22"/>
          <w:szCs w:val="22"/>
          <w:lang w:eastAsia="zh-CN"/>
        </w:rPr>
      </w:pPr>
      <w:r>
        <w:rPr>
          <w:rFonts w:hint="eastAsia" w:ascii="宋体" w:hAnsi="宋体"/>
          <w:sz w:val="22"/>
          <w:szCs w:val="22"/>
          <w:lang w:eastAsia="zh-CN"/>
        </w:rPr>
        <w:t>乙方承诺其是依法成立的法人，保证其具有承接本合同项目的法定资质，具有国家批准从事市场调查/研究/分析、专业行业的商业计划调查/研究等专业服务的经营范围和专业资格，并具备为满足本合同中约定委托事项所需的专业经验、社会资源网络和专业人员队伍。因乙方缺乏相应资质或无法完成本合同约定项目研究事项而给甲方造成损失的，甲方有权单方解除或终止本合同，并要求乙方返还本合同全部费用/文件并支付违约金，承担由此给甲方造成的一切经济损失。</w:t>
      </w:r>
    </w:p>
    <w:p>
      <w:pPr>
        <w:pStyle w:val="9"/>
        <w:widowControl w:val="0"/>
        <w:numPr>
          <w:ilvl w:val="0"/>
          <w:numId w:val="8"/>
        </w:numPr>
        <w:spacing w:line="360" w:lineRule="auto"/>
        <w:ind w:left="851" w:hanging="425" w:firstLineChars="0"/>
        <w:rPr>
          <w:rFonts w:ascii="宋体" w:hAnsi="宋体"/>
          <w:sz w:val="22"/>
          <w:szCs w:val="22"/>
          <w:lang w:eastAsia="zh-CN"/>
        </w:rPr>
      </w:pPr>
      <w:r>
        <w:rPr>
          <w:rFonts w:hint="eastAsia" w:ascii="宋体" w:hAnsi="宋体"/>
          <w:sz w:val="22"/>
          <w:szCs w:val="22"/>
          <w:lang w:eastAsia="zh-CN"/>
        </w:rPr>
        <w:t>乙方在调查执行过程中，应遵守国家法律法规及地方法规的有关规定。如项目需要进行审批的，应由乙方负责完成相关审批手续及因此产生的一切费用。</w:t>
      </w:r>
    </w:p>
    <w:p>
      <w:pPr>
        <w:pStyle w:val="9"/>
        <w:widowControl w:val="0"/>
        <w:numPr>
          <w:ilvl w:val="0"/>
          <w:numId w:val="8"/>
        </w:numPr>
        <w:spacing w:line="360" w:lineRule="auto"/>
        <w:ind w:left="851" w:hanging="425" w:firstLineChars="0"/>
        <w:rPr>
          <w:rFonts w:ascii="宋体" w:hAnsi="宋体"/>
          <w:sz w:val="22"/>
          <w:szCs w:val="22"/>
          <w:lang w:eastAsia="zh-CN"/>
        </w:rPr>
      </w:pPr>
      <w:r>
        <w:rPr>
          <w:rFonts w:hint="eastAsia" w:ascii="宋体" w:hAnsi="宋体"/>
          <w:sz w:val="22"/>
          <w:szCs w:val="22"/>
          <w:lang w:eastAsia="zh-CN"/>
        </w:rPr>
        <w:t>乙方应遵守调查所在地的相关法律、法规的规定，并承担因违反上述规定而产生的法律责任及给甲方造成的损失。</w:t>
      </w:r>
    </w:p>
    <w:p>
      <w:pPr>
        <w:pStyle w:val="9"/>
        <w:widowControl w:val="0"/>
        <w:numPr>
          <w:ilvl w:val="0"/>
          <w:numId w:val="8"/>
        </w:numPr>
        <w:spacing w:line="360" w:lineRule="auto"/>
        <w:ind w:left="851" w:hanging="425" w:firstLineChars="0"/>
        <w:rPr>
          <w:rFonts w:ascii="宋体" w:hAnsi="宋体"/>
          <w:sz w:val="22"/>
          <w:szCs w:val="22"/>
        </w:rPr>
      </w:pPr>
      <w:r>
        <w:rPr>
          <w:rFonts w:hint="eastAsia" w:ascii="宋体" w:hAnsi="宋体"/>
          <w:sz w:val="22"/>
          <w:szCs w:val="22"/>
          <w:lang w:eastAsia="zh-CN"/>
        </w:rPr>
        <w:t>乙方须在签署本合同后5日内向甲方提供其所需资料的清单。甲方交给乙方的所有文字资料，乙方应妥善保存，并不得以任何形式提供给任何第三方或用于其它目的。</w:t>
      </w:r>
      <w:r>
        <w:rPr>
          <w:rFonts w:hint="eastAsia" w:ascii="宋体" w:hAnsi="宋体"/>
          <w:sz w:val="22"/>
          <w:szCs w:val="22"/>
        </w:rPr>
        <w:t>本合同终止后，乙方应将有关资料交还甲方。</w:t>
      </w:r>
    </w:p>
    <w:p>
      <w:pPr>
        <w:pStyle w:val="9"/>
        <w:widowControl w:val="0"/>
        <w:numPr>
          <w:ilvl w:val="0"/>
          <w:numId w:val="8"/>
        </w:numPr>
        <w:spacing w:line="360" w:lineRule="auto"/>
        <w:ind w:left="851" w:hanging="425" w:firstLineChars="0"/>
        <w:rPr>
          <w:rFonts w:ascii="宋体" w:hAnsi="宋体"/>
          <w:sz w:val="22"/>
          <w:szCs w:val="22"/>
          <w:lang w:eastAsia="zh-CN"/>
        </w:rPr>
      </w:pPr>
      <w:r>
        <w:rPr>
          <w:rFonts w:hint="eastAsia" w:ascii="宋体" w:hAnsi="宋体"/>
          <w:sz w:val="22"/>
          <w:szCs w:val="22"/>
          <w:lang w:eastAsia="zh-CN"/>
        </w:rPr>
        <w:t>乙方应保证其调查成果科学、客观、真实、有效，并不得侵犯任何第三方的合法权益；保证就项目制作的研究报告文件的内容符合真实性、有效性、准确性和完整性；乙方开展调查成果、研究报告等全部信息均通过合法有效的途径和手段取得，并随时配合甲方的要求提供调查信息/成果/研究报告等信息和文书的制作依据、取得相关信息的途径和方法等。</w:t>
      </w:r>
    </w:p>
    <w:p>
      <w:pPr>
        <w:pStyle w:val="9"/>
        <w:widowControl w:val="0"/>
        <w:numPr>
          <w:ilvl w:val="0"/>
          <w:numId w:val="8"/>
        </w:numPr>
        <w:spacing w:line="360" w:lineRule="auto"/>
        <w:ind w:left="851" w:hanging="425" w:firstLineChars="0"/>
        <w:rPr>
          <w:rFonts w:ascii="宋体" w:hAnsi="宋体"/>
          <w:sz w:val="22"/>
          <w:szCs w:val="22"/>
          <w:lang w:eastAsia="zh-CN"/>
        </w:rPr>
      </w:pPr>
      <w:r>
        <w:rPr>
          <w:rFonts w:hint="eastAsia" w:ascii="宋体" w:hAnsi="宋体"/>
          <w:sz w:val="22"/>
          <w:szCs w:val="22"/>
          <w:lang w:eastAsia="zh-CN"/>
        </w:rPr>
        <w:t>乙方自行承担应本合同项下调查项目产生的一切税费。</w:t>
      </w:r>
    </w:p>
    <w:p>
      <w:pPr>
        <w:pStyle w:val="9"/>
        <w:widowControl w:val="0"/>
        <w:numPr>
          <w:ilvl w:val="0"/>
          <w:numId w:val="8"/>
        </w:numPr>
        <w:spacing w:line="360" w:lineRule="auto"/>
        <w:ind w:left="851" w:hanging="425" w:firstLineChars="0"/>
        <w:rPr>
          <w:rFonts w:ascii="宋体" w:hAnsi="宋体"/>
          <w:sz w:val="22"/>
          <w:szCs w:val="22"/>
          <w:lang w:eastAsia="zh-CN"/>
        </w:rPr>
      </w:pPr>
      <w:r>
        <w:rPr>
          <w:rFonts w:hint="eastAsia" w:ascii="宋体" w:hAnsi="宋体"/>
          <w:sz w:val="22"/>
          <w:szCs w:val="22"/>
          <w:lang w:eastAsia="zh-CN"/>
        </w:rPr>
        <w:t>为甲方提供的产品、服务及在甲方范围内进行的生产、服务活动须符合甲方在环保及职业健康安全的管理规定，避免对环境及职业健康安全造成影响。</w:t>
      </w:r>
    </w:p>
    <w:p>
      <w:pPr>
        <w:pStyle w:val="9"/>
        <w:widowControl w:val="0"/>
        <w:numPr>
          <w:ilvl w:val="0"/>
          <w:numId w:val="8"/>
        </w:numPr>
        <w:spacing w:line="360" w:lineRule="auto"/>
        <w:ind w:left="851" w:hanging="425" w:firstLineChars="0"/>
        <w:rPr>
          <w:rFonts w:ascii="宋体" w:hAnsi="宋体"/>
          <w:sz w:val="22"/>
          <w:szCs w:val="22"/>
          <w:lang w:eastAsia="zh-CN"/>
        </w:rPr>
      </w:pPr>
      <w:r>
        <w:rPr>
          <w:rFonts w:hint="eastAsia" w:ascii="宋体" w:hAnsi="宋体"/>
          <w:sz w:val="22"/>
          <w:szCs w:val="22"/>
          <w:lang w:eastAsia="zh-CN"/>
        </w:rPr>
        <w:t>未经委托方事先书面同意，受托方不得将本合同的部分或全部分包、转让给其附属机构或任何第三方。如经委托方事先书面同意，受托方将本合同项下的部分或全部权利义务转包或分包给任何第三方的，并不免除或减轻受托方在本合同项下应承担的义务和责任。</w:t>
      </w:r>
    </w:p>
    <w:p>
      <w:pPr>
        <w:pStyle w:val="9"/>
        <w:widowControl w:val="0"/>
        <w:numPr>
          <w:ilvl w:val="0"/>
          <w:numId w:val="8"/>
        </w:numPr>
        <w:spacing w:line="360" w:lineRule="auto"/>
        <w:ind w:left="851" w:hanging="425" w:firstLineChars="0"/>
        <w:rPr>
          <w:rFonts w:hint="eastAsia" w:ascii="宋体" w:hAnsi="宋体"/>
          <w:sz w:val="22"/>
          <w:szCs w:val="22"/>
          <w:lang w:eastAsia="zh-CN"/>
        </w:rPr>
      </w:pPr>
      <w:r>
        <w:rPr>
          <w:rFonts w:hint="eastAsia" w:ascii="宋体" w:hAnsi="宋体"/>
          <w:sz w:val="22"/>
          <w:szCs w:val="22"/>
          <w:lang w:eastAsia="zh-CN"/>
        </w:rPr>
        <w:t>在本合同约定事项中，未经甲方书面授权，乙方不得使用甲方的名义与甲方的客户/消费者/潜在消费者等进行接洽和沟通；不得使用甲方的名义开展与本项目无关的事项。乙方不得有任何损害甲方商誉/名誉/企业形象的行为。</w:t>
      </w:r>
    </w:p>
    <w:p>
      <w:pPr>
        <w:numPr>
          <w:ilvl w:val="0"/>
          <w:numId w:val="6"/>
        </w:numPr>
        <w:tabs>
          <w:tab w:val="left" w:pos="426"/>
        </w:tabs>
        <w:spacing w:line="360" w:lineRule="auto"/>
        <w:rPr>
          <w:rFonts w:hint="eastAsia"/>
          <w:b/>
          <w:sz w:val="22"/>
          <w:szCs w:val="22"/>
        </w:rPr>
      </w:pPr>
      <w:r>
        <w:rPr>
          <w:rFonts w:hint="eastAsia"/>
          <w:b/>
          <w:sz w:val="22"/>
          <w:szCs w:val="22"/>
        </w:rPr>
        <w:t>服务期间（项目完成期限）</w:t>
      </w:r>
    </w:p>
    <w:p>
      <w:pPr>
        <w:spacing w:line="360" w:lineRule="auto"/>
        <w:ind w:firstLine="435"/>
        <w:rPr>
          <w:rFonts w:hint="eastAsia"/>
          <w:sz w:val="22"/>
          <w:szCs w:val="22"/>
        </w:rPr>
      </w:pPr>
      <w:r>
        <w:rPr>
          <w:rFonts w:hint="eastAsia"/>
          <w:sz w:val="22"/>
          <w:szCs w:val="22"/>
        </w:rPr>
        <w:t>委托服务期间自 2024   年     1   月   1  日至  2025     年   12    月    30  日止。</w:t>
      </w:r>
    </w:p>
    <w:p>
      <w:pPr>
        <w:numPr>
          <w:ilvl w:val="0"/>
          <w:numId w:val="6"/>
        </w:numPr>
        <w:tabs>
          <w:tab w:val="left" w:pos="426"/>
        </w:tabs>
        <w:spacing w:line="360" w:lineRule="auto"/>
        <w:rPr>
          <w:rFonts w:hint="eastAsia"/>
          <w:b/>
          <w:sz w:val="22"/>
          <w:szCs w:val="22"/>
        </w:rPr>
      </w:pPr>
      <w:r>
        <w:rPr>
          <w:rFonts w:hint="eastAsia"/>
          <w:b/>
          <w:sz w:val="22"/>
          <w:szCs w:val="22"/>
        </w:rPr>
        <w:t>付款方式</w:t>
      </w:r>
    </w:p>
    <w:p>
      <w:pPr>
        <w:spacing w:line="360" w:lineRule="auto"/>
        <w:ind w:left="424" w:leftChars="202" w:firstLine="330" w:firstLineChars="150"/>
        <w:rPr>
          <w:rFonts w:hint="eastAsia"/>
          <w:sz w:val="22"/>
          <w:szCs w:val="22"/>
        </w:rPr>
      </w:pPr>
      <w:r>
        <w:rPr>
          <w:rFonts w:hint="eastAsia" w:ascii="宋体" w:hAnsi="宋体"/>
          <w:kern w:val="28"/>
          <w:sz w:val="22"/>
          <w:szCs w:val="22"/>
        </w:rPr>
        <w:t>由于</w:t>
      </w:r>
      <w:r>
        <w:rPr>
          <w:rFonts w:hint="eastAsia"/>
          <w:sz w:val="22"/>
          <w:szCs w:val="22"/>
        </w:rPr>
        <w:t>本项目实施时间为2</w:t>
      </w:r>
      <w:r>
        <w:rPr>
          <w:sz w:val="22"/>
          <w:szCs w:val="22"/>
        </w:rPr>
        <w:t>年</w:t>
      </w:r>
      <w:r>
        <w:rPr>
          <w:rFonts w:hint="eastAsia"/>
          <w:sz w:val="22"/>
          <w:szCs w:val="22"/>
        </w:rPr>
        <w:t>，</w:t>
      </w:r>
      <w:r>
        <w:rPr>
          <w:rFonts w:hint="eastAsia" w:ascii="宋体" w:hAnsi="宋体"/>
          <w:sz w:val="22"/>
          <w:szCs w:val="22"/>
        </w:rPr>
        <w:t>每年进行评价工作（一年两期患者满意度评价工作、一年一期职工满意度评价工作），每年合同款项按项目完成情况付清</w:t>
      </w:r>
      <w:r>
        <w:rPr>
          <w:rFonts w:hint="eastAsia"/>
          <w:sz w:val="22"/>
          <w:szCs w:val="22"/>
        </w:rPr>
        <w:t>。</w:t>
      </w:r>
    </w:p>
    <w:p>
      <w:pPr>
        <w:spacing w:line="360" w:lineRule="auto"/>
        <w:ind w:left="424" w:leftChars="202" w:firstLine="330" w:firstLineChars="150"/>
        <w:rPr>
          <w:rFonts w:hint="eastAsia" w:ascii="宋体" w:hAnsi="宋体"/>
          <w:sz w:val="22"/>
          <w:szCs w:val="22"/>
        </w:rPr>
      </w:pPr>
      <w:r>
        <w:rPr>
          <w:rFonts w:hint="eastAsia"/>
          <w:sz w:val="22"/>
          <w:szCs w:val="22"/>
        </w:rPr>
        <w:t>两年合同总金额为（大写）：整  （￥元），第一年合同金额为（大写）：（￥元）；第二年合同金额为（大写）：整（￥  元）；每年具体支付方式</w:t>
      </w:r>
      <w:r>
        <w:rPr>
          <w:rFonts w:hint="eastAsia" w:ascii="宋体" w:hAnsi="宋体"/>
          <w:sz w:val="22"/>
          <w:szCs w:val="22"/>
        </w:rPr>
        <w:t>由甲方按下列程序付款：</w:t>
      </w:r>
    </w:p>
    <w:p>
      <w:pPr>
        <w:pStyle w:val="9"/>
        <w:widowControl w:val="0"/>
        <w:numPr>
          <w:ilvl w:val="0"/>
          <w:numId w:val="9"/>
        </w:numPr>
        <w:spacing w:line="360" w:lineRule="auto"/>
        <w:ind w:left="851" w:hanging="425" w:firstLineChars="0"/>
        <w:rPr>
          <w:rFonts w:ascii="宋体" w:hAnsi="宋体"/>
          <w:sz w:val="22"/>
          <w:szCs w:val="22"/>
          <w:lang w:eastAsia="zh-CN"/>
        </w:rPr>
      </w:pPr>
      <w:r>
        <w:rPr>
          <w:rFonts w:hint="eastAsia" w:ascii="宋体" w:hAnsi="宋体"/>
          <w:sz w:val="22"/>
          <w:szCs w:val="22"/>
          <w:lang w:val="en-US" w:eastAsia="zh-CN"/>
        </w:rPr>
        <w:t>调查服务期第一年，</w:t>
      </w:r>
      <w:r>
        <w:rPr>
          <w:rFonts w:hint="eastAsia" w:ascii="宋体" w:hAnsi="宋体"/>
          <w:sz w:val="22"/>
          <w:szCs w:val="22"/>
          <w:lang w:eastAsia="zh-CN"/>
        </w:rPr>
        <w:t>乙方按照本合同约定如期提交</w:t>
      </w:r>
      <w:r>
        <w:rPr>
          <w:rFonts w:hint="eastAsia" w:ascii="宋体" w:hAnsi="宋体"/>
          <w:sz w:val="22"/>
          <w:szCs w:val="22"/>
          <w:lang w:val="en-US" w:eastAsia="zh-CN"/>
        </w:rPr>
        <w:t>第一年</w:t>
      </w:r>
      <w:r>
        <w:rPr>
          <w:rFonts w:hint="eastAsia"/>
        </w:rPr>
        <w:t>满意度总体调查测评报告</w:t>
      </w:r>
      <w:r>
        <w:rPr>
          <w:rFonts w:hint="eastAsia" w:ascii="宋体" w:hAnsi="宋体"/>
          <w:sz w:val="22"/>
          <w:szCs w:val="22"/>
          <w:lang w:eastAsia="zh-CN"/>
        </w:rPr>
        <w:t>并经甲方验收后，甲方于验收合格之日起30个工作日内，向乙方支付调研费用，即人民币：伍万</w:t>
      </w:r>
      <w:r>
        <w:rPr>
          <w:rFonts w:hint="eastAsia"/>
          <w:sz w:val="22"/>
          <w:szCs w:val="22"/>
          <w:lang w:eastAsia="zh-CN"/>
        </w:rPr>
        <w:t xml:space="preserve">元整（￥ </w:t>
      </w:r>
      <w:r>
        <w:rPr>
          <w:rFonts w:hint="eastAsia"/>
          <w:sz w:val="22"/>
          <w:szCs w:val="22"/>
          <w:lang w:val="en-US" w:eastAsia="zh-CN"/>
        </w:rPr>
        <w:t>50000</w:t>
      </w:r>
      <w:r>
        <w:rPr>
          <w:rFonts w:hint="eastAsia"/>
          <w:sz w:val="22"/>
          <w:szCs w:val="22"/>
          <w:lang w:eastAsia="zh-CN"/>
        </w:rPr>
        <w:t>元）</w:t>
      </w:r>
      <w:r>
        <w:rPr>
          <w:rFonts w:hint="eastAsia" w:ascii="宋体" w:hAnsi="宋体"/>
          <w:sz w:val="22"/>
          <w:szCs w:val="22"/>
          <w:lang w:eastAsia="zh-CN"/>
        </w:rPr>
        <w:t>。</w:t>
      </w:r>
    </w:p>
    <w:p>
      <w:pPr>
        <w:pStyle w:val="9"/>
        <w:widowControl w:val="0"/>
        <w:numPr>
          <w:ilvl w:val="0"/>
          <w:numId w:val="9"/>
        </w:numPr>
        <w:spacing w:line="360" w:lineRule="auto"/>
        <w:ind w:left="851" w:hanging="425" w:firstLineChars="0"/>
        <w:rPr>
          <w:rFonts w:ascii="宋体" w:hAnsi="宋体"/>
          <w:sz w:val="22"/>
          <w:szCs w:val="22"/>
          <w:lang w:eastAsia="zh-CN"/>
        </w:rPr>
      </w:pPr>
      <w:r>
        <w:rPr>
          <w:rFonts w:hint="eastAsia" w:ascii="宋体" w:hAnsi="宋体"/>
          <w:sz w:val="22"/>
          <w:szCs w:val="22"/>
          <w:lang w:val="en-US" w:eastAsia="zh-CN"/>
        </w:rPr>
        <w:t>调查服务期第二年，</w:t>
      </w:r>
      <w:r>
        <w:rPr>
          <w:rFonts w:hint="eastAsia" w:ascii="宋体" w:hAnsi="宋体"/>
          <w:sz w:val="22"/>
          <w:szCs w:val="22"/>
          <w:lang w:eastAsia="zh-CN"/>
        </w:rPr>
        <w:t>乙方按照本合同约定如期提交</w:t>
      </w:r>
      <w:r>
        <w:rPr>
          <w:rFonts w:hint="eastAsia" w:ascii="宋体" w:hAnsi="宋体"/>
          <w:sz w:val="22"/>
          <w:szCs w:val="22"/>
          <w:lang w:val="en-US" w:eastAsia="zh-CN"/>
        </w:rPr>
        <w:t>第二年</w:t>
      </w:r>
      <w:r>
        <w:rPr>
          <w:rFonts w:hint="eastAsia"/>
        </w:rPr>
        <w:t>满意度总体调查测评报告</w:t>
      </w:r>
      <w:r>
        <w:rPr>
          <w:rFonts w:hint="eastAsia" w:ascii="宋体" w:hAnsi="宋体"/>
          <w:sz w:val="22"/>
          <w:szCs w:val="22"/>
          <w:lang w:eastAsia="zh-CN"/>
        </w:rPr>
        <w:t>并经甲方验收后，甲方于验收合格之日起30个工作日内，向乙方支付调研费用，即人民币：</w:t>
      </w:r>
      <w:r>
        <w:rPr>
          <w:rFonts w:hint="eastAsia"/>
          <w:sz w:val="22"/>
          <w:szCs w:val="22"/>
          <w:lang w:eastAsia="zh-CN"/>
        </w:rPr>
        <w:t xml:space="preserve">伍万元整（￥ </w:t>
      </w:r>
      <w:r>
        <w:rPr>
          <w:rFonts w:hint="eastAsia"/>
          <w:sz w:val="22"/>
          <w:szCs w:val="22"/>
          <w:lang w:val="en-US" w:eastAsia="zh-CN"/>
        </w:rPr>
        <w:t>50000</w:t>
      </w:r>
      <w:r>
        <w:rPr>
          <w:rFonts w:hint="eastAsia"/>
          <w:sz w:val="22"/>
          <w:szCs w:val="22"/>
          <w:lang w:eastAsia="zh-CN"/>
        </w:rPr>
        <w:t>元）</w:t>
      </w:r>
      <w:r>
        <w:rPr>
          <w:rFonts w:hint="eastAsia" w:ascii="宋体" w:hAnsi="宋体"/>
          <w:sz w:val="22"/>
          <w:szCs w:val="22"/>
          <w:lang w:eastAsia="zh-CN"/>
        </w:rPr>
        <w:t>。</w:t>
      </w:r>
    </w:p>
    <w:p>
      <w:pPr>
        <w:pStyle w:val="9"/>
        <w:widowControl w:val="0"/>
        <w:numPr>
          <w:ilvl w:val="0"/>
          <w:numId w:val="9"/>
        </w:numPr>
        <w:spacing w:line="360" w:lineRule="auto"/>
        <w:ind w:hanging="874" w:firstLineChars="0"/>
        <w:rPr>
          <w:rFonts w:ascii="宋体" w:hAnsi="宋体"/>
          <w:sz w:val="22"/>
          <w:szCs w:val="22"/>
          <w:lang w:eastAsia="zh-CN"/>
        </w:rPr>
      </w:pPr>
      <w:r>
        <w:rPr>
          <w:rFonts w:hint="eastAsia" w:ascii="宋体" w:hAnsi="宋体"/>
          <w:sz w:val="22"/>
          <w:szCs w:val="22"/>
          <w:lang w:eastAsia="zh-CN"/>
        </w:rPr>
        <w:t>乙方的电汇接受账号信息如下：</w:t>
      </w:r>
    </w:p>
    <w:p>
      <w:pPr>
        <w:pStyle w:val="9"/>
        <w:spacing w:line="360" w:lineRule="auto"/>
        <w:ind w:left="1300" w:firstLine="0" w:firstLineChars="0"/>
        <w:rPr>
          <w:rFonts w:hint="eastAsia" w:ascii="宋体" w:hAnsi="宋体"/>
          <w:sz w:val="22"/>
          <w:szCs w:val="22"/>
          <w:lang w:eastAsia="zh-CN"/>
        </w:rPr>
      </w:pPr>
      <w:r>
        <w:rPr>
          <w:rFonts w:hint="eastAsia" w:ascii="宋体" w:hAnsi="宋体"/>
          <w:sz w:val="22"/>
          <w:szCs w:val="22"/>
          <w:lang w:eastAsia="zh-CN"/>
        </w:rPr>
        <w:t xml:space="preserve">开户名称： </w:t>
      </w:r>
    </w:p>
    <w:p>
      <w:pPr>
        <w:pStyle w:val="9"/>
        <w:spacing w:line="360" w:lineRule="auto"/>
        <w:ind w:left="1300" w:firstLine="0" w:firstLineChars="0"/>
        <w:rPr>
          <w:rFonts w:ascii="宋体" w:hAnsi="宋体"/>
          <w:sz w:val="22"/>
          <w:szCs w:val="22"/>
          <w:lang w:eastAsia="zh-CN"/>
        </w:rPr>
      </w:pPr>
      <w:r>
        <w:rPr>
          <w:rFonts w:hint="eastAsia" w:ascii="宋体" w:hAnsi="宋体"/>
          <w:sz w:val="22"/>
          <w:szCs w:val="22"/>
          <w:lang w:eastAsia="zh-CN"/>
        </w:rPr>
        <w:t>开户银行：</w:t>
      </w:r>
      <w:r>
        <w:rPr>
          <w:rFonts w:ascii="宋体" w:hAnsi="宋体"/>
          <w:sz w:val="22"/>
          <w:szCs w:val="22"/>
          <w:lang w:eastAsia="zh-CN"/>
        </w:rPr>
        <w:t xml:space="preserve"> </w:t>
      </w:r>
    </w:p>
    <w:p>
      <w:pPr>
        <w:pStyle w:val="9"/>
        <w:spacing w:line="360" w:lineRule="auto"/>
        <w:ind w:left="1300" w:firstLine="0" w:firstLineChars="0"/>
        <w:rPr>
          <w:rFonts w:hint="eastAsia" w:ascii="宋体" w:hAnsi="宋体"/>
          <w:sz w:val="22"/>
          <w:szCs w:val="22"/>
          <w:lang w:eastAsia="zh-CN"/>
        </w:rPr>
      </w:pPr>
      <w:r>
        <w:rPr>
          <w:rFonts w:hint="eastAsia" w:ascii="宋体" w:hAnsi="宋体"/>
          <w:sz w:val="22"/>
          <w:szCs w:val="22"/>
        </w:rPr>
        <w:t>银行帐号：</w:t>
      </w:r>
    </w:p>
    <w:p>
      <w:pPr>
        <w:pStyle w:val="9"/>
        <w:widowControl w:val="0"/>
        <w:numPr>
          <w:ilvl w:val="0"/>
          <w:numId w:val="9"/>
        </w:numPr>
        <w:spacing w:line="360" w:lineRule="auto"/>
        <w:ind w:hanging="874" w:firstLineChars="0"/>
        <w:rPr>
          <w:rFonts w:hint="eastAsia" w:ascii="宋体" w:hAnsi="宋体"/>
          <w:sz w:val="22"/>
          <w:szCs w:val="22"/>
          <w:lang w:eastAsia="zh-CN"/>
        </w:rPr>
      </w:pPr>
      <w:r>
        <w:rPr>
          <w:rFonts w:hint="eastAsia" w:ascii="宋体" w:hAnsi="宋体"/>
          <w:sz w:val="22"/>
          <w:szCs w:val="22"/>
          <w:lang w:eastAsia="zh-CN"/>
        </w:rPr>
        <w:t>甲方每次付款前，乙方须提供合法合规的含税发票。</w:t>
      </w:r>
    </w:p>
    <w:p>
      <w:pPr>
        <w:numPr>
          <w:ilvl w:val="0"/>
          <w:numId w:val="6"/>
        </w:numPr>
        <w:tabs>
          <w:tab w:val="left" w:pos="426"/>
        </w:tabs>
        <w:spacing w:line="360" w:lineRule="auto"/>
        <w:rPr>
          <w:rFonts w:hint="eastAsia"/>
          <w:b/>
          <w:sz w:val="22"/>
          <w:szCs w:val="22"/>
        </w:rPr>
      </w:pPr>
      <w:r>
        <w:rPr>
          <w:rFonts w:hint="eastAsia"/>
          <w:b/>
          <w:sz w:val="22"/>
          <w:szCs w:val="22"/>
        </w:rPr>
        <w:t>知识产权产权归属</w:t>
      </w:r>
    </w:p>
    <w:p>
      <w:pPr>
        <w:spacing w:line="360" w:lineRule="auto"/>
        <w:ind w:left="420" w:leftChars="200" w:firstLine="330" w:firstLineChars="150"/>
        <w:rPr>
          <w:rFonts w:hint="eastAsia" w:ascii="宋体" w:hAnsi="宋体" w:cs="宋体"/>
          <w:sz w:val="22"/>
          <w:szCs w:val="22"/>
        </w:rPr>
      </w:pPr>
      <w:r>
        <w:rPr>
          <w:rFonts w:hint="eastAsia" w:ascii="宋体" w:hAnsi="宋体" w:cs="宋体"/>
          <w:sz w:val="22"/>
          <w:szCs w:val="22"/>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p>
    <w:p>
      <w:pPr>
        <w:numPr>
          <w:ilvl w:val="0"/>
          <w:numId w:val="6"/>
        </w:numPr>
        <w:tabs>
          <w:tab w:val="left" w:pos="426"/>
        </w:tabs>
        <w:spacing w:line="360" w:lineRule="auto"/>
        <w:rPr>
          <w:rFonts w:hint="eastAsia"/>
          <w:b/>
          <w:sz w:val="22"/>
          <w:szCs w:val="22"/>
        </w:rPr>
      </w:pPr>
      <w:r>
        <w:rPr>
          <w:rFonts w:hint="eastAsia"/>
          <w:b/>
          <w:sz w:val="22"/>
          <w:szCs w:val="22"/>
        </w:rPr>
        <w:t>保密</w:t>
      </w:r>
    </w:p>
    <w:p>
      <w:pPr>
        <w:spacing w:line="360" w:lineRule="auto"/>
        <w:ind w:left="420" w:leftChars="200" w:firstLine="440" w:firstLineChars="200"/>
        <w:rPr>
          <w:rFonts w:hint="eastAsia" w:ascii="宋体" w:hAnsi="宋体" w:cs="宋体"/>
          <w:sz w:val="22"/>
          <w:szCs w:val="22"/>
        </w:rPr>
      </w:pPr>
      <w:r>
        <w:rPr>
          <w:rFonts w:hint="eastAsia" w:ascii="宋体" w:hAnsi="宋体" w:cs="宋体"/>
          <w:sz w:val="22"/>
          <w:szCs w:val="22"/>
        </w:rPr>
        <w:t>项目实施过程中至乙方正式向甲方交付技术文档资料时止，乙方必须采取措施对本项目实施过程中的数据、源代码、技术文档等资料保密，否则，由于乙方过错导致的上述资料泄密的，乙方必须承担一切责任。项目完成后，甲、乙双方均有责任对本项目的技术保密承担责任。</w:t>
      </w:r>
    </w:p>
    <w:p>
      <w:pPr>
        <w:pStyle w:val="9"/>
        <w:widowControl w:val="0"/>
        <w:numPr>
          <w:ilvl w:val="0"/>
          <w:numId w:val="10"/>
        </w:numPr>
        <w:spacing w:line="360" w:lineRule="auto"/>
        <w:ind w:left="851" w:hanging="425" w:firstLineChars="0"/>
        <w:rPr>
          <w:rFonts w:hint="eastAsia" w:ascii="宋体" w:hAnsi="宋体"/>
          <w:sz w:val="22"/>
          <w:szCs w:val="22"/>
          <w:lang w:eastAsia="zh-CN"/>
        </w:rPr>
      </w:pPr>
      <w:r>
        <w:rPr>
          <w:rFonts w:hint="eastAsia" w:ascii="宋体" w:hAnsi="宋体"/>
          <w:sz w:val="22"/>
          <w:szCs w:val="22"/>
          <w:lang w:eastAsia="zh-CN"/>
        </w:rPr>
        <w:t>未经乙方事先书面同意，甲方不得将由乙方为本合同提供的条文、规格、计划、图纸、模型、样品或资料等提供给与本合同无关的任何第三方，不得将其用于履行本合同之外的其它用途。即使向与履行本合同有关的人员提供，也应注意保密并限于履行合同所必需的范围。</w:t>
      </w:r>
    </w:p>
    <w:p>
      <w:pPr>
        <w:pStyle w:val="9"/>
        <w:widowControl w:val="0"/>
        <w:numPr>
          <w:ilvl w:val="0"/>
          <w:numId w:val="10"/>
        </w:numPr>
        <w:spacing w:line="360" w:lineRule="auto"/>
        <w:ind w:left="851" w:hanging="425" w:firstLineChars="0"/>
        <w:rPr>
          <w:rFonts w:hint="eastAsia" w:ascii="宋体" w:hAnsi="宋体"/>
          <w:sz w:val="22"/>
          <w:szCs w:val="22"/>
          <w:lang w:eastAsia="zh-CN"/>
        </w:rPr>
      </w:pPr>
      <w:r>
        <w:rPr>
          <w:rFonts w:hint="eastAsia" w:ascii="宋体" w:hAnsi="宋体"/>
          <w:sz w:val="22"/>
          <w:szCs w:val="22"/>
          <w:lang w:eastAsia="zh-CN"/>
        </w:rPr>
        <w:t>除了合同本身之外，上款所列举的任何物件均是乙方的财产。如果乙方有要求，甲方在完成合同后应将这些物件及全部复制件还给乙方。</w:t>
      </w:r>
    </w:p>
    <w:p>
      <w:pPr>
        <w:numPr>
          <w:ilvl w:val="0"/>
          <w:numId w:val="6"/>
        </w:numPr>
        <w:tabs>
          <w:tab w:val="left" w:pos="426"/>
        </w:tabs>
        <w:spacing w:line="360" w:lineRule="auto"/>
        <w:rPr>
          <w:rFonts w:hint="eastAsia"/>
          <w:b/>
          <w:sz w:val="22"/>
          <w:szCs w:val="22"/>
        </w:rPr>
      </w:pPr>
      <w:r>
        <w:rPr>
          <w:rFonts w:hint="eastAsia"/>
          <w:b/>
          <w:sz w:val="22"/>
          <w:szCs w:val="22"/>
        </w:rPr>
        <w:t>违约责任与赔偿损失</w:t>
      </w:r>
    </w:p>
    <w:p>
      <w:pPr>
        <w:spacing w:line="276" w:lineRule="auto"/>
        <w:ind w:firstLine="440" w:firstLineChars="200"/>
        <w:jc w:val="left"/>
        <w:rPr>
          <w:rFonts w:ascii="宋体" w:hAnsi="宋体"/>
          <w:sz w:val="22"/>
          <w:szCs w:val="22"/>
        </w:rPr>
      </w:pPr>
      <w:r>
        <w:rPr>
          <w:rFonts w:hint="eastAsia" w:ascii="宋体" w:hAnsi="宋体"/>
          <w:sz w:val="22"/>
          <w:szCs w:val="22"/>
        </w:rPr>
        <w:t>1</w:t>
      </w:r>
      <w:r>
        <w:rPr>
          <w:rFonts w:ascii="宋体" w:hAnsi="宋体"/>
          <w:sz w:val="22"/>
          <w:szCs w:val="22"/>
        </w:rPr>
        <w:t>.</w:t>
      </w:r>
      <w:r>
        <w:rPr>
          <w:rFonts w:hint="eastAsia" w:ascii="宋体" w:hAnsi="宋体"/>
          <w:sz w:val="22"/>
          <w:szCs w:val="22"/>
        </w:rPr>
        <w:t>任何一方未履行本协议项下的任何一项条款均被视为违约。违约方应承担因自己的违约行为而给守约方造成的经济损失。</w:t>
      </w:r>
    </w:p>
    <w:p>
      <w:pPr>
        <w:spacing w:line="276" w:lineRule="auto"/>
        <w:ind w:firstLine="440" w:firstLineChars="200"/>
        <w:jc w:val="left"/>
        <w:rPr>
          <w:rFonts w:ascii="宋体" w:hAnsi="宋体"/>
          <w:sz w:val="22"/>
          <w:szCs w:val="22"/>
        </w:rPr>
      </w:pPr>
      <w:r>
        <w:rPr>
          <w:rFonts w:hint="eastAsia" w:ascii="宋体" w:hAnsi="宋体"/>
          <w:sz w:val="22"/>
          <w:szCs w:val="22"/>
        </w:rPr>
        <w:t>2.如乙方不能提供原始资料和录音，乙方应向甲方支付相当于合同总金额10％的违约金，甲方有权直接从应支付乙方的相应合同金额中扣除。</w:t>
      </w:r>
    </w:p>
    <w:p>
      <w:pPr>
        <w:spacing w:line="276" w:lineRule="auto"/>
        <w:ind w:firstLine="440" w:firstLineChars="200"/>
        <w:jc w:val="left"/>
        <w:rPr>
          <w:rFonts w:ascii="宋体" w:hAnsi="宋体"/>
          <w:sz w:val="22"/>
          <w:szCs w:val="22"/>
        </w:rPr>
      </w:pPr>
      <w:r>
        <w:rPr>
          <w:rFonts w:hint="eastAsia" w:ascii="宋体" w:hAnsi="宋体"/>
          <w:sz w:val="22"/>
          <w:szCs w:val="22"/>
        </w:rPr>
        <w:t>3</w:t>
      </w:r>
      <w:r>
        <w:rPr>
          <w:rFonts w:ascii="宋体" w:hAnsi="宋体"/>
          <w:sz w:val="22"/>
          <w:szCs w:val="22"/>
        </w:rPr>
        <w:t>.</w:t>
      </w:r>
      <w:r>
        <w:rPr>
          <w:rFonts w:hint="eastAsia" w:ascii="宋体" w:hAnsi="宋体"/>
          <w:sz w:val="22"/>
          <w:szCs w:val="22"/>
        </w:rPr>
        <w:t>如乙方无法在规定时间内提交调查成果，每逾期一天，乙方应向甲方支付相当于合同总金额0.1％的违约金；甲方有权直接从应支付乙方的相应合同金额中扣除。逾期超过15天，甲方有权解除本合同，乙方向甲方支付合同总金额20%的违约金，造成甲方的其它损失，乙方应承担相应的赔偿责任。如甲方要求乙方继续履行合同义务，则乙方应在甲方要求的时间内完成工作。</w:t>
      </w:r>
    </w:p>
    <w:p>
      <w:pPr>
        <w:spacing w:line="276" w:lineRule="auto"/>
        <w:ind w:firstLine="440" w:firstLineChars="200"/>
        <w:jc w:val="left"/>
        <w:rPr>
          <w:rFonts w:ascii="宋体" w:hAnsi="宋体"/>
          <w:sz w:val="22"/>
          <w:szCs w:val="22"/>
        </w:rPr>
      </w:pPr>
      <w:r>
        <w:rPr>
          <w:rFonts w:hint="eastAsia" w:ascii="宋体" w:hAnsi="宋体"/>
          <w:sz w:val="22"/>
          <w:szCs w:val="22"/>
        </w:rPr>
        <w:t>4</w:t>
      </w:r>
      <w:r>
        <w:rPr>
          <w:rFonts w:ascii="宋体" w:hAnsi="宋体"/>
          <w:sz w:val="22"/>
          <w:szCs w:val="22"/>
        </w:rPr>
        <w:t>.</w:t>
      </w:r>
      <w:r>
        <w:rPr>
          <w:rFonts w:hint="eastAsia" w:ascii="宋体" w:hAnsi="宋体"/>
          <w:sz w:val="22"/>
          <w:szCs w:val="22"/>
        </w:rPr>
        <w:t>如因乙方行为侵害甲方和第三方合法权益，乙方应负责处理并承担所有责任。因此给甲方造成损失的，乙方应承担赔偿责任。</w:t>
      </w:r>
    </w:p>
    <w:p>
      <w:pPr>
        <w:pStyle w:val="9"/>
        <w:widowControl w:val="0"/>
        <w:spacing w:line="360" w:lineRule="auto"/>
        <w:ind w:left="426" w:firstLine="0" w:firstLineChars="0"/>
        <w:rPr>
          <w:rFonts w:hint="eastAsia" w:ascii="宋体" w:hAnsi="宋体"/>
          <w:sz w:val="22"/>
          <w:szCs w:val="22"/>
          <w:lang w:eastAsia="zh-CN"/>
        </w:rPr>
      </w:pPr>
      <w:r>
        <w:rPr>
          <w:rFonts w:hint="eastAsia" w:ascii="宋体" w:hAnsi="宋体"/>
          <w:sz w:val="22"/>
          <w:szCs w:val="22"/>
          <w:lang w:val="en-US" w:eastAsia="zh-CN"/>
        </w:rPr>
        <w:t>5.</w:t>
      </w:r>
      <w:r>
        <w:rPr>
          <w:rFonts w:hint="eastAsia" w:ascii="宋体" w:hAnsi="宋体"/>
          <w:sz w:val="22"/>
          <w:szCs w:val="22"/>
          <w:lang w:eastAsia="zh-CN"/>
        </w:rPr>
        <w:t>其它违约责任按《中华人民共和国合同法》处理。</w:t>
      </w:r>
    </w:p>
    <w:p>
      <w:pPr>
        <w:numPr>
          <w:ilvl w:val="0"/>
          <w:numId w:val="6"/>
        </w:numPr>
        <w:tabs>
          <w:tab w:val="left" w:pos="426"/>
        </w:tabs>
        <w:spacing w:line="360" w:lineRule="auto"/>
        <w:rPr>
          <w:rFonts w:hint="eastAsia"/>
          <w:b/>
          <w:sz w:val="22"/>
          <w:szCs w:val="22"/>
        </w:rPr>
      </w:pPr>
      <w:r>
        <w:rPr>
          <w:rFonts w:hint="eastAsia"/>
          <w:b/>
          <w:sz w:val="22"/>
          <w:szCs w:val="22"/>
        </w:rPr>
        <w:t>争端的解决</w:t>
      </w:r>
    </w:p>
    <w:p>
      <w:pPr>
        <w:pStyle w:val="9"/>
        <w:spacing w:line="360" w:lineRule="auto"/>
        <w:ind w:firstLine="660" w:firstLineChars="300"/>
        <w:rPr>
          <w:rFonts w:hint="eastAsia" w:ascii="宋体" w:hAnsi="宋体"/>
          <w:sz w:val="22"/>
          <w:szCs w:val="22"/>
          <w:lang w:eastAsia="zh-CN"/>
        </w:rPr>
      </w:pPr>
      <w:r>
        <w:rPr>
          <w:rFonts w:hint="eastAsia" w:ascii="宋体" w:hAnsi="宋体"/>
          <w:sz w:val="22"/>
          <w:szCs w:val="22"/>
          <w:lang w:eastAsia="zh-CN"/>
        </w:rPr>
        <w:t>合同执行过程中发生的任何争议，如双方不能通过友好协商解决，按相关法律法规处理。</w:t>
      </w:r>
    </w:p>
    <w:p>
      <w:pPr>
        <w:numPr>
          <w:ilvl w:val="0"/>
          <w:numId w:val="6"/>
        </w:numPr>
        <w:tabs>
          <w:tab w:val="left" w:pos="426"/>
        </w:tabs>
        <w:spacing w:line="360" w:lineRule="auto"/>
        <w:rPr>
          <w:rFonts w:hint="eastAsia"/>
          <w:b/>
          <w:sz w:val="22"/>
          <w:szCs w:val="22"/>
        </w:rPr>
      </w:pPr>
      <w:r>
        <w:rPr>
          <w:rFonts w:hint="eastAsia"/>
          <w:b/>
          <w:sz w:val="22"/>
          <w:szCs w:val="22"/>
        </w:rPr>
        <w:t>不可抗力</w:t>
      </w:r>
    </w:p>
    <w:p>
      <w:pPr>
        <w:spacing w:line="360" w:lineRule="auto"/>
        <w:ind w:left="412" w:leftChars="196" w:firstLine="220" w:firstLineChars="100"/>
        <w:rPr>
          <w:rFonts w:hint="eastAsia" w:ascii="宋体" w:hAnsi="宋体"/>
          <w:sz w:val="22"/>
          <w:szCs w:val="22"/>
        </w:rPr>
      </w:pPr>
      <w:r>
        <w:rPr>
          <w:rFonts w:hint="eastAsia" w:ascii="宋体" w:hAnsi="宋体"/>
          <w:sz w:val="22"/>
          <w:szCs w:val="22"/>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6"/>
        </w:numPr>
        <w:tabs>
          <w:tab w:val="left" w:pos="426"/>
        </w:tabs>
        <w:spacing w:line="360" w:lineRule="auto"/>
        <w:rPr>
          <w:rFonts w:hint="eastAsia"/>
          <w:b/>
          <w:sz w:val="22"/>
          <w:szCs w:val="22"/>
        </w:rPr>
      </w:pPr>
      <w:r>
        <w:rPr>
          <w:rFonts w:hint="eastAsia"/>
          <w:b/>
          <w:sz w:val="22"/>
          <w:szCs w:val="22"/>
        </w:rPr>
        <w:t>税费</w:t>
      </w:r>
    </w:p>
    <w:p>
      <w:pPr>
        <w:spacing w:line="360" w:lineRule="auto"/>
        <w:ind w:firstLine="431" w:firstLineChars="196"/>
        <w:rPr>
          <w:rFonts w:hint="eastAsia" w:ascii="宋体" w:hAnsi="宋体"/>
          <w:sz w:val="22"/>
          <w:szCs w:val="22"/>
        </w:rPr>
      </w:pPr>
      <w:r>
        <w:rPr>
          <w:rFonts w:hint="eastAsia" w:ascii="宋体" w:hAnsi="宋体"/>
          <w:sz w:val="22"/>
          <w:szCs w:val="22"/>
        </w:rPr>
        <w:t>在中国境内、外发生的与本合同执行有关的一切税费均由乙方负担。</w:t>
      </w:r>
    </w:p>
    <w:p>
      <w:pPr>
        <w:numPr>
          <w:ilvl w:val="0"/>
          <w:numId w:val="6"/>
        </w:numPr>
        <w:tabs>
          <w:tab w:val="left" w:pos="426"/>
        </w:tabs>
        <w:spacing w:line="360" w:lineRule="auto"/>
        <w:rPr>
          <w:rFonts w:hint="eastAsia"/>
          <w:b/>
          <w:sz w:val="22"/>
          <w:szCs w:val="22"/>
        </w:rPr>
      </w:pPr>
      <w:r>
        <w:rPr>
          <w:rFonts w:hint="eastAsia"/>
          <w:b/>
          <w:sz w:val="22"/>
          <w:szCs w:val="22"/>
        </w:rPr>
        <w:t>其它</w:t>
      </w:r>
    </w:p>
    <w:p>
      <w:pPr>
        <w:pStyle w:val="9"/>
        <w:widowControl w:val="0"/>
        <w:numPr>
          <w:ilvl w:val="0"/>
          <w:numId w:val="11"/>
        </w:numPr>
        <w:spacing w:line="360" w:lineRule="auto"/>
        <w:ind w:left="851" w:hanging="425" w:firstLineChars="0"/>
        <w:rPr>
          <w:rFonts w:hint="eastAsia" w:ascii="宋体" w:hAnsi="宋体"/>
          <w:bCs/>
          <w:color w:val="000000"/>
          <w:sz w:val="22"/>
          <w:szCs w:val="22"/>
          <w:lang w:eastAsia="zh-CN"/>
        </w:rPr>
      </w:pPr>
      <w:r>
        <w:rPr>
          <w:rFonts w:hint="eastAsia" w:ascii="宋体" w:hAnsi="宋体"/>
          <w:bCs/>
          <w:color w:val="000000"/>
          <w:sz w:val="22"/>
          <w:szCs w:val="22"/>
          <w:lang w:eastAsia="zh-CN"/>
        </w:rPr>
        <w:t>本合同所有附件、招标文件、投标文件、中标通知书通知书均为合同的有效组成部分，与本合同具有同等法律效力。</w:t>
      </w:r>
    </w:p>
    <w:p>
      <w:pPr>
        <w:pStyle w:val="9"/>
        <w:widowControl w:val="0"/>
        <w:numPr>
          <w:ilvl w:val="0"/>
          <w:numId w:val="11"/>
        </w:numPr>
        <w:spacing w:line="360" w:lineRule="auto"/>
        <w:ind w:left="851" w:hanging="425" w:firstLineChars="0"/>
        <w:rPr>
          <w:rFonts w:hint="eastAsia" w:ascii="宋体" w:hAnsi="宋体"/>
          <w:sz w:val="22"/>
          <w:szCs w:val="22"/>
          <w:lang w:eastAsia="zh-CN"/>
        </w:rPr>
      </w:pPr>
      <w:r>
        <w:rPr>
          <w:rFonts w:hint="eastAsia" w:ascii="宋体" w:hAnsi="宋体"/>
          <w:sz w:val="22"/>
          <w:szCs w:val="22"/>
          <w:lang w:eastAsia="zh-CN"/>
        </w:rPr>
        <w:t>在执行本合同的过程中，所有经双方签署确认的文件（包括会议纪要、补充协议、往来信函）即成为本合同的有效组成部分。</w:t>
      </w:r>
    </w:p>
    <w:p>
      <w:pPr>
        <w:pStyle w:val="9"/>
        <w:widowControl w:val="0"/>
        <w:numPr>
          <w:ilvl w:val="0"/>
          <w:numId w:val="11"/>
        </w:numPr>
        <w:spacing w:line="360" w:lineRule="auto"/>
        <w:ind w:left="851" w:hanging="425" w:firstLineChars="0"/>
        <w:rPr>
          <w:rFonts w:hint="eastAsia" w:ascii="宋体" w:hAnsi="宋体"/>
          <w:sz w:val="22"/>
          <w:szCs w:val="22"/>
          <w:lang w:eastAsia="zh-CN"/>
        </w:rPr>
      </w:pPr>
      <w:r>
        <w:rPr>
          <w:rFonts w:hint="eastAsia" w:ascii="宋体" w:hAnsi="宋体"/>
          <w:sz w:val="22"/>
          <w:szCs w:val="22"/>
          <w:lang w:eastAsia="zh-CN"/>
        </w:rPr>
        <w:t xml:space="preserve">如一方地址、电话、传真号码有变更，应在变更当日内书面通知对方，否则，应承担相应责任。 </w:t>
      </w:r>
    </w:p>
    <w:p>
      <w:pPr>
        <w:pStyle w:val="9"/>
        <w:widowControl w:val="0"/>
        <w:numPr>
          <w:ilvl w:val="0"/>
          <w:numId w:val="11"/>
        </w:numPr>
        <w:spacing w:line="360" w:lineRule="auto"/>
        <w:ind w:left="851" w:hanging="425" w:firstLineChars="0"/>
        <w:rPr>
          <w:rFonts w:hint="eastAsia" w:ascii="宋体" w:hAnsi="宋体"/>
          <w:sz w:val="22"/>
          <w:szCs w:val="22"/>
          <w:lang w:eastAsia="zh-CN"/>
        </w:rPr>
      </w:pPr>
      <w:r>
        <w:rPr>
          <w:rFonts w:hint="eastAsia" w:ascii="宋体" w:hAnsi="宋体"/>
          <w:sz w:val="22"/>
          <w:szCs w:val="22"/>
          <w:lang w:eastAsia="zh-CN"/>
        </w:rPr>
        <w:t>除甲方事先书面同意外，乙方不得部分或全部转让其应履行的合同项下的义务。</w:t>
      </w:r>
    </w:p>
    <w:p>
      <w:pPr>
        <w:numPr>
          <w:ilvl w:val="0"/>
          <w:numId w:val="6"/>
        </w:numPr>
        <w:tabs>
          <w:tab w:val="left" w:pos="426"/>
        </w:tabs>
        <w:spacing w:line="360" w:lineRule="auto"/>
        <w:rPr>
          <w:rFonts w:hint="eastAsia"/>
          <w:b/>
          <w:sz w:val="22"/>
          <w:szCs w:val="22"/>
        </w:rPr>
      </w:pPr>
      <w:r>
        <w:rPr>
          <w:rFonts w:hint="eastAsia"/>
          <w:b/>
          <w:sz w:val="22"/>
          <w:szCs w:val="22"/>
        </w:rPr>
        <w:t>合同生效：</w:t>
      </w:r>
    </w:p>
    <w:p>
      <w:pPr>
        <w:pStyle w:val="9"/>
        <w:widowControl w:val="0"/>
        <w:numPr>
          <w:ilvl w:val="0"/>
          <w:numId w:val="12"/>
        </w:numPr>
        <w:spacing w:line="360" w:lineRule="auto"/>
        <w:ind w:left="851" w:hanging="425" w:firstLineChars="0"/>
        <w:rPr>
          <w:rFonts w:hint="eastAsia" w:ascii="宋体" w:hAnsi="宋体"/>
          <w:sz w:val="22"/>
          <w:szCs w:val="22"/>
          <w:lang w:eastAsia="zh-CN"/>
        </w:rPr>
      </w:pPr>
      <w:r>
        <w:rPr>
          <w:rFonts w:hint="eastAsia" w:ascii="宋体" w:hAnsi="宋体"/>
          <w:sz w:val="22"/>
          <w:szCs w:val="22"/>
          <w:lang w:eastAsia="zh-CN"/>
        </w:rPr>
        <w:t>本合同在甲乙双方法人代表或其授权代表签字盖章后生效。</w:t>
      </w:r>
    </w:p>
    <w:p>
      <w:pPr>
        <w:pStyle w:val="9"/>
        <w:widowControl w:val="0"/>
        <w:numPr>
          <w:ilvl w:val="0"/>
          <w:numId w:val="12"/>
        </w:numPr>
        <w:spacing w:line="360" w:lineRule="auto"/>
        <w:ind w:left="851" w:hanging="425" w:firstLineChars="0"/>
        <w:rPr>
          <w:rFonts w:hint="eastAsia" w:ascii="宋体" w:hAnsi="宋体"/>
          <w:sz w:val="22"/>
          <w:szCs w:val="22"/>
        </w:rPr>
      </w:pPr>
      <w:r>
        <w:rPr>
          <w:rFonts w:hint="eastAsia" w:ascii="宋体" w:hAnsi="宋体"/>
          <w:sz w:val="22"/>
          <w:szCs w:val="22"/>
        </w:rPr>
        <w:t xml:space="preserve">合同一式 </w:t>
      </w:r>
      <w:r>
        <w:rPr>
          <w:rFonts w:hint="eastAsia" w:ascii="宋体" w:hAnsi="宋体"/>
          <w:sz w:val="22"/>
          <w:szCs w:val="22"/>
          <w:lang w:eastAsia="zh-CN"/>
        </w:rPr>
        <w:t xml:space="preserve"> </w:t>
      </w:r>
      <w:r>
        <w:rPr>
          <w:rFonts w:hint="eastAsia" w:ascii="宋体" w:hAnsi="宋体"/>
          <w:sz w:val="22"/>
          <w:szCs w:val="22"/>
          <w:lang w:val="en-US" w:eastAsia="zh-CN"/>
        </w:rPr>
        <w:t>五</w:t>
      </w:r>
      <w:r>
        <w:rPr>
          <w:rFonts w:hint="eastAsia" w:ascii="宋体" w:hAnsi="宋体"/>
          <w:sz w:val="22"/>
          <w:szCs w:val="22"/>
          <w:lang w:eastAsia="zh-CN"/>
        </w:rPr>
        <w:t xml:space="preserve"> </w:t>
      </w:r>
      <w:r>
        <w:rPr>
          <w:rFonts w:hint="eastAsia" w:ascii="宋体" w:hAnsi="宋体"/>
          <w:sz w:val="22"/>
          <w:szCs w:val="22"/>
        </w:rPr>
        <w:t xml:space="preserve"> 份。</w:t>
      </w:r>
    </w:p>
    <w:p>
      <w:pPr>
        <w:spacing w:line="324" w:lineRule="auto"/>
        <w:rPr>
          <w:rFonts w:hint="eastAsia"/>
          <w:sz w:val="22"/>
          <w:szCs w:val="22"/>
        </w:rPr>
      </w:pPr>
      <w:r>
        <w:rPr>
          <w:rFonts w:hint="eastAsia"/>
          <w:sz w:val="22"/>
          <w:szCs w:val="22"/>
        </w:rPr>
        <w:t>（以下无正文）</w:t>
      </w:r>
    </w:p>
    <w:p>
      <w:pPr>
        <w:snapToGrid w:val="0"/>
        <w:rPr>
          <w:rFonts w:hint="eastAsia"/>
          <w:szCs w:val="21"/>
        </w:rPr>
      </w:pPr>
    </w:p>
    <w:p>
      <w:pPr>
        <w:snapToGrid w:val="0"/>
        <w:rPr>
          <w:rFonts w:hint="eastAsia"/>
          <w:szCs w:val="21"/>
        </w:rPr>
      </w:pPr>
    </w:p>
    <w:p>
      <w:pPr>
        <w:spacing w:before="156" w:beforeLines="50" w:line="400" w:lineRule="exact"/>
        <w:jc w:val="left"/>
        <w:rPr>
          <w:rFonts w:hint="eastAsia" w:ascii="仿宋" w:hAnsi="仿宋" w:eastAsia="仿宋" w:cs="仿宋"/>
          <w:sz w:val="28"/>
          <w:szCs w:val="28"/>
        </w:rPr>
      </w:pPr>
      <w:r>
        <w:rPr>
          <w:rFonts w:hint="eastAsia" w:ascii="仿宋" w:hAnsi="仿宋" w:eastAsia="仿宋" w:cs="仿宋"/>
          <w:sz w:val="28"/>
          <w:szCs w:val="28"/>
        </w:rPr>
        <w:t>汕头大学医学院附属肿瘤医院</w:t>
      </w:r>
      <w:r>
        <w:rPr>
          <w:rFonts w:ascii="仿宋" w:hAnsi="仿宋" w:eastAsia="仿宋" w:cs="仿宋"/>
          <w:sz w:val="28"/>
          <w:szCs w:val="28"/>
        </w:rPr>
        <w:t xml:space="preserve">       </w:t>
      </w:r>
    </w:p>
    <w:p>
      <w:pPr>
        <w:spacing w:before="156" w:beforeLines="50" w:line="400" w:lineRule="exact"/>
        <w:jc w:val="left"/>
        <w:rPr>
          <w:rFonts w:ascii="仿宋" w:hAnsi="仿宋" w:eastAsia="仿宋" w:cs="仿宋"/>
          <w:sz w:val="28"/>
          <w:szCs w:val="28"/>
        </w:rPr>
      </w:pPr>
      <w:r>
        <w:rPr>
          <w:rFonts w:hint="eastAsia" w:ascii="仿宋" w:hAnsi="仿宋" w:eastAsia="仿宋" w:cs="仿宋"/>
          <w:sz w:val="28"/>
          <w:szCs w:val="28"/>
        </w:rPr>
        <w:t>（公章）</w:t>
      </w:r>
      <w:r>
        <w:rPr>
          <w:rFonts w:ascii="仿宋" w:hAnsi="仿宋" w:eastAsia="仿宋" w:cs="仿宋"/>
          <w:sz w:val="28"/>
          <w:szCs w:val="28"/>
        </w:rPr>
        <w:t xml:space="preserve">                       </w:t>
      </w:r>
      <w:r>
        <w:rPr>
          <w:rFonts w:hint="eastAsia" w:ascii="仿宋" w:hAnsi="仿宋" w:eastAsia="仿宋" w:cs="仿宋"/>
          <w:sz w:val="28"/>
          <w:szCs w:val="28"/>
        </w:rPr>
        <w:t xml:space="preserve">   </w:t>
      </w:r>
      <w:r>
        <w:rPr>
          <w:rFonts w:ascii="仿宋" w:hAnsi="仿宋" w:eastAsia="仿宋" w:cs="仿宋"/>
          <w:sz w:val="28"/>
          <w:szCs w:val="28"/>
        </w:rPr>
        <w:t>(</w:t>
      </w:r>
      <w:r>
        <w:rPr>
          <w:rFonts w:hint="eastAsia" w:ascii="仿宋" w:hAnsi="仿宋" w:eastAsia="仿宋" w:cs="仿宋"/>
          <w:sz w:val="28"/>
          <w:szCs w:val="28"/>
        </w:rPr>
        <w:t>公章</w:t>
      </w:r>
      <w:r>
        <w:rPr>
          <w:rFonts w:ascii="仿宋" w:hAnsi="仿宋" w:eastAsia="仿宋" w:cs="仿宋"/>
          <w:sz w:val="28"/>
          <w:szCs w:val="28"/>
        </w:rPr>
        <w:t xml:space="preserve">)  </w:t>
      </w:r>
    </w:p>
    <w:p>
      <w:pPr>
        <w:spacing w:before="156" w:beforeLines="50" w:line="400" w:lineRule="exact"/>
        <w:jc w:val="left"/>
        <w:rPr>
          <w:rFonts w:ascii="仿宋" w:hAnsi="仿宋" w:eastAsia="仿宋" w:cs="仿宋"/>
          <w:sz w:val="28"/>
          <w:szCs w:val="28"/>
        </w:rPr>
      </w:pPr>
    </w:p>
    <w:p>
      <w:pPr>
        <w:spacing w:before="156" w:beforeLines="50" w:line="400" w:lineRule="exact"/>
        <w:jc w:val="left"/>
        <w:rPr>
          <w:rFonts w:ascii="仿宋" w:hAnsi="仿宋" w:eastAsia="仿宋" w:cs="仿宋"/>
          <w:sz w:val="28"/>
          <w:szCs w:val="28"/>
        </w:rPr>
      </w:pPr>
      <w:r>
        <w:rPr>
          <w:rFonts w:hint="eastAsia" w:ascii="仿宋" w:hAnsi="仿宋" w:eastAsia="仿宋" w:cs="仿宋"/>
          <w:sz w:val="28"/>
          <w:szCs w:val="28"/>
        </w:rPr>
        <w:t>授权代表</w:t>
      </w:r>
      <w:r>
        <w:rPr>
          <w:rFonts w:ascii="仿宋" w:hAnsi="仿宋" w:eastAsia="仿宋" w:cs="仿宋"/>
          <w:sz w:val="28"/>
          <w:szCs w:val="28"/>
        </w:rPr>
        <w:t xml:space="preserve"> </w:t>
      </w:r>
      <w:r>
        <w:rPr>
          <w:rFonts w:hint="eastAsia" w:ascii="仿宋" w:hAnsi="仿宋" w:eastAsia="仿宋" w:cs="仿宋"/>
          <w:sz w:val="28"/>
          <w:szCs w:val="28"/>
        </w:rPr>
        <w:t>：</w:t>
      </w:r>
      <w:r>
        <w:rPr>
          <w:rFonts w:ascii="仿宋" w:hAnsi="仿宋" w:eastAsia="仿宋" w:cs="仿宋"/>
          <w:sz w:val="28"/>
          <w:szCs w:val="28"/>
        </w:rPr>
        <w:t xml:space="preserve">                    </w:t>
      </w:r>
      <w:r>
        <w:rPr>
          <w:rFonts w:hint="eastAsia" w:ascii="仿宋" w:hAnsi="仿宋" w:eastAsia="仿宋" w:cs="仿宋"/>
          <w:sz w:val="28"/>
          <w:szCs w:val="28"/>
        </w:rPr>
        <w:t>授权代表</w:t>
      </w:r>
      <w:r>
        <w:rPr>
          <w:rFonts w:ascii="仿宋" w:hAnsi="仿宋" w:eastAsia="仿宋" w:cs="仿宋"/>
          <w:sz w:val="28"/>
          <w:szCs w:val="28"/>
        </w:rPr>
        <w:t xml:space="preserve"> </w:t>
      </w:r>
      <w:r>
        <w:rPr>
          <w:rFonts w:hint="eastAsia" w:ascii="仿宋" w:hAnsi="仿宋" w:eastAsia="仿宋" w:cs="仿宋"/>
          <w:sz w:val="28"/>
          <w:szCs w:val="28"/>
        </w:rPr>
        <w:t>：</w:t>
      </w:r>
      <w:r>
        <w:rPr>
          <w:rFonts w:ascii="仿宋" w:hAnsi="仿宋" w:eastAsia="仿宋" w:cs="仿宋"/>
          <w:sz w:val="28"/>
          <w:szCs w:val="28"/>
        </w:rPr>
        <w:t xml:space="preserve">           </w:t>
      </w:r>
    </w:p>
    <w:p>
      <w:pPr>
        <w:spacing w:before="156" w:beforeLines="50" w:line="400" w:lineRule="exact"/>
        <w:ind w:left="420" w:firstLine="420"/>
        <w:jc w:val="left"/>
        <w:rPr>
          <w:rFonts w:ascii="仿宋" w:hAnsi="仿宋" w:eastAsia="仿宋" w:cs="仿宋"/>
          <w:sz w:val="28"/>
          <w:szCs w:val="28"/>
        </w:rPr>
      </w:pPr>
    </w:p>
    <w:p>
      <w:pPr>
        <w:spacing w:before="156" w:beforeLines="50" w:line="400" w:lineRule="exact"/>
        <w:jc w:val="left"/>
        <w:rPr>
          <w:rFonts w:ascii="仿宋" w:hAnsi="仿宋" w:eastAsia="仿宋" w:cs="仿宋"/>
          <w:sz w:val="28"/>
          <w:szCs w:val="28"/>
        </w:rPr>
      </w:pPr>
      <w:r>
        <w:rPr>
          <w:rFonts w:hint="eastAsia" w:ascii="仿宋" w:hAnsi="仿宋" w:eastAsia="仿宋" w:cs="仿宋"/>
          <w:sz w:val="28"/>
          <w:szCs w:val="28"/>
        </w:rPr>
        <w:t>日期：</w:t>
      </w:r>
      <w:r>
        <w:rPr>
          <w:rFonts w:ascii="仿宋" w:hAnsi="仿宋" w:eastAsia="仿宋" w:cs="仿宋"/>
          <w:sz w:val="28"/>
          <w:szCs w:val="28"/>
        </w:rPr>
        <w:t xml:space="preserve">     </w:t>
      </w: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w:t>
      </w:r>
      <w:r>
        <w:rPr>
          <w:rFonts w:ascii="仿宋" w:hAnsi="仿宋" w:eastAsia="仿宋" w:cs="仿宋"/>
          <w:sz w:val="28"/>
          <w:szCs w:val="28"/>
        </w:rPr>
        <w:t xml:space="preserve">        </w:t>
      </w:r>
      <w:r>
        <w:rPr>
          <w:rFonts w:hint="eastAsia" w:ascii="仿宋" w:hAnsi="仿宋" w:eastAsia="仿宋" w:cs="仿宋"/>
          <w:sz w:val="28"/>
          <w:szCs w:val="28"/>
        </w:rPr>
        <w:t>日期：</w:t>
      </w:r>
      <w:r>
        <w:rPr>
          <w:rFonts w:ascii="仿宋" w:hAnsi="仿宋" w:eastAsia="仿宋" w:cs="仿宋"/>
          <w:sz w:val="28"/>
          <w:szCs w:val="28"/>
        </w:rPr>
        <w:t xml:space="preserve">      </w:t>
      </w: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w:t>
      </w:r>
    </w:p>
    <w:p>
      <w:pPr>
        <w:rPr>
          <w:rFonts w:hint="eastAsia"/>
          <w:szCs w:val="21"/>
        </w:rPr>
      </w:pPr>
    </w:p>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一片雲" w:date="2023-10-27T17:22:00Z" w:initials="">
    <w:p w14:paraId="48230029">
      <w:pPr>
        <w:pStyle w:val="2"/>
      </w:pPr>
      <w:r>
        <w:rPr>
          <w:rFonts w:hint="eastAsia"/>
        </w:rPr>
        <w:t>这一部分与开头设置的结算方式不一致</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823002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separate"/>
    </w:r>
    <w:r>
      <w:fldChar w:fldCharType="end"/>
    </w:r>
  </w:p>
  <w:p>
    <w:pPr>
      <w:pStyle w:val="3"/>
      <w:ind w:right="360"/>
    </w:pPr>
  </w:p>
  <w:p/>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85994B"/>
    <w:multiLevelType w:val="singleLevel"/>
    <w:tmpl w:val="D085994B"/>
    <w:lvl w:ilvl="0" w:tentative="0">
      <w:start w:val="2"/>
      <w:numFmt w:val="decimal"/>
      <w:suff w:val="nothing"/>
      <w:lvlText w:val="%1、"/>
      <w:lvlJc w:val="left"/>
    </w:lvl>
  </w:abstractNum>
  <w:abstractNum w:abstractNumId="1">
    <w:nsid w:val="DBD0F51F"/>
    <w:multiLevelType w:val="singleLevel"/>
    <w:tmpl w:val="DBD0F51F"/>
    <w:lvl w:ilvl="0" w:tentative="0">
      <w:start w:val="1"/>
      <w:numFmt w:val="decimal"/>
      <w:suff w:val="nothing"/>
      <w:lvlText w:val="%1、"/>
      <w:lvlJc w:val="left"/>
    </w:lvl>
  </w:abstractNum>
  <w:abstractNum w:abstractNumId="2">
    <w:nsid w:val="FFF2DD0C"/>
    <w:multiLevelType w:val="singleLevel"/>
    <w:tmpl w:val="FFF2DD0C"/>
    <w:lvl w:ilvl="0" w:tentative="0">
      <w:start w:val="1"/>
      <w:numFmt w:val="decimal"/>
      <w:suff w:val="nothing"/>
      <w:lvlText w:val="%1、"/>
      <w:lvlJc w:val="left"/>
    </w:lvl>
  </w:abstractNum>
  <w:abstractNum w:abstractNumId="3">
    <w:nsid w:val="0F9C7740"/>
    <w:multiLevelType w:val="multilevel"/>
    <w:tmpl w:val="0F9C7740"/>
    <w:lvl w:ilvl="0" w:tentative="0">
      <w:start w:val="1"/>
      <w:numFmt w:val="decimal"/>
      <w:lvlText w:val="%1."/>
      <w:lvlJc w:val="left"/>
      <w:pPr>
        <w:ind w:left="1300" w:hanging="420"/>
      </w:pPr>
    </w:lvl>
    <w:lvl w:ilvl="1" w:tentative="0">
      <w:start w:val="1"/>
      <w:numFmt w:val="lowerLetter"/>
      <w:lvlText w:val="%2)"/>
      <w:lvlJc w:val="left"/>
      <w:pPr>
        <w:ind w:left="1720" w:hanging="420"/>
      </w:pPr>
    </w:lvl>
    <w:lvl w:ilvl="2" w:tentative="0">
      <w:start w:val="1"/>
      <w:numFmt w:val="lowerRoman"/>
      <w:lvlText w:val="%3."/>
      <w:lvlJc w:val="right"/>
      <w:pPr>
        <w:ind w:left="2140" w:hanging="420"/>
      </w:pPr>
    </w:lvl>
    <w:lvl w:ilvl="3" w:tentative="0">
      <w:start w:val="1"/>
      <w:numFmt w:val="decimal"/>
      <w:lvlText w:val="%4."/>
      <w:lvlJc w:val="left"/>
      <w:pPr>
        <w:ind w:left="2560" w:hanging="420"/>
      </w:pPr>
    </w:lvl>
    <w:lvl w:ilvl="4" w:tentative="0">
      <w:start w:val="1"/>
      <w:numFmt w:val="lowerLetter"/>
      <w:lvlText w:val="%5)"/>
      <w:lvlJc w:val="left"/>
      <w:pPr>
        <w:ind w:left="2980" w:hanging="420"/>
      </w:pPr>
    </w:lvl>
    <w:lvl w:ilvl="5" w:tentative="0">
      <w:start w:val="1"/>
      <w:numFmt w:val="lowerRoman"/>
      <w:lvlText w:val="%6."/>
      <w:lvlJc w:val="right"/>
      <w:pPr>
        <w:ind w:left="3400" w:hanging="420"/>
      </w:pPr>
    </w:lvl>
    <w:lvl w:ilvl="6" w:tentative="0">
      <w:start w:val="1"/>
      <w:numFmt w:val="decimal"/>
      <w:lvlText w:val="%7."/>
      <w:lvlJc w:val="left"/>
      <w:pPr>
        <w:ind w:left="3820" w:hanging="420"/>
      </w:pPr>
    </w:lvl>
    <w:lvl w:ilvl="7" w:tentative="0">
      <w:start w:val="1"/>
      <w:numFmt w:val="lowerLetter"/>
      <w:lvlText w:val="%8)"/>
      <w:lvlJc w:val="left"/>
      <w:pPr>
        <w:ind w:left="4240" w:hanging="420"/>
      </w:pPr>
    </w:lvl>
    <w:lvl w:ilvl="8" w:tentative="0">
      <w:start w:val="1"/>
      <w:numFmt w:val="lowerRoman"/>
      <w:lvlText w:val="%9."/>
      <w:lvlJc w:val="right"/>
      <w:pPr>
        <w:ind w:left="4660" w:hanging="420"/>
      </w:pPr>
    </w:lvl>
  </w:abstractNum>
  <w:abstractNum w:abstractNumId="4">
    <w:nsid w:val="121F682A"/>
    <w:multiLevelType w:val="multilevel"/>
    <w:tmpl w:val="121F682A"/>
    <w:lvl w:ilvl="0" w:tentative="0">
      <w:start w:val="1"/>
      <w:numFmt w:val="decimal"/>
      <w:lvlText w:val="%1."/>
      <w:lvlJc w:val="left"/>
      <w:pPr>
        <w:ind w:left="1300" w:hanging="420"/>
      </w:pPr>
    </w:lvl>
    <w:lvl w:ilvl="1" w:tentative="0">
      <w:start w:val="1"/>
      <w:numFmt w:val="lowerLetter"/>
      <w:lvlText w:val="%2)"/>
      <w:lvlJc w:val="left"/>
      <w:pPr>
        <w:ind w:left="1720" w:hanging="420"/>
      </w:pPr>
    </w:lvl>
    <w:lvl w:ilvl="2" w:tentative="0">
      <w:start w:val="1"/>
      <w:numFmt w:val="lowerRoman"/>
      <w:lvlText w:val="%3."/>
      <w:lvlJc w:val="right"/>
      <w:pPr>
        <w:ind w:left="2140" w:hanging="420"/>
      </w:pPr>
    </w:lvl>
    <w:lvl w:ilvl="3" w:tentative="0">
      <w:start w:val="1"/>
      <w:numFmt w:val="decimal"/>
      <w:lvlText w:val="%4."/>
      <w:lvlJc w:val="left"/>
      <w:pPr>
        <w:ind w:left="2560" w:hanging="420"/>
      </w:pPr>
    </w:lvl>
    <w:lvl w:ilvl="4" w:tentative="0">
      <w:start w:val="1"/>
      <w:numFmt w:val="lowerLetter"/>
      <w:lvlText w:val="%5)"/>
      <w:lvlJc w:val="left"/>
      <w:pPr>
        <w:ind w:left="2980" w:hanging="420"/>
      </w:pPr>
    </w:lvl>
    <w:lvl w:ilvl="5" w:tentative="0">
      <w:start w:val="1"/>
      <w:numFmt w:val="lowerRoman"/>
      <w:lvlText w:val="%6."/>
      <w:lvlJc w:val="right"/>
      <w:pPr>
        <w:ind w:left="3400" w:hanging="420"/>
      </w:pPr>
    </w:lvl>
    <w:lvl w:ilvl="6" w:tentative="0">
      <w:start w:val="1"/>
      <w:numFmt w:val="decimal"/>
      <w:lvlText w:val="%7."/>
      <w:lvlJc w:val="left"/>
      <w:pPr>
        <w:ind w:left="3820" w:hanging="420"/>
      </w:pPr>
    </w:lvl>
    <w:lvl w:ilvl="7" w:tentative="0">
      <w:start w:val="1"/>
      <w:numFmt w:val="lowerLetter"/>
      <w:lvlText w:val="%8)"/>
      <w:lvlJc w:val="left"/>
      <w:pPr>
        <w:ind w:left="4240" w:hanging="420"/>
      </w:pPr>
    </w:lvl>
    <w:lvl w:ilvl="8" w:tentative="0">
      <w:start w:val="1"/>
      <w:numFmt w:val="lowerRoman"/>
      <w:lvlText w:val="%9."/>
      <w:lvlJc w:val="right"/>
      <w:pPr>
        <w:ind w:left="4660" w:hanging="420"/>
      </w:pPr>
    </w:lvl>
  </w:abstractNum>
  <w:abstractNum w:abstractNumId="5">
    <w:nsid w:val="151E5EFE"/>
    <w:multiLevelType w:val="multilevel"/>
    <w:tmpl w:val="151E5EFE"/>
    <w:lvl w:ilvl="0" w:tentative="0">
      <w:start w:val="1"/>
      <w:numFmt w:val="decimal"/>
      <w:lvlText w:val="%1."/>
      <w:lvlJc w:val="left"/>
      <w:pPr>
        <w:ind w:left="1300" w:hanging="420"/>
      </w:pPr>
    </w:lvl>
    <w:lvl w:ilvl="1" w:tentative="0">
      <w:start w:val="1"/>
      <w:numFmt w:val="lowerLetter"/>
      <w:lvlText w:val="%2)"/>
      <w:lvlJc w:val="left"/>
      <w:pPr>
        <w:ind w:left="1720" w:hanging="420"/>
      </w:pPr>
    </w:lvl>
    <w:lvl w:ilvl="2" w:tentative="0">
      <w:start w:val="1"/>
      <w:numFmt w:val="lowerRoman"/>
      <w:lvlText w:val="%3."/>
      <w:lvlJc w:val="right"/>
      <w:pPr>
        <w:ind w:left="2140" w:hanging="420"/>
      </w:pPr>
    </w:lvl>
    <w:lvl w:ilvl="3" w:tentative="0">
      <w:start w:val="1"/>
      <w:numFmt w:val="decimal"/>
      <w:lvlText w:val="%4."/>
      <w:lvlJc w:val="left"/>
      <w:pPr>
        <w:ind w:left="2560" w:hanging="420"/>
      </w:pPr>
    </w:lvl>
    <w:lvl w:ilvl="4" w:tentative="0">
      <w:start w:val="1"/>
      <w:numFmt w:val="lowerLetter"/>
      <w:lvlText w:val="%5)"/>
      <w:lvlJc w:val="left"/>
      <w:pPr>
        <w:ind w:left="2980" w:hanging="420"/>
      </w:pPr>
    </w:lvl>
    <w:lvl w:ilvl="5" w:tentative="0">
      <w:start w:val="1"/>
      <w:numFmt w:val="lowerRoman"/>
      <w:lvlText w:val="%6."/>
      <w:lvlJc w:val="right"/>
      <w:pPr>
        <w:ind w:left="3400" w:hanging="420"/>
      </w:pPr>
    </w:lvl>
    <w:lvl w:ilvl="6" w:tentative="0">
      <w:start w:val="1"/>
      <w:numFmt w:val="decimal"/>
      <w:lvlText w:val="%7."/>
      <w:lvlJc w:val="left"/>
      <w:pPr>
        <w:ind w:left="3820" w:hanging="420"/>
      </w:pPr>
    </w:lvl>
    <w:lvl w:ilvl="7" w:tentative="0">
      <w:start w:val="1"/>
      <w:numFmt w:val="lowerLetter"/>
      <w:lvlText w:val="%8)"/>
      <w:lvlJc w:val="left"/>
      <w:pPr>
        <w:ind w:left="4240" w:hanging="420"/>
      </w:pPr>
    </w:lvl>
    <w:lvl w:ilvl="8" w:tentative="0">
      <w:start w:val="1"/>
      <w:numFmt w:val="lowerRoman"/>
      <w:lvlText w:val="%9."/>
      <w:lvlJc w:val="right"/>
      <w:pPr>
        <w:ind w:left="4660" w:hanging="420"/>
      </w:pPr>
    </w:lvl>
  </w:abstractNum>
  <w:abstractNum w:abstractNumId="6">
    <w:nsid w:val="252F42FD"/>
    <w:multiLevelType w:val="multilevel"/>
    <w:tmpl w:val="252F42FD"/>
    <w:lvl w:ilvl="0" w:tentative="0">
      <w:start w:val="1"/>
      <w:numFmt w:val="decimal"/>
      <w:lvlText w:val="%1."/>
      <w:lvlJc w:val="left"/>
      <w:pPr>
        <w:ind w:left="1300" w:hanging="420"/>
      </w:pPr>
    </w:lvl>
    <w:lvl w:ilvl="1" w:tentative="0">
      <w:start w:val="1"/>
      <w:numFmt w:val="lowerLetter"/>
      <w:lvlText w:val="%2)"/>
      <w:lvlJc w:val="left"/>
      <w:pPr>
        <w:ind w:left="1720" w:hanging="420"/>
      </w:pPr>
    </w:lvl>
    <w:lvl w:ilvl="2" w:tentative="0">
      <w:start w:val="1"/>
      <w:numFmt w:val="lowerRoman"/>
      <w:lvlText w:val="%3."/>
      <w:lvlJc w:val="right"/>
      <w:pPr>
        <w:ind w:left="2140" w:hanging="420"/>
      </w:pPr>
    </w:lvl>
    <w:lvl w:ilvl="3" w:tentative="0">
      <w:start w:val="1"/>
      <w:numFmt w:val="decimal"/>
      <w:lvlText w:val="%4."/>
      <w:lvlJc w:val="left"/>
      <w:pPr>
        <w:ind w:left="2560" w:hanging="420"/>
      </w:pPr>
    </w:lvl>
    <w:lvl w:ilvl="4" w:tentative="0">
      <w:start w:val="1"/>
      <w:numFmt w:val="lowerLetter"/>
      <w:lvlText w:val="%5)"/>
      <w:lvlJc w:val="left"/>
      <w:pPr>
        <w:ind w:left="2980" w:hanging="420"/>
      </w:pPr>
    </w:lvl>
    <w:lvl w:ilvl="5" w:tentative="0">
      <w:start w:val="1"/>
      <w:numFmt w:val="lowerRoman"/>
      <w:lvlText w:val="%6."/>
      <w:lvlJc w:val="right"/>
      <w:pPr>
        <w:ind w:left="3400" w:hanging="420"/>
      </w:pPr>
    </w:lvl>
    <w:lvl w:ilvl="6" w:tentative="0">
      <w:start w:val="1"/>
      <w:numFmt w:val="decimal"/>
      <w:lvlText w:val="%7."/>
      <w:lvlJc w:val="left"/>
      <w:pPr>
        <w:ind w:left="3820" w:hanging="420"/>
      </w:pPr>
    </w:lvl>
    <w:lvl w:ilvl="7" w:tentative="0">
      <w:start w:val="1"/>
      <w:numFmt w:val="lowerLetter"/>
      <w:lvlText w:val="%8)"/>
      <w:lvlJc w:val="left"/>
      <w:pPr>
        <w:ind w:left="4240" w:hanging="420"/>
      </w:pPr>
    </w:lvl>
    <w:lvl w:ilvl="8" w:tentative="0">
      <w:start w:val="1"/>
      <w:numFmt w:val="lowerRoman"/>
      <w:lvlText w:val="%9."/>
      <w:lvlJc w:val="right"/>
      <w:pPr>
        <w:ind w:left="4660" w:hanging="420"/>
      </w:pPr>
    </w:lvl>
  </w:abstractNum>
  <w:abstractNum w:abstractNumId="7">
    <w:nsid w:val="2E01243D"/>
    <w:multiLevelType w:val="multilevel"/>
    <w:tmpl w:val="2E01243D"/>
    <w:lvl w:ilvl="0" w:tentative="0">
      <w:start w:val="1"/>
      <w:numFmt w:val="decimal"/>
      <w:lvlText w:val="%1."/>
      <w:lvlJc w:val="left"/>
      <w:pPr>
        <w:ind w:left="1300" w:hanging="420"/>
      </w:pPr>
    </w:lvl>
    <w:lvl w:ilvl="1" w:tentative="0">
      <w:start w:val="1"/>
      <w:numFmt w:val="lowerLetter"/>
      <w:lvlText w:val="%2)"/>
      <w:lvlJc w:val="left"/>
      <w:pPr>
        <w:ind w:left="1720" w:hanging="420"/>
      </w:pPr>
    </w:lvl>
    <w:lvl w:ilvl="2" w:tentative="0">
      <w:start w:val="1"/>
      <w:numFmt w:val="lowerRoman"/>
      <w:lvlText w:val="%3."/>
      <w:lvlJc w:val="right"/>
      <w:pPr>
        <w:ind w:left="2140" w:hanging="420"/>
      </w:pPr>
    </w:lvl>
    <w:lvl w:ilvl="3" w:tentative="0">
      <w:start w:val="1"/>
      <w:numFmt w:val="decimal"/>
      <w:lvlText w:val="%4."/>
      <w:lvlJc w:val="left"/>
      <w:pPr>
        <w:ind w:left="2560" w:hanging="420"/>
      </w:pPr>
    </w:lvl>
    <w:lvl w:ilvl="4" w:tentative="0">
      <w:start w:val="1"/>
      <w:numFmt w:val="lowerLetter"/>
      <w:lvlText w:val="%5)"/>
      <w:lvlJc w:val="left"/>
      <w:pPr>
        <w:ind w:left="2980" w:hanging="420"/>
      </w:pPr>
    </w:lvl>
    <w:lvl w:ilvl="5" w:tentative="0">
      <w:start w:val="1"/>
      <w:numFmt w:val="lowerRoman"/>
      <w:lvlText w:val="%6."/>
      <w:lvlJc w:val="right"/>
      <w:pPr>
        <w:ind w:left="3400" w:hanging="420"/>
      </w:pPr>
    </w:lvl>
    <w:lvl w:ilvl="6" w:tentative="0">
      <w:start w:val="1"/>
      <w:numFmt w:val="decimal"/>
      <w:lvlText w:val="%7."/>
      <w:lvlJc w:val="left"/>
      <w:pPr>
        <w:ind w:left="3820" w:hanging="420"/>
      </w:pPr>
    </w:lvl>
    <w:lvl w:ilvl="7" w:tentative="0">
      <w:start w:val="1"/>
      <w:numFmt w:val="lowerLetter"/>
      <w:lvlText w:val="%8)"/>
      <w:lvlJc w:val="left"/>
      <w:pPr>
        <w:ind w:left="4240" w:hanging="420"/>
      </w:pPr>
    </w:lvl>
    <w:lvl w:ilvl="8" w:tentative="0">
      <w:start w:val="1"/>
      <w:numFmt w:val="lowerRoman"/>
      <w:lvlText w:val="%9."/>
      <w:lvlJc w:val="right"/>
      <w:pPr>
        <w:ind w:left="4660" w:hanging="420"/>
      </w:pPr>
    </w:lvl>
  </w:abstractNum>
  <w:abstractNum w:abstractNumId="8">
    <w:nsid w:val="36301E82"/>
    <w:multiLevelType w:val="multilevel"/>
    <w:tmpl w:val="36301E82"/>
    <w:lvl w:ilvl="0" w:tentative="0">
      <w:start w:val="1"/>
      <w:numFmt w:val="japaneseCounting"/>
      <w:lvlText w:val="%1、"/>
      <w:lvlJc w:val="left"/>
      <w:pPr>
        <w:tabs>
          <w:tab w:val="left" w:pos="719"/>
        </w:tabs>
        <w:ind w:left="719" w:hanging="480"/>
      </w:pPr>
      <w:rPr>
        <w:rFonts w:hint="default"/>
      </w:rPr>
    </w:lvl>
    <w:lvl w:ilvl="1" w:tentative="0">
      <w:start w:val="1"/>
      <w:numFmt w:val="lowerLetter"/>
      <w:lvlText w:val="%2)"/>
      <w:lvlJc w:val="left"/>
      <w:pPr>
        <w:tabs>
          <w:tab w:val="left" w:pos="1079"/>
        </w:tabs>
        <w:ind w:left="1079" w:hanging="420"/>
      </w:pPr>
    </w:lvl>
    <w:lvl w:ilvl="2" w:tentative="0">
      <w:start w:val="1"/>
      <w:numFmt w:val="lowerRoman"/>
      <w:lvlText w:val="%3."/>
      <w:lvlJc w:val="right"/>
      <w:pPr>
        <w:tabs>
          <w:tab w:val="left" w:pos="1499"/>
        </w:tabs>
        <w:ind w:left="1499" w:hanging="420"/>
      </w:pPr>
    </w:lvl>
    <w:lvl w:ilvl="3" w:tentative="0">
      <w:start w:val="1"/>
      <w:numFmt w:val="decimal"/>
      <w:lvlText w:val="%4."/>
      <w:lvlJc w:val="left"/>
      <w:pPr>
        <w:tabs>
          <w:tab w:val="left" w:pos="1919"/>
        </w:tabs>
        <w:ind w:left="1919" w:hanging="420"/>
      </w:pPr>
    </w:lvl>
    <w:lvl w:ilvl="4" w:tentative="0">
      <w:start w:val="1"/>
      <w:numFmt w:val="lowerLetter"/>
      <w:lvlText w:val="%5)"/>
      <w:lvlJc w:val="left"/>
      <w:pPr>
        <w:tabs>
          <w:tab w:val="left" w:pos="2339"/>
        </w:tabs>
        <w:ind w:left="2339" w:hanging="420"/>
      </w:pPr>
    </w:lvl>
    <w:lvl w:ilvl="5" w:tentative="0">
      <w:start w:val="1"/>
      <w:numFmt w:val="lowerRoman"/>
      <w:lvlText w:val="%6."/>
      <w:lvlJc w:val="right"/>
      <w:pPr>
        <w:tabs>
          <w:tab w:val="left" w:pos="2759"/>
        </w:tabs>
        <w:ind w:left="2759" w:hanging="420"/>
      </w:pPr>
    </w:lvl>
    <w:lvl w:ilvl="6" w:tentative="0">
      <w:start w:val="1"/>
      <w:numFmt w:val="decimal"/>
      <w:lvlText w:val="%7."/>
      <w:lvlJc w:val="left"/>
      <w:pPr>
        <w:tabs>
          <w:tab w:val="left" w:pos="3179"/>
        </w:tabs>
        <w:ind w:left="3179" w:hanging="420"/>
      </w:pPr>
    </w:lvl>
    <w:lvl w:ilvl="7" w:tentative="0">
      <w:start w:val="1"/>
      <w:numFmt w:val="lowerLetter"/>
      <w:lvlText w:val="%8)"/>
      <w:lvlJc w:val="left"/>
      <w:pPr>
        <w:tabs>
          <w:tab w:val="left" w:pos="3599"/>
        </w:tabs>
        <w:ind w:left="3599" w:hanging="420"/>
      </w:pPr>
    </w:lvl>
    <w:lvl w:ilvl="8" w:tentative="0">
      <w:start w:val="1"/>
      <w:numFmt w:val="lowerRoman"/>
      <w:lvlText w:val="%9."/>
      <w:lvlJc w:val="right"/>
      <w:pPr>
        <w:tabs>
          <w:tab w:val="left" w:pos="4019"/>
        </w:tabs>
        <w:ind w:left="4019" w:hanging="420"/>
      </w:pPr>
    </w:lvl>
  </w:abstractNum>
  <w:abstractNum w:abstractNumId="9">
    <w:nsid w:val="4DC24AC3"/>
    <w:multiLevelType w:val="multilevel"/>
    <w:tmpl w:val="4DC24AC3"/>
    <w:lvl w:ilvl="0" w:tentative="0">
      <w:start w:val="1"/>
      <w:numFmt w:val="decimal"/>
      <w:lvlText w:val="%1."/>
      <w:lvlJc w:val="left"/>
      <w:pPr>
        <w:ind w:left="1300" w:hanging="420"/>
      </w:pPr>
    </w:lvl>
    <w:lvl w:ilvl="1" w:tentative="0">
      <w:start w:val="1"/>
      <w:numFmt w:val="lowerLetter"/>
      <w:lvlText w:val="%2)"/>
      <w:lvlJc w:val="left"/>
      <w:pPr>
        <w:ind w:left="1720" w:hanging="420"/>
      </w:pPr>
    </w:lvl>
    <w:lvl w:ilvl="2" w:tentative="0">
      <w:start w:val="1"/>
      <w:numFmt w:val="lowerRoman"/>
      <w:lvlText w:val="%3."/>
      <w:lvlJc w:val="right"/>
      <w:pPr>
        <w:ind w:left="2140" w:hanging="420"/>
      </w:pPr>
    </w:lvl>
    <w:lvl w:ilvl="3" w:tentative="0">
      <w:start w:val="1"/>
      <w:numFmt w:val="decimal"/>
      <w:lvlText w:val="%4."/>
      <w:lvlJc w:val="left"/>
      <w:pPr>
        <w:ind w:left="2560" w:hanging="420"/>
      </w:pPr>
    </w:lvl>
    <w:lvl w:ilvl="4" w:tentative="0">
      <w:start w:val="1"/>
      <w:numFmt w:val="lowerLetter"/>
      <w:lvlText w:val="%5)"/>
      <w:lvlJc w:val="left"/>
      <w:pPr>
        <w:ind w:left="2980" w:hanging="420"/>
      </w:pPr>
    </w:lvl>
    <w:lvl w:ilvl="5" w:tentative="0">
      <w:start w:val="1"/>
      <w:numFmt w:val="lowerRoman"/>
      <w:lvlText w:val="%6."/>
      <w:lvlJc w:val="right"/>
      <w:pPr>
        <w:ind w:left="3400" w:hanging="420"/>
      </w:pPr>
    </w:lvl>
    <w:lvl w:ilvl="6" w:tentative="0">
      <w:start w:val="1"/>
      <w:numFmt w:val="decimal"/>
      <w:lvlText w:val="%7."/>
      <w:lvlJc w:val="left"/>
      <w:pPr>
        <w:ind w:left="3820" w:hanging="420"/>
      </w:pPr>
    </w:lvl>
    <w:lvl w:ilvl="7" w:tentative="0">
      <w:start w:val="1"/>
      <w:numFmt w:val="lowerLetter"/>
      <w:lvlText w:val="%8)"/>
      <w:lvlJc w:val="left"/>
      <w:pPr>
        <w:ind w:left="4240" w:hanging="420"/>
      </w:pPr>
    </w:lvl>
    <w:lvl w:ilvl="8" w:tentative="0">
      <w:start w:val="1"/>
      <w:numFmt w:val="lowerRoman"/>
      <w:lvlText w:val="%9."/>
      <w:lvlJc w:val="right"/>
      <w:pPr>
        <w:ind w:left="4660" w:hanging="420"/>
      </w:pPr>
    </w:lvl>
  </w:abstractNum>
  <w:abstractNum w:abstractNumId="10">
    <w:nsid w:val="4EC964DD"/>
    <w:multiLevelType w:val="singleLevel"/>
    <w:tmpl w:val="4EC964DD"/>
    <w:lvl w:ilvl="0" w:tentative="0">
      <w:start w:val="1"/>
      <w:numFmt w:val="decimal"/>
      <w:lvlText w:val="%1."/>
      <w:lvlJc w:val="left"/>
      <w:pPr>
        <w:tabs>
          <w:tab w:val="left" w:pos="312"/>
        </w:tabs>
      </w:pPr>
    </w:lvl>
  </w:abstractNum>
  <w:abstractNum w:abstractNumId="11">
    <w:nsid w:val="64872778"/>
    <w:multiLevelType w:val="singleLevel"/>
    <w:tmpl w:val="64872778"/>
    <w:lvl w:ilvl="0" w:tentative="0">
      <w:start w:val="1"/>
      <w:numFmt w:val="decimal"/>
      <w:suff w:val="nothing"/>
      <w:lvlText w:val="%1、"/>
      <w:lvlJc w:val="left"/>
    </w:lvl>
  </w:abstractNum>
  <w:num w:numId="1">
    <w:abstractNumId w:val="2"/>
  </w:num>
  <w:num w:numId="2">
    <w:abstractNumId w:val="10"/>
  </w:num>
  <w:num w:numId="3">
    <w:abstractNumId w:val="11"/>
  </w:num>
  <w:num w:numId="4">
    <w:abstractNumId w:val="0"/>
  </w:num>
  <w:num w:numId="5">
    <w:abstractNumId w:val="1"/>
  </w:num>
  <w:num w:numId="6">
    <w:abstractNumId w:val="8"/>
  </w:num>
  <w:num w:numId="7">
    <w:abstractNumId w:val="9"/>
  </w:num>
  <w:num w:numId="8">
    <w:abstractNumId w:val="7"/>
  </w:num>
  <w:num w:numId="9">
    <w:abstractNumId w:val="6"/>
  </w:num>
  <w:num w:numId="10">
    <w:abstractNumId w:val="3"/>
  </w:num>
  <w:num w:numId="11">
    <w:abstractNumId w:val="5"/>
  </w:num>
  <w:num w:numId="1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一片雲">
    <w15:presenceInfo w15:providerId="None" w15:userId="一片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lYmFlODA0NTRiZjNhMDM0OGUxZDQ2N2IyNGQ5ZjMifQ=="/>
  </w:docVars>
  <w:rsids>
    <w:rsidRoot w:val="4C8A3163"/>
    <w:rsid w:val="4C8A3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 w:type="paragraph" w:customStyle="1" w:styleId="8">
    <w:name w:val="正式合同封面_内容"/>
    <w:basedOn w:val="1"/>
    <w:qFormat/>
    <w:uiPriority w:val="0"/>
    <w:pPr>
      <w:adjustRightInd w:val="0"/>
      <w:jc w:val="center"/>
      <w:textAlignment w:val="baseline"/>
    </w:pPr>
    <w:rPr>
      <w:rFonts w:ascii="宋体" w:hAnsi="宋体"/>
      <w:kern w:val="0"/>
      <w:sz w:val="24"/>
      <w:szCs w:val="20"/>
    </w:rPr>
  </w:style>
  <w:style w:type="paragraph" w:styleId="9">
    <w:name w:val="List Paragraph"/>
    <w:basedOn w:val="1"/>
    <w:qFormat/>
    <w:uiPriority w:val="34"/>
    <w:pPr>
      <w:widowControl/>
      <w:ind w:firstLine="420" w:firstLineChars="200"/>
      <w:jc w:val="left"/>
    </w:pPr>
    <w:rPr>
      <w:kern w:val="0"/>
      <w:sz w:val="20"/>
      <w:szCs w:val="20"/>
      <w:lang w:val="da-DK"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2023-11-07T08:56:00Z</dcterms:created>
  <dc:creator>Q.N.</dc:creator>
  <cp:lastModifiedBy>Q.N.</cp:lastModifiedBy>
  <dcterms:modified xsi:type="dcterms:W3CDTF">2023-11-07T08:58:00Z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53E203A1C09A4FE987B59AEE5D44851D_11</vt:lpwstr>
  </property>
</Properties>
</file>