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rPr>
          <w:rFonts w:hint="eastAsia" w:ascii="仿宋" w:hAnsi="仿宋" w:eastAsia="仿宋" w:cs="仿宋"/>
        </w:rPr>
      </w:pPr>
      <w:r>
        <w:rPr>
          <w:rFonts w:hint="eastAsia" w:ascii="仿宋" w:hAnsi="仿宋" w:eastAsia="仿宋" w:cs="仿宋"/>
          <w:sz w:val="44"/>
          <w:szCs w:val="44"/>
        </w:rPr>
        <w:t>汕头大学医学院专业题库招标项目招标文件</w:t>
      </w: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ind w:firstLine="1494"/>
        <w:rPr>
          <w:rFonts w:hint="default" w:ascii="仿宋" w:hAnsi="仿宋" w:eastAsia="仿宋" w:cs="仿宋"/>
          <w:sz w:val="36"/>
          <w:lang w:val="en-US" w:eastAsia="zh-CN"/>
        </w:rPr>
      </w:pPr>
      <w:bookmarkStart w:id="0" w:name="_GoBack"/>
      <w:bookmarkEnd w:id="0"/>
      <w:r>
        <w:rPr>
          <w:rFonts w:hint="eastAsia" w:ascii="仿宋" w:hAnsi="仿宋" w:eastAsia="仿宋" w:cs="仿宋"/>
          <w:sz w:val="36"/>
        </w:rPr>
        <w:t>招标编号：设2024-</w:t>
      </w:r>
      <w:r>
        <w:rPr>
          <w:rFonts w:hint="eastAsia" w:ascii="仿宋" w:hAnsi="仿宋" w:eastAsia="仿宋" w:cs="仿宋"/>
          <w:sz w:val="36"/>
          <w:lang w:val="en-US" w:eastAsia="zh-CN"/>
        </w:rPr>
        <w:t>4</w:t>
      </w:r>
      <w:r>
        <w:rPr>
          <w:rFonts w:hint="eastAsia" w:ascii="仿宋" w:hAnsi="仿宋" w:eastAsia="仿宋" w:cs="仿宋"/>
          <w:sz w:val="36"/>
        </w:rPr>
        <w:t xml:space="preserve"> -</w:t>
      </w:r>
      <w:r>
        <w:rPr>
          <w:rFonts w:hint="eastAsia" w:ascii="仿宋" w:hAnsi="仿宋" w:eastAsia="仿宋" w:cs="仿宋"/>
          <w:sz w:val="36"/>
          <w:lang w:val="en-US" w:eastAsia="zh-CN"/>
        </w:rPr>
        <w:t>18B</w:t>
      </w:r>
    </w:p>
    <w:p>
      <w:pPr>
        <w:kinsoku w:val="0"/>
        <w:wordWrap w:val="0"/>
        <w:topLinePunct/>
        <w:ind w:firstLine="1494"/>
        <w:rPr>
          <w:rFonts w:hint="eastAsia" w:ascii="仿宋" w:hAnsi="仿宋" w:eastAsia="仿宋" w:cs="仿宋"/>
          <w:sz w:val="36"/>
        </w:rPr>
      </w:pPr>
      <w:r>
        <w:rPr>
          <w:rFonts w:hint="eastAsia" w:ascii="仿宋" w:hAnsi="仿宋" w:eastAsia="仿宋" w:cs="仿宋"/>
          <w:sz w:val="36"/>
        </w:rPr>
        <w:t>项目名称：汕头大学医学院临床医学题库采购项目</w:t>
      </w:r>
    </w:p>
    <w:p>
      <w:pPr>
        <w:kinsoku w:val="0"/>
        <w:wordWrap w:val="0"/>
        <w:topLinePunct/>
        <w:ind w:firstLine="1494"/>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jc w:val="center"/>
        <w:rPr>
          <w:rFonts w:hint="eastAsia" w:ascii="仿宋" w:hAnsi="仿宋" w:eastAsia="仿宋" w:cs="仿宋"/>
          <w:sz w:val="36"/>
        </w:rPr>
      </w:pPr>
    </w:p>
    <w:p>
      <w:pPr>
        <w:kinsoku w:val="0"/>
        <w:wordWrap w:val="0"/>
        <w:topLinePunct/>
        <w:jc w:val="center"/>
        <w:rPr>
          <w:rFonts w:hint="eastAsia" w:ascii="仿宋" w:hAnsi="仿宋" w:eastAsia="仿宋" w:cs="仿宋"/>
          <w:sz w:val="36"/>
        </w:rPr>
      </w:pPr>
      <w:r>
        <w:rPr>
          <w:rFonts w:hint="eastAsia" w:ascii="仿宋" w:hAnsi="仿宋" w:eastAsia="仿宋" w:cs="仿宋"/>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仿宋" w:hAnsi="仿宋" w:eastAsia="仿宋" w:cs="仿宋"/>
          <w:sz w:val="21"/>
        </w:rPr>
      </w:pPr>
      <w:r>
        <w:rPr>
          <w:rFonts w:hint="eastAsia" w:ascii="仿宋" w:hAnsi="仿宋" w:eastAsia="仿宋" w:cs="仿宋"/>
          <w:sz w:val="21"/>
        </w:rPr>
        <w:t>(欢迎访问我们的网站:http://www.med.stu.edu.cn)</w:t>
      </w:r>
    </w:p>
    <w:p>
      <w:pPr>
        <w:kinsoku w:val="0"/>
        <w:wordWrap w:val="0"/>
        <w:topLinePunct/>
        <w:jc w:val="center"/>
        <w:rPr>
          <w:rFonts w:hint="eastAsia" w:ascii="仿宋" w:hAnsi="仿宋" w:eastAsia="仿宋" w:cs="仿宋"/>
        </w:rPr>
      </w:pPr>
    </w:p>
    <w:p>
      <w:pPr>
        <w:kinsoku w:val="0"/>
        <w:wordWrap w:val="0"/>
        <w:topLinePunct/>
        <w:jc w:val="center"/>
        <w:rPr>
          <w:rFonts w:hint="eastAsia" w:ascii="仿宋" w:hAnsi="仿宋" w:eastAsia="仿宋" w:cs="仿宋"/>
          <w:sz w:val="36"/>
        </w:rPr>
      </w:pPr>
      <w:r>
        <w:rPr>
          <w:rFonts w:hint="eastAsia" w:ascii="仿宋" w:hAnsi="仿宋" w:eastAsia="仿宋" w:cs="仿宋"/>
          <w:sz w:val="36"/>
        </w:rPr>
        <w:t>汕头大学医学院</w:t>
      </w:r>
    </w:p>
    <w:p>
      <w:pPr>
        <w:kinsoku w:val="0"/>
        <w:wordWrap w:val="0"/>
        <w:topLinePunct/>
        <w:jc w:val="center"/>
        <w:rPr>
          <w:rFonts w:hint="default" w:ascii="仿宋" w:hAnsi="仿宋" w:eastAsia="仿宋" w:cs="仿宋"/>
          <w:sz w:val="44"/>
          <w:lang w:val="en-US" w:eastAsia="zh-CN"/>
        </w:rPr>
      </w:pPr>
      <w:r>
        <w:rPr>
          <w:rFonts w:hint="eastAsia" w:ascii="仿宋" w:hAnsi="仿宋" w:eastAsia="仿宋" w:cs="仿宋"/>
          <w:sz w:val="44"/>
        </w:rPr>
        <w:t>2024．</w:t>
      </w:r>
      <w:r>
        <w:rPr>
          <w:rFonts w:hint="eastAsia" w:ascii="仿宋" w:hAnsi="仿宋" w:eastAsia="仿宋" w:cs="仿宋"/>
          <w:sz w:val="44"/>
          <w:lang w:val="en-US" w:eastAsia="zh-CN"/>
        </w:rPr>
        <w:t>4</w:t>
      </w:r>
      <w:r>
        <w:rPr>
          <w:rFonts w:hint="eastAsia" w:ascii="仿宋" w:hAnsi="仿宋" w:eastAsia="仿宋" w:cs="仿宋"/>
          <w:sz w:val="44"/>
        </w:rPr>
        <w:t xml:space="preserve"> .</w:t>
      </w:r>
      <w:r>
        <w:rPr>
          <w:rFonts w:hint="eastAsia" w:ascii="仿宋" w:hAnsi="仿宋" w:eastAsia="仿宋" w:cs="仿宋"/>
          <w:sz w:val="44"/>
          <w:lang w:val="en-US" w:eastAsia="zh-CN"/>
        </w:rPr>
        <w:t>18</w:t>
      </w:r>
    </w:p>
    <w:p>
      <w:pPr>
        <w:kinsoku w:val="0"/>
        <w:wordWrap w:val="0"/>
        <w:topLinePunct/>
        <w:rPr>
          <w:rFonts w:hint="eastAsia" w:ascii="仿宋" w:hAnsi="仿宋" w:eastAsia="仿宋" w:cs="仿宋"/>
          <w:sz w:val="24"/>
        </w:rPr>
      </w:pPr>
    </w:p>
    <w:p>
      <w:pPr>
        <w:pageBreakBefore/>
        <w:kinsoku w:val="0"/>
        <w:wordWrap w:val="0"/>
        <w:topLinePunct/>
        <w:jc w:val="center"/>
        <w:rPr>
          <w:rFonts w:hint="eastAsia" w:ascii="仿宋" w:hAnsi="仿宋" w:eastAsia="仿宋" w:cs="仿宋"/>
          <w:b/>
          <w:sz w:val="44"/>
        </w:rPr>
      </w:pPr>
      <w:r>
        <w:rPr>
          <w:rFonts w:hint="eastAsia" w:ascii="仿宋" w:hAnsi="仿宋" w:eastAsia="仿宋" w:cs="仿宋"/>
          <w:b/>
          <w:sz w:val="44"/>
        </w:rPr>
        <w:t>目  录</w:t>
      </w:r>
    </w:p>
    <w:p>
      <w:pPr>
        <w:kinsoku w:val="0"/>
        <w:wordWrap w:val="0"/>
        <w:topLinePunct/>
        <w:jc w:val="center"/>
        <w:rPr>
          <w:rFonts w:hint="eastAsia" w:ascii="仿宋" w:hAnsi="仿宋" w:eastAsia="仿宋" w:cs="仿宋"/>
          <w:b/>
          <w:sz w:val="44"/>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第一部分  投标须知、招标项目说明</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投标人须知</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招标项目的名称、性质和数量</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投标报价方式及报价要求</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提交投标书的方式、地点和截止日期</w:t>
      </w:r>
    </w:p>
    <w:p>
      <w:pPr>
        <w:numPr>
          <w:ilvl w:val="0"/>
          <w:numId w:val="3"/>
        </w:numPr>
        <w:kinsoku w:val="0"/>
        <w:wordWrap w:val="0"/>
        <w:topLinePunct/>
        <w:rPr>
          <w:rFonts w:hint="eastAsia" w:ascii="仿宋" w:hAnsi="仿宋" w:eastAsia="仿宋" w:cs="仿宋"/>
        </w:rPr>
      </w:pPr>
      <w:r>
        <w:rPr>
          <w:rFonts w:hint="eastAsia" w:ascii="仿宋" w:hAnsi="仿宋" w:eastAsia="仿宋" w:cs="仿宋"/>
        </w:rPr>
        <w:t>评（议）标原则</w:t>
      </w:r>
    </w:p>
    <w:p>
      <w:pPr>
        <w:numPr>
          <w:ilvl w:val="0"/>
          <w:numId w:val="3"/>
        </w:numPr>
        <w:kinsoku w:val="0"/>
        <w:wordWrap w:val="0"/>
        <w:topLinePunct/>
        <w:rPr>
          <w:rFonts w:hint="eastAsia" w:ascii="仿宋" w:hAnsi="仿宋" w:eastAsia="仿宋" w:cs="仿宋"/>
        </w:rPr>
      </w:pPr>
      <w:r>
        <w:rPr>
          <w:rFonts w:hint="eastAsia" w:ascii="仿宋" w:hAnsi="仿宋" w:eastAsia="仿宋" w:cs="仿宋"/>
        </w:rPr>
        <w:t>开标、评标、定标</w:t>
      </w:r>
    </w:p>
    <w:p>
      <w:pPr>
        <w:numPr>
          <w:ilvl w:val="0"/>
          <w:numId w:val="3"/>
        </w:numPr>
        <w:kinsoku w:val="0"/>
        <w:wordWrap w:val="0"/>
        <w:topLinePunct/>
        <w:rPr>
          <w:rFonts w:hint="eastAsia" w:ascii="仿宋" w:hAnsi="仿宋" w:eastAsia="仿宋" w:cs="仿宋"/>
        </w:rPr>
      </w:pPr>
      <w:r>
        <w:rPr>
          <w:rFonts w:hint="eastAsia" w:ascii="仿宋" w:hAnsi="仿宋" w:eastAsia="仿宋" w:cs="仿宋"/>
        </w:rPr>
        <w:t>评标过程的保密性</w:t>
      </w:r>
    </w:p>
    <w:p>
      <w:pPr>
        <w:kinsoku w:val="0"/>
        <w:wordWrap w:val="0"/>
        <w:topLinePunct/>
        <w:adjustRightInd w:val="0"/>
        <w:snapToGrid w:val="0"/>
        <w:spacing w:before="50" w:after="50"/>
        <w:rPr>
          <w:rFonts w:hint="eastAsia" w:ascii="仿宋" w:hAnsi="仿宋" w:eastAsia="仿宋" w:cs="仿宋"/>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第二部分  技术规格要求和交货日期等</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项目内容数量</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主要技术指标、技术服务要求、时间</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技术服务质量及售后服务要求</w:t>
      </w:r>
    </w:p>
    <w:p>
      <w:pPr>
        <w:kinsoku w:val="0"/>
        <w:wordWrap w:val="0"/>
        <w:topLinePunct/>
        <w:adjustRightInd w:val="0"/>
        <w:snapToGrid w:val="0"/>
        <w:spacing w:before="50" w:after="50"/>
        <w:rPr>
          <w:rFonts w:hint="eastAsia" w:ascii="仿宋" w:hAnsi="仿宋" w:eastAsia="仿宋" w:cs="仿宋"/>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第三部分  合同样本</w:t>
      </w:r>
    </w:p>
    <w:p>
      <w:pPr>
        <w:kinsoku w:val="0"/>
        <w:wordWrap w:val="0"/>
        <w:topLinePunct/>
        <w:adjustRightInd w:val="0"/>
        <w:snapToGrid w:val="0"/>
        <w:spacing w:before="50" w:after="50"/>
        <w:rPr>
          <w:rFonts w:hint="eastAsia" w:ascii="仿宋" w:hAnsi="仿宋" w:eastAsia="仿宋" w:cs="仿宋"/>
          <w:b/>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第四部分  投标书格式</w:t>
      </w:r>
    </w:p>
    <w:p>
      <w:pPr>
        <w:kinsoku w:val="0"/>
        <w:wordWrap w:val="0"/>
        <w:topLinePunct/>
        <w:adjustRightInd w:val="0"/>
        <w:snapToGrid w:val="0"/>
        <w:spacing w:before="50" w:after="50"/>
        <w:rPr>
          <w:rFonts w:hint="eastAsia" w:ascii="仿宋" w:hAnsi="仿宋" w:eastAsia="仿宋" w:cs="仿宋"/>
          <w:b/>
          <w:sz w:val="32"/>
        </w:rPr>
      </w:pPr>
    </w:p>
    <w:p>
      <w:pPr>
        <w:kinsoku w:val="0"/>
        <w:wordWrap w:val="0"/>
        <w:topLinePunct/>
        <w:jc w:val="center"/>
        <w:rPr>
          <w:rFonts w:hint="eastAsia"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一、投标人须知</w:t>
      </w:r>
    </w:p>
    <w:p>
      <w:pPr>
        <w:numPr>
          <w:ilvl w:val="0"/>
          <w:numId w:val="5"/>
        </w:numPr>
        <w:tabs>
          <w:tab w:val="left" w:pos="166"/>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投标文件要求：</w:t>
      </w:r>
      <w:r>
        <w:rPr>
          <w:rFonts w:hint="eastAsia" w:ascii="仿宋" w:hAnsi="仿宋" w:eastAsia="仿宋" w:cs="仿宋"/>
          <w:b/>
          <w:bCs/>
          <w:sz w:val="21"/>
          <w:szCs w:val="21"/>
        </w:rPr>
        <w:t>正本（含资质文件）一份，副本五份[内容与正本一致]</w:t>
      </w:r>
      <w:r>
        <w:rPr>
          <w:rFonts w:hint="eastAsia" w:ascii="仿宋" w:hAnsi="仿宋" w:eastAsia="仿宋" w:cs="仿宋"/>
          <w:sz w:val="21"/>
          <w:szCs w:val="21"/>
        </w:rPr>
        <w:t>。</w:t>
      </w:r>
    </w:p>
    <w:p>
      <w:pPr>
        <w:spacing w:line="540" w:lineRule="exact"/>
        <w:ind w:left="425"/>
        <w:rPr>
          <w:rFonts w:hint="eastAsia" w:ascii="仿宋" w:hAnsi="仿宋" w:eastAsia="仿宋" w:cs="仿宋"/>
          <w:b/>
          <w:sz w:val="21"/>
          <w:szCs w:val="21"/>
        </w:rPr>
      </w:pPr>
      <w:r>
        <w:rPr>
          <w:rFonts w:hint="eastAsia" w:ascii="仿宋" w:hAnsi="仿宋" w:eastAsia="仿宋" w:cs="仿宋"/>
          <w:b/>
          <w:sz w:val="21"/>
          <w:szCs w:val="21"/>
        </w:rPr>
        <w:t>2.供应商资格要求</w:t>
      </w:r>
    </w:p>
    <w:p>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（1）具有独立承担民事责任的能力，投标人须在中国境内注册。</w:t>
      </w:r>
    </w:p>
    <w:p>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（2）参加本项目招标采购活动前三年内，在经营活动中没有重大违法记录（投标人自行提供书面声明）。</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（3）投标人单位负责人为同一人或者存在控股、管理关系的不同单位，不得参加本次投标。</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（4）投标人未被列入“信用中国”网站失信被执行人、重大税收违法案件严重违法失信行为记录名单。</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（5）本项目不接受联合体投标。</w:t>
      </w:r>
    </w:p>
    <w:p>
      <w:pPr>
        <w:numPr>
          <w:ilvl w:val="0"/>
          <w:numId w:val="0"/>
        </w:numPr>
        <w:tabs>
          <w:tab w:val="left" w:pos="0"/>
        </w:tabs>
        <w:kinsoku w:val="0"/>
        <w:wordWrap w:val="0"/>
        <w:topLinePunct/>
        <w:ind w:left="498" w:leftChars="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投标人拿到招标书后，如有疑问，可在投标截止日期内与招标有关联系人联系。</w:t>
      </w:r>
    </w:p>
    <w:p>
      <w:pPr>
        <w:numPr>
          <w:ilvl w:val="0"/>
          <w:numId w:val="0"/>
        </w:numPr>
        <w:kinsoku w:val="0"/>
        <w:wordWrap w:val="0"/>
        <w:topLinePunct/>
        <w:ind w:left="498" w:leftChars="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投标书和签定合同要求企业法人或企业法人授权委托代表签名方为有效。</w:t>
      </w:r>
    </w:p>
    <w:p>
      <w:pPr>
        <w:numPr>
          <w:ilvl w:val="0"/>
          <w:numId w:val="0"/>
        </w:numPr>
        <w:kinsoku w:val="0"/>
        <w:wordWrap w:val="0"/>
        <w:topLinePunct/>
        <w:ind w:left="498" w:leftChars="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如有必要，投标人应接受招标人的答辩要求。</w:t>
      </w:r>
    </w:p>
    <w:p>
      <w:pPr>
        <w:numPr>
          <w:ilvl w:val="0"/>
          <w:numId w:val="0"/>
        </w:numPr>
        <w:kinsoku w:val="0"/>
        <w:wordWrap w:val="0"/>
        <w:topLinePunct/>
        <w:ind w:left="498" w:leftChars="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投标时每个投标单位向我院缴交人民币一百五十元资料费</w:t>
      </w:r>
    </w:p>
    <w:p>
      <w:pPr>
        <w:numPr>
          <w:ilvl w:val="0"/>
          <w:numId w:val="0"/>
        </w:numPr>
        <w:kinsoku w:val="0"/>
        <w:wordWrap w:val="0"/>
        <w:topLinePunct/>
        <w:ind w:left="498" w:leftChars="0"/>
        <w:rPr>
          <w:rFonts w:hint="eastAsia" w:ascii="仿宋" w:hAnsi="仿宋" w:eastAsia="仿宋" w:cs="仿宋"/>
          <w:b/>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向我院缴交资料费时用此专用户头：</w:t>
      </w:r>
      <w:r>
        <w:rPr>
          <w:rFonts w:hint="eastAsia" w:ascii="仿宋" w:hAnsi="仿宋" w:eastAsia="仿宋" w:cs="仿宋"/>
          <w:b/>
          <w:sz w:val="21"/>
          <w:szCs w:val="21"/>
        </w:rPr>
        <w:t xml:space="preserve">单位名称：（汕头大学医学院 ）  帐号：（705557744822 ）  开户行：（中行嘉泰支行） </w:t>
      </w:r>
    </w:p>
    <w:p>
      <w:pPr>
        <w:numPr>
          <w:ilvl w:val="0"/>
          <w:numId w:val="0"/>
        </w:numPr>
        <w:kinsoku w:val="0"/>
        <w:wordWrap w:val="0"/>
        <w:topLinePunct/>
        <w:ind w:left="498" w:leftChars="0"/>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投标人必须接受</w:t>
      </w:r>
      <w:r>
        <w:rPr>
          <w:rFonts w:hint="eastAsia" w:ascii="仿宋" w:hAnsi="仿宋" w:eastAsia="仿宋" w:cs="仿宋"/>
          <w:b/>
          <w:bCs/>
          <w:sz w:val="21"/>
          <w:szCs w:val="21"/>
        </w:rPr>
        <w:t>货到后验收合格方给予付款</w:t>
      </w:r>
      <w:r>
        <w:rPr>
          <w:rFonts w:hint="eastAsia" w:ascii="仿宋" w:hAnsi="仿宋" w:eastAsia="仿宋" w:cs="仿宋"/>
          <w:sz w:val="21"/>
          <w:szCs w:val="21"/>
        </w:rPr>
        <w:t>的条款。</w:t>
      </w:r>
    </w:p>
    <w:p>
      <w:pPr>
        <w:kinsoku w:val="0"/>
        <w:wordWrap w:val="0"/>
        <w:topLinePunct/>
        <w:ind w:left="425"/>
        <w:rPr>
          <w:rFonts w:hint="eastAsia" w:ascii="仿宋" w:hAnsi="仿宋" w:eastAsia="仿宋" w:cs="仿宋"/>
          <w:sz w:val="21"/>
          <w:szCs w:val="21"/>
        </w:rPr>
      </w:pPr>
      <w:r>
        <w:rPr>
          <w:rFonts w:hint="eastAsia" w:ascii="仿宋" w:hAnsi="仿宋" w:eastAsia="仿宋" w:cs="仿宋"/>
          <w:sz w:val="21"/>
          <w:szCs w:val="21"/>
        </w:rPr>
        <w:t xml:space="preserve">   </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二、招标项目的名称</w:t>
      </w:r>
    </w:p>
    <w:p>
      <w:pPr>
        <w:kinsoku w:val="0"/>
        <w:wordWrap w:val="0"/>
        <w:topLinePunct/>
        <w:rPr>
          <w:rFonts w:hint="eastAsia" w:ascii="仿宋" w:hAnsi="仿宋" w:eastAsia="仿宋" w:cs="仿宋"/>
          <w:b/>
          <w:sz w:val="21"/>
          <w:szCs w:val="21"/>
        </w:rPr>
      </w:pPr>
      <w:r>
        <w:rPr>
          <w:rFonts w:hint="eastAsia" w:ascii="仿宋" w:hAnsi="仿宋" w:eastAsia="仿宋" w:cs="仿宋"/>
          <w:sz w:val="21"/>
          <w:szCs w:val="21"/>
        </w:rPr>
        <w:t>汕头大学医学院临床医学题库采购项目(预算400000元）</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三、投标报价方式及报价要求</w:t>
      </w:r>
    </w:p>
    <w:p>
      <w:pPr>
        <w:tabs>
          <w:tab w:val="left" w:pos="0"/>
        </w:tabs>
        <w:kinsoku w:val="0"/>
        <w:wordWrap w:val="0"/>
        <w:topLinePunct/>
        <w:rPr>
          <w:rFonts w:hint="eastAsia" w:ascii="仿宋" w:hAnsi="仿宋" w:eastAsia="仿宋" w:cs="仿宋"/>
          <w:sz w:val="21"/>
          <w:szCs w:val="21"/>
        </w:rPr>
      </w:pPr>
      <w:r>
        <w:rPr>
          <w:rFonts w:hint="eastAsia" w:ascii="仿宋" w:hAnsi="仿宋" w:eastAsia="仿宋" w:cs="仿宋"/>
          <w:sz w:val="21"/>
          <w:szCs w:val="21"/>
        </w:rPr>
        <w:t>报价方式：</w:t>
      </w:r>
      <w:r>
        <w:rPr>
          <w:rFonts w:hint="eastAsia" w:ascii="仿宋" w:hAnsi="仿宋" w:eastAsia="仿宋" w:cs="仿宋"/>
          <w:b/>
          <w:sz w:val="21"/>
          <w:szCs w:val="21"/>
        </w:rPr>
        <w:t>仅以</w:t>
      </w:r>
      <w:r>
        <w:rPr>
          <w:rFonts w:hint="eastAsia" w:ascii="仿宋" w:hAnsi="仿宋" w:eastAsia="仿宋" w:cs="仿宋"/>
          <w:b/>
          <w:bCs/>
          <w:sz w:val="21"/>
          <w:szCs w:val="21"/>
        </w:rPr>
        <w:t>人民币</w:t>
      </w:r>
      <w:r>
        <w:rPr>
          <w:rFonts w:hint="eastAsia" w:ascii="仿宋" w:hAnsi="仿宋" w:eastAsia="仿宋" w:cs="仿宋"/>
          <w:b/>
          <w:sz w:val="21"/>
          <w:szCs w:val="21"/>
        </w:rPr>
        <w:t>报价</w:t>
      </w:r>
      <w:r>
        <w:rPr>
          <w:rFonts w:hint="eastAsia" w:ascii="仿宋" w:hAnsi="仿宋" w:eastAsia="仿宋" w:cs="仿宋"/>
          <w:sz w:val="21"/>
          <w:szCs w:val="21"/>
        </w:rPr>
        <w:t>。</w:t>
      </w:r>
    </w:p>
    <w:p>
      <w:pPr>
        <w:kinsoku w:val="0"/>
        <w:wordWrap w:val="0"/>
        <w:topLinePunct/>
        <w:rPr>
          <w:rFonts w:hint="eastAsia" w:ascii="仿宋" w:hAnsi="仿宋" w:eastAsia="仿宋" w:cs="仿宋"/>
          <w:b/>
          <w:sz w:val="21"/>
          <w:szCs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四、提交投标书的方式、地点和截止时间</w:t>
      </w:r>
    </w:p>
    <w:p>
      <w:pPr>
        <w:numPr>
          <w:ilvl w:val="0"/>
          <w:numId w:val="6"/>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投标书必须以密封加盖骑缝章的形式送达汕头新陵路22号汕头大学医学院设备科</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联系人：杨成瑜</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联系电话：（0754）88900477、13016667886</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传真电话：（0754）88900305</w:t>
      </w:r>
    </w:p>
    <w:p>
      <w:pPr>
        <w:kinsoku w:val="0"/>
        <w:wordWrap w:val="0"/>
        <w:topLinePunct/>
        <w:ind w:firstLine="780"/>
        <w:rPr>
          <w:rFonts w:hint="eastAsia" w:ascii="仿宋" w:hAnsi="仿宋" w:eastAsia="仿宋" w:cs="仿宋"/>
          <w:b/>
          <w:bCs/>
          <w:i/>
          <w:iCs/>
          <w:sz w:val="21"/>
          <w:szCs w:val="21"/>
        </w:rPr>
      </w:pPr>
    </w:p>
    <w:p>
      <w:pPr>
        <w:kinsoku w:val="0"/>
        <w:wordWrap w:val="0"/>
        <w:topLinePunct/>
        <w:ind w:firstLine="780"/>
        <w:rPr>
          <w:rFonts w:hint="eastAsia" w:ascii="仿宋" w:hAnsi="仿宋" w:eastAsia="仿宋" w:cs="仿宋"/>
          <w:b/>
          <w:bCs/>
          <w:i/>
          <w:iCs/>
          <w:sz w:val="21"/>
          <w:szCs w:val="21"/>
        </w:rPr>
      </w:pPr>
      <w:r>
        <w:rPr>
          <w:rFonts w:hint="eastAsia" w:ascii="仿宋" w:hAnsi="仿宋" w:eastAsia="仿宋" w:cs="仿宋"/>
          <w:b/>
          <w:bCs/>
          <w:i/>
          <w:iCs/>
          <w:sz w:val="21"/>
          <w:szCs w:val="21"/>
        </w:rPr>
        <w:t xml:space="preserve">投标截止时间：2024年 </w:t>
      </w:r>
      <w:r>
        <w:rPr>
          <w:rFonts w:hint="eastAsia" w:ascii="仿宋" w:hAnsi="仿宋" w:eastAsia="仿宋" w:cs="仿宋"/>
          <w:b/>
          <w:bCs/>
          <w:i/>
          <w:iCs/>
          <w:sz w:val="21"/>
          <w:szCs w:val="21"/>
          <w:lang w:val="en-US" w:eastAsia="zh-CN"/>
        </w:rPr>
        <w:t>4</w:t>
      </w:r>
      <w:r>
        <w:rPr>
          <w:rFonts w:hint="eastAsia" w:ascii="仿宋" w:hAnsi="仿宋" w:eastAsia="仿宋" w:cs="仿宋"/>
          <w:b/>
          <w:bCs/>
          <w:i/>
          <w:iCs/>
          <w:sz w:val="21"/>
          <w:szCs w:val="21"/>
        </w:rPr>
        <w:t xml:space="preserve">月 </w:t>
      </w:r>
      <w:r>
        <w:rPr>
          <w:rFonts w:hint="eastAsia" w:ascii="仿宋" w:hAnsi="仿宋" w:eastAsia="仿宋" w:cs="仿宋"/>
          <w:b/>
          <w:bCs/>
          <w:i/>
          <w:iCs/>
          <w:sz w:val="21"/>
          <w:szCs w:val="21"/>
          <w:lang w:val="en-US" w:eastAsia="zh-CN"/>
        </w:rPr>
        <w:t>26</w:t>
      </w:r>
      <w:r>
        <w:rPr>
          <w:rFonts w:hint="eastAsia" w:ascii="仿宋" w:hAnsi="仿宋" w:eastAsia="仿宋" w:cs="仿宋"/>
          <w:b/>
          <w:bCs/>
          <w:i/>
          <w:iCs/>
          <w:sz w:val="21"/>
          <w:szCs w:val="21"/>
        </w:rPr>
        <w:t>日上午9点30分   (北京时间)</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五、评（议）标原则</w:t>
      </w:r>
    </w:p>
    <w:p>
      <w:pPr>
        <w:kinsoku w:val="0"/>
        <w:wordWrap w:val="0"/>
        <w:topLinePunct/>
        <w:rPr>
          <w:rFonts w:hint="eastAsia" w:ascii="仿宋" w:hAnsi="仿宋" w:eastAsia="仿宋" w:cs="仿宋"/>
          <w:b/>
          <w:sz w:val="21"/>
          <w:szCs w:val="21"/>
        </w:rPr>
      </w:pPr>
      <w:r>
        <w:rPr>
          <w:rFonts w:hint="eastAsia" w:ascii="仿宋" w:hAnsi="仿宋" w:eastAsia="仿宋" w:cs="仿宋"/>
          <w:sz w:val="21"/>
          <w:szCs w:val="21"/>
        </w:rPr>
        <w:t xml:space="preserve">   1.本次采购采用综合评分法，按分数高低选出中标候选人。</w:t>
      </w: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sz w:val="21"/>
          <w:szCs w:val="21"/>
        </w:rPr>
        <w:t>2. 评分表：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673"/>
        <w:gridCol w:w="1835"/>
        <w:gridCol w:w="673"/>
        <w:gridCol w:w="79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序号</w:t>
            </w:r>
          </w:p>
        </w:tc>
        <w:tc>
          <w:tcPr>
            <w:tcW w:w="3955" w:type="dxa"/>
            <w:gridSpan w:val="4"/>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评分项</w:t>
            </w:r>
          </w:p>
        </w:tc>
        <w:tc>
          <w:tcPr>
            <w:tcW w:w="5435" w:type="dxa"/>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w:t>
            </w:r>
          </w:p>
        </w:tc>
        <w:tc>
          <w:tcPr>
            <w:tcW w:w="3955" w:type="dxa"/>
            <w:gridSpan w:val="4"/>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价格部分</w:t>
            </w:r>
          </w:p>
        </w:tc>
        <w:tc>
          <w:tcPr>
            <w:tcW w:w="5435" w:type="dxa"/>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647" w:type="dxa"/>
            <w:gridSpan w:val="5"/>
            <w:vMerge w:val="restart"/>
          </w:tcPr>
          <w:p>
            <w:pPr>
              <w:jc w:val="center"/>
              <w:rPr>
                <w:rFonts w:hint="eastAsia" w:ascii="仿宋" w:hAnsi="仿宋" w:eastAsia="仿宋" w:cs="仿宋"/>
                <w:b/>
                <w:color w:val="000000" w:themeColor="text1"/>
                <w:sz w:val="21"/>
                <w:szCs w:val="21"/>
                <w14:textFill>
                  <w14:solidFill>
                    <w14:schemeClr w14:val="tx1"/>
                  </w14:solidFill>
                </w14:textFill>
              </w:rPr>
            </w:pPr>
          </w:p>
        </w:tc>
        <w:tc>
          <w:tcPr>
            <w:tcW w:w="5435" w:type="dxa"/>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647" w:type="dxa"/>
            <w:gridSpan w:val="5"/>
            <w:vMerge w:val="continue"/>
          </w:tcPr>
          <w:p>
            <w:pPr>
              <w:jc w:val="center"/>
              <w:rPr>
                <w:rFonts w:hint="eastAsia" w:ascii="仿宋" w:hAnsi="仿宋" w:eastAsia="仿宋" w:cs="仿宋"/>
                <w:b/>
                <w:color w:val="000000" w:themeColor="text1"/>
                <w:sz w:val="21"/>
                <w:szCs w:val="21"/>
                <w14:textFill>
                  <w14:solidFill>
                    <w14:schemeClr w14:val="tx1"/>
                  </w14:solidFill>
                </w14:textFill>
              </w:rPr>
            </w:pPr>
          </w:p>
        </w:tc>
        <w:tc>
          <w:tcPr>
            <w:tcW w:w="5435" w:type="dxa"/>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sz w:val="21"/>
                <w:szCs w:val="21"/>
              </w:rPr>
              <w:t>实质性响应招标文件要求且投标价格最低的投标价为基准价，其价格分为满分。其他投标人的价格分统一按照下列公式计算：投标报价得分=（评标基准价/投标报价）×30%×100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w:t>
            </w:r>
          </w:p>
        </w:tc>
        <w:tc>
          <w:tcPr>
            <w:tcW w:w="3955" w:type="dxa"/>
            <w:gridSpan w:val="4"/>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技术部分</w:t>
            </w:r>
          </w:p>
        </w:tc>
        <w:tc>
          <w:tcPr>
            <w:tcW w:w="5435" w:type="dxa"/>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vMerge w:val="restart"/>
          </w:tcPr>
          <w:p>
            <w:pPr>
              <w:jc w:val="center"/>
              <w:rPr>
                <w:rFonts w:hint="eastAsia" w:ascii="仿宋" w:hAnsi="仿宋" w:eastAsia="仿宋" w:cs="仿宋"/>
                <w:color w:val="000000" w:themeColor="text1"/>
                <w:sz w:val="21"/>
                <w:szCs w:val="21"/>
                <w14:textFill>
                  <w14:solidFill>
                    <w14:schemeClr w14:val="tx1"/>
                  </w14:solidFill>
                </w14:textFill>
              </w:rPr>
            </w:pPr>
          </w:p>
        </w:tc>
        <w:tc>
          <w:tcPr>
            <w:tcW w:w="0" w:type="auto"/>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序号</w:t>
            </w:r>
          </w:p>
        </w:tc>
        <w:tc>
          <w:tcPr>
            <w:tcW w:w="0" w:type="auto"/>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评分因素</w:t>
            </w:r>
          </w:p>
        </w:tc>
        <w:tc>
          <w:tcPr>
            <w:tcW w:w="0" w:type="auto"/>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权重</w:t>
            </w:r>
          </w:p>
        </w:tc>
        <w:tc>
          <w:tcPr>
            <w:tcW w:w="793" w:type="dxa"/>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评分方式</w:t>
            </w:r>
          </w:p>
        </w:tc>
        <w:tc>
          <w:tcPr>
            <w:tcW w:w="5435" w:type="dxa"/>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0" w:type="auto"/>
            <w:vMerge w:val="continue"/>
          </w:tcPr>
          <w:p>
            <w:pPr>
              <w:jc w:val="center"/>
              <w:rPr>
                <w:rFonts w:hint="eastAsia" w:ascii="仿宋" w:hAnsi="仿宋" w:eastAsia="仿宋" w:cs="仿宋"/>
                <w:color w:val="000000" w:themeColor="text1"/>
                <w:sz w:val="21"/>
                <w:szCs w:val="21"/>
                <w14:textFill>
                  <w14:solidFill>
                    <w14:schemeClr w14:val="tx1"/>
                  </w14:solidFill>
                </w14:textFill>
              </w:rPr>
            </w:pPr>
          </w:p>
        </w:tc>
        <w:tc>
          <w:tcPr>
            <w:tcW w:w="0" w:type="auto"/>
            <w:vAlign w:val="center"/>
          </w:tcPr>
          <w:p>
            <w:pPr>
              <w:widowControl/>
              <w:spacing w:before="100" w:beforeAutospacing="1" w:after="100" w:afterAutospacing="1"/>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c>
          <w:tcPr>
            <w:tcW w:w="0" w:type="auto"/>
            <w:vAlign w:val="center"/>
          </w:tcPr>
          <w:p>
            <w:pPr>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技术规格偏离情况</w:t>
            </w:r>
          </w:p>
        </w:tc>
        <w:tc>
          <w:tcPr>
            <w:tcW w:w="0" w:type="auto"/>
            <w:vAlign w:val="center"/>
          </w:tcPr>
          <w:p>
            <w:pPr>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45</w:t>
            </w:r>
          </w:p>
        </w:tc>
        <w:tc>
          <w:tcPr>
            <w:tcW w:w="79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专家打分</w:t>
            </w:r>
          </w:p>
        </w:tc>
        <w:tc>
          <w:tcPr>
            <w:tcW w:w="5435" w:type="dxa"/>
            <w:vAlign w:val="center"/>
          </w:tcPr>
          <w:p>
            <w:pPr>
              <w:pStyle w:val="103"/>
              <w:rPr>
                <w:rFonts w:hint="eastAsia" w:ascii="仿宋" w:hAnsi="仿宋" w:eastAsia="仿宋" w:cs="仿宋"/>
              </w:rPr>
            </w:pPr>
            <w:r>
              <w:rPr>
                <w:rFonts w:hint="eastAsia" w:ascii="仿宋" w:hAnsi="仿宋" w:eastAsia="仿宋" w:cs="仿宋"/>
              </w:rPr>
              <w:t>技术规格中</w:t>
            </w:r>
            <w:r>
              <w:rPr>
                <w:rFonts w:hint="eastAsia" w:ascii="仿宋" w:hAnsi="仿宋" w:eastAsia="仿宋" w:cs="仿宋"/>
                <w:lang w:val="zh-CN"/>
              </w:rPr>
              <w:t>，各项技术参数指标及要求全部满足的得</w:t>
            </w:r>
            <w:r>
              <w:rPr>
                <w:rFonts w:hint="eastAsia" w:ascii="仿宋" w:hAnsi="仿宋" w:eastAsia="仿宋" w:cs="仿宋"/>
              </w:rPr>
              <w:t>45</w:t>
            </w:r>
            <w:r>
              <w:rPr>
                <w:rFonts w:hint="eastAsia" w:ascii="仿宋" w:hAnsi="仿宋" w:eastAsia="仿宋" w:cs="仿宋"/>
                <w:lang w:val="zh-CN"/>
              </w:rPr>
              <w:t>分，</w:t>
            </w:r>
            <w:r>
              <w:rPr>
                <w:rFonts w:hint="eastAsia" w:ascii="仿宋" w:hAnsi="仿宋" w:eastAsia="仿宋" w:cs="仿宋"/>
              </w:rPr>
              <w:t>带</w:t>
            </w:r>
            <w:r>
              <w:rPr>
                <w:rFonts w:hint="eastAsia" w:ascii="仿宋" w:hAnsi="仿宋" w:eastAsia="仿宋" w:cs="仿宋"/>
                <w:lang w:val="zh-CN"/>
              </w:rPr>
              <w:t>“▲”</w:t>
            </w:r>
            <w:r>
              <w:rPr>
                <w:rFonts w:hint="eastAsia" w:ascii="仿宋" w:hAnsi="仿宋" w:eastAsia="仿宋" w:cs="仿宋"/>
              </w:rPr>
              <w:t>号的重要技术条款，一项不符合或偏离的，</w:t>
            </w:r>
            <w:r>
              <w:rPr>
                <w:rFonts w:hint="eastAsia" w:ascii="仿宋" w:hAnsi="仿宋" w:eastAsia="仿宋" w:cs="仿宋"/>
                <w:lang w:val="zh-CN"/>
              </w:rPr>
              <w:t>扣</w:t>
            </w:r>
            <w:r>
              <w:rPr>
                <w:rFonts w:hint="eastAsia" w:ascii="仿宋" w:hAnsi="仿宋" w:eastAsia="仿宋" w:cs="仿宋"/>
              </w:rPr>
              <w:t>5</w:t>
            </w:r>
            <w:r>
              <w:rPr>
                <w:rFonts w:hint="eastAsia" w:ascii="仿宋" w:hAnsi="仿宋" w:eastAsia="仿宋" w:cs="仿宋"/>
                <w:lang w:val="zh-CN"/>
              </w:rPr>
              <w:t>分</w:t>
            </w:r>
            <w:r>
              <w:rPr>
                <w:rFonts w:hint="eastAsia" w:ascii="仿宋" w:hAnsi="仿宋" w:eastAsia="仿宋" w:cs="仿宋"/>
              </w:rPr>
              <w:t>；非</w:t>
            </w:r>
            <w:r>
              <w:rPr>
                <w:rFonts w:hint="eastAsia" w:ascii="仿宋" w:hAnsi="仿宋" w:eastAsia="仿宋" w:cs="仿宋"/>
                <w:lang w:val="zh-CN"/>
              </w:rPr>
              <w:t>“▲”</w:t>
            </w:r>
            <w:r>
              <w:rPr>
                <w:rFonts w:hint="eastAsia" w:ascii="仿宋" w:hAnsi="仿宋" w:eastAsia="仿宋" w:cs="仿宋"/>
              </w:rPr>
              <w:t>号技术条款，一项不符合或偏离的，扣2分，</w:t>
            </w:r>
            <w:r>
              <w:rPr>
                <w:rFonts w:hint="eastAsia" w:ascii="仿宋" w:hAnsi="仿宋" w:eastAsia="仿宋" w:cs="仿宋"/>
                <w:lang w:val="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0" w:type="auto"/>
            <w:vMerge w:val="continue"/>
          </w:tcPr>
          <w:p>
            <w:pPr>
              <w:jc w:val="center"/>
              <w:rPr>
                <w:rFonts w:hint="eastAsia" w:ascii="仿宋" w:hAnsi="仿宋" w:eastAsia="仿宋" w:cs="仿宋"/>
                <w:color w:val="000000" w:themeColor="text1"/>
                <w:sz w:val="21"/>
                <w:szCs w:val="21"/>
                <w14:textFill>
                  <w14:solidFill>
                    <w14:schemeClr w14:val="tx1"/>
                  </w14:solidFill>
                </w14:textFill>
              </w:rPr>
            </w:pPr>
          </w:p>
        </w:tc>
        <w:tc>
          <w:tcPr>
            <w:tcW w:w="0" w:type="auto"/>
            <w:vAlign w:val="center"/>
          </w:tcPr>
          <w:p>
            <w:pPr>
              <w:widowControl/>
              <w:spacing w:before="100" w:beforeAutospacing="1" w:after="100" w:afterAutospacing="1"/>
              <w:jc w:val="center"/>
              <w:rPr>
                <w:rFonts w:hint="eastAsia" w:ascii="仿宋" w:hAnsi="仿宋" w:eastAsia="仿宋" w:cs="仿宋"/>
                <w:color w:val="000000" w:themeColor="text1"/>
                <w:kern w:val="0"/>
                <w:sz w:val="21"/>
                <w:szCs w:val="21"/>
                <w14:textFill>
                  <w14:solidFill>
                    <w14:schemeClr w14:val="tx1"/>
                  </w14:solidFill>
                </w14:textFill>
              </w:rPr>
            </w:pPr>
          </w:p>
        </w:tc>
        <w:tc>
          <w:tcPr>
            <w:tcW w:w="0" w:type="auto"/>
            <w:vAlign w:val="center"/>
          </w:tcPr>
          <w:p>
            <w:pPr>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题库关键功能</w:t>
            </w:r>
          </w:p>
        </w:tc>
        <w:tc>
          <w:tcPr>
            <w:tcW w:w="0" w:type="auto"/>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79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专家打分</w:t>
            </w:r>
          </w:p>
        </w:tc>
        <w:tc>
          <w:tcPr>
            <w:tcW w:w="5435" w:type="dxa"/>
            <w:vAlign w:val="center"/>
          </w:tcPr>
          <w:p>
            <w:pPr>
              <w:pStyle w:val="103"/>
              <w:rPr>
                <w:rFonts w:hint="eastAsia" w:ascii="仿宋" w:hAnsi="仿宋" w:eastAsia="仿宋" w:cs="仿宋"/>
                <w:bCs/>
              </w:rPr>
            </w:pPr>
            <w:r>
              <w:rPr>
                <w:rFonts w:hint="eastAsia" w:ascii="仿宋" w:hAnsi="仿宋" w:eastAsia="仿宋" w:cs="仿宋"/>
                <w:bCs/>
              </w:rPr>
              <w:t>为更好配合教学需要，题库应具备以下功能，</w:t>
            </w:r>
            <w:r>
              <w:rPr>
                <w:rFonts w:hint="eastAsia" w:ascii="仿宋" w:hAnsi="仿宋" w:eastAsia="仿宋" w:cs="仿宋"/>
                <w:bCs/>
              </w:rPr>
              <w:br w:type="textWrapping"/>
            </w:r>
            <w:r>
              <w:rPr>
                <w:rFonts w:hint="eastAsia" w:ascii="仿宋" w:hAnsi="仿宋" w:eastAsia="仿宋" w:cs="仿宋"/>
                <w:bCs/>
              </w:rPr>
              <w:t>1、题库应具有手机APP功能</w:t>
            </w:r>
            <w:r>
              <w:rPr>
                <w:rFonts w:hint="eastAsia" w:ascii="仿宋" w:hAnsi="仿宋" w:eastAsia="仿宋" w:cs="仿宋"/>
                <w:bCs/>
              </w:rPr>
              <w:br w:type="textWrapping"/>
            </w:r>
            <w:r>
              <w:rPr>
                <w:rFonts w:hint="eastAsia" w:ascii="仿宋" w:hAnsi="仿宋" w:eastAsia="仿宋" w:cs="仿宋"/>
                <w:bCs/>
              </w:rPr>
              <w:t>需提供题库使用手册证明。</w:t>
            </w:r>
            <w:r>
              <w:rPr>
                <w:rFonts w:hint="eastAsia" w:ascii="仿宋" w:hAnsi="仿宋" w:eastAsia="仿宋" w:cs="仿宋"/>
                <w:bCs/>
              </w:rPr>
              <w:br w:type="textWrapping"/>
            </w:r>
            <w:r>
              <w:rPr>
                <w:rFonts w:hint="eastAsia" w:ascii="仿宋" w:hAnsi="仿宋" w:eastAsia="仿宋" w:cs="仿宋"/>
                <w:bCs/>
              </w:rPr>
              <w:t>2、题库在线版应具备软件著作权，需提供国家版权局颁发的软件著作权证明。</w:t>
            </w:r>
            <w:r>
              <w:rPr>
                <w:rFonts w:hint="eastAsia" w:ascii="仿宋" w:hAnsi="仿宋" w:eastAsia="仿宋" w:cs="仿宋"/>
                <w:bCs/>
              </w:rPr>
              <w:br w:type="textWrapping"/>
            </w:r>
            <w:r>
              <w:rPr>
                <w:rFonts w:hint="eastAsia" w:ascii="仿宋" w:hAnsi="仿宋" w:eastAsia="仿宋" w:cs="仿宋"/>
                <w:bCs/>
              </w:rPr>
              <w:t>3、</w:t>
            </w:r>
            <w:r>
              <w:rPr>
                <w:rFonts w:hint="eastAsia" w:ascii="仿宋" w:hAnsi="仿宋" w:eastAsia="仿宋" w:cs="仿宋"/>
                <w:lang w:val="zh-CN"/>
              </w:rPr>
              <w:t>为更好地配合考教分离，题库</w:t>
            </w:r>
            <w:r>
              <w:rPr>
                <w:rFonts w:hint="eastAsia" w:ascii="仿宋" w:hAnsi="仿宋" w:eastAsia="仿宋" w:cs="仿宋"/>
              </w:rPr>
              <w:t>应具备考试考核题库和日常教学题库两个题库</w:t>
            </w:r>
            <w:r>
              <w:rPr>
                <w:rFonts w:hint="eastAsia" w:ascii="仿宋" w:hAnsi="仿宋" w:eastAsia="仿宋" w:cs="仿宋"/>
                <w:lang w:val="zh-CN"/>
              </w:rPr>
              <w:t>。</w:t>
            </w:r>
            <w:r>
              <w:rPr>
                <w:rFonts w:hint="eastAsia" w:ascii="仿宋" w:hAnsi="仿宋" w:eastAsia="仿宋" w:cs="仿宋"/>
                <w:bCs/>
              </w:rPr>
              <w:t>需提供题库使用手册证明。</w:t>
            </w:r>
            <w:r>
              <w:rPr>
                <w:rFonts w:hint="eastAsia" w:ascii="仿宋" w:hAnsi="仿宋" w:eastAsia="仿宋" w:cs="仿宋"/>
              </w:rPr>
              <w:br w:type="textWrapping"/>
            </w:r>
            <w:r>
              <w:rPr>
                <w:rFonts w:hint="eastAsia" w:ascii="仿宋" w:hAnsi="仿宋" w:eastAsia="仿宋" w:cs="仿宋"/>
              </w:rPr>
              <w:t>4、试题题库应同时具有局域网版和在线版。</w:t>
            </w:r>
            <w:r>
              <w:rPr>
                <w:rFonts w:hint="eastAsia" w:ascii="仿宋" w:hAnsi="仿宋" w:eastAsia="仿宋" w:cs="仿宋"/>
                <w:bCs/>
              </w:rPr>
              <w:t>需提供题库使用手册证明。</w:t>
            </w:r>
            <w:r>
              <w:rPr>
                <w:rFonts w:hint="eastAsia" w:ascii="仿宋" w:hAnsi="仿宋" w:eastAsia="仿宋" w:cs="仿宋"/>
              </w:rPr>
              <w:br w:type="textWrapping"/>
            </w:r>
            <w:r>
              <w:rPr>
                <w:rFonts w:hint="eastAsia" w:ascii="仿宋" w:hAnsi="仿宋" w:eastAsia="仿宋" w:cs="仿宋"/>
              </w:rPr>
              <w:t>5、题库应具备院校私有题库功能，且支持私有题库批量录入、深度标引功能。</w:t>
            </w:r>
            <w:r>
              <w:rPr>
                <w:rFonts w:hint="eastAsia" w:ascii="仿宋" w:hAnsi="仿宋" w:eastAsia="仿宋" w:cs="仿宋"/>
                <w:bCs/>
              </w:rPr>
              <w:t>需提供题库使用手册证明。</w:t>
            </w:r>
            <w:r>
              <w:rPr>
                <w:rFonts w:hint="eastAsia" w:ascii="仿宋" w:hAnsi="仿宋" w:eastAsia="仿宋" w:cs="仿宋"/>
              </w:rPr>
              <w:br w:type="textWrapping"/>
            </w:r>
            <w:r>
              <w:rPr>
                <w:rFonts w:hint="eastAsia" w:ascii="仿宋" w:hAnsi="仿宋" w:eastAsia="仿宋" w:cs="仿宋"/>
              </w:rPr>
              <w:t>同时具备以上5个功能并提供相应证明，得5分；具备2—4个功能，得2分；其他情况不得分。</w:t>
            </w:r>
            <w:r>
              <w:rPr>
                <w:rFonts w:hint="eastAsia" w:ascii="仿宋" w:hAnsi="仿宋" w:eastAsia="仿宋" w:cs="仿宋"/>
                <w:lang w:eastAsia="zh-Hans"/>
              </w:rPr>
              <w:t>供应商需同时提供题库版权所有方授权，不能提供不得分。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0" w:type="auto"/>
            <w:vMerge w:val="continue"/>
          </w:tcPr>
          <w:p>
            <w:pPr>
              <w:jc w:val="center"/>
              <w:rPr>
                <w:rFonts w:hint="eastAsia" w:ascii="仿宋" w:hAnsi="仿宋" w:eastAsia="仿宋" w:cs="仿宋"/>
                <w:color w:val="000000" w:themeColor="text1"/>
                <w:sz w:val="21"/>
                <w:szCs w:val="21"/>
                <w14:textFill>
                  <w14:solidFill>
                    <w14:schemeClr w14:val="tx1"/>
                  </w14:solidFill>
                </w14:textFill>
              </w:rPr>
            </w:pPr>
          </w:p>
        </w:tc>
        <w:tc>
          <w:tcPr>
            <w:tcW w:w="0" w:type="auto"/>
            <w:vAlign w:val="center"/>
          </w:tcPr>
          <w:p>
            <w:pPr>
              <w:widowControl/>
              <w:spacing w:before="100" w:beforeAutospacing="1" w:after="100" w:afterAutospacing="1"/>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0" w:type="auto"/>
            <w:vAlign w:val="center"/>
          </w:tcPr>
          <w:p>
            <w:pPr>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投标人综合实力</w:t>
            </w:r>
          </w:p>
        </w:tc>
        <w:tc>
          <w:tcPr>
            <w:tcW w:w="0" w:type="auto"/>
            <w:vAlign w:val="center"/>
          </w:tcPr>
          <w:p>
            <w:pPr>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w:t>
            </w:r>
          </w:p>
        </w:tc>
        <w:tc>
          <w:tcPr>
            <w:tcW w:w="79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专家打分</w:t>
            </w:r>
          </w:p>
        </w:tc>
        <w:tc>
          <w:tcPr>
            <w:tcW w:w="5435" w:type="dxa"/>
            <w:vAlign w:val="center"/>
          </w:tcPr>
          <w:p>
            <w:pPr>
              <w:pStyle w:val="103"/>
              <w:rPr>
                <w:rFonts w:hint="eastAsia" w:ascii="仿宋" w:hAnsi="仿宋" w:eastAsia="仿宋" w:cs="仿宋"/>
              </w:rPr>
            </w:pPr>
            <w:r>
              <w:rPr>
                <w:rFonts w:hint="eastAsia" w:ascii="仿宋" w:hAnsi="仿宋" w:eastAsia="仿宋" w:cs="仿宋"/>
              </w:rPr>
              <w:t>1、供应商2019年至今（以项目合同签订时间为准）具有已完成或在服务有效期内</w:t>
            </w:r>
            <w:r>
              <w:rPr>
                <w:rFonts w:hint="eastAsia" w:ascii="仿宋" w:hAnsi="仿宋" w:eastAsia="仿宋" w:cs="仿宋"/>
                <w:lang w:eastAsia="zh-Hans"/>
              </w:rPr>
              <w:t>采购人为院校或医院</w:t>
            </w:r>
            <w:r>
              <w:rPr>
                <w:rFonts w:hint="eastAsia" w:ascii="仿宋" w:hAnsi="仿宋" w:eastAsia="仿宋" w:cs="仿宋"/>
              </w:rPr>
              <w:t>的</w:t>
            </w:r>
            <w:r>
              <w:rPr>
                <w:rFonts w:hint="eastAsia" w:ascii="仿宋" w:hAnsi="仿宋" w:eastAsia="仿宋" w:cs="仿宋"/>
                <w:lang w:eastAsia="zh-Hans"/>
              </w:rPr>
              <w:t>医药卫生类</w:t>
            </w:r>
            <w:r>
              <w:rPr>
                <w:rFonts w:hint="eastAsia" w:ascii="仿宋" w:hAnsi="仿宋" w:eastAsia="仿宋" w:cs="仿宋"/>
              </w:rPr>
              <w:t>题库或考试辅导系统业绩证明进行评分，每提供1个业绩证明得1分，最高得5分。</w:t>
            </w:r>
          </w:p>
          <w:p>
            <w:pPr>
              <w:pStyle w:val="103"/>
              <w:rPr>
                <w:rFonts w:hint="eastAsia" w:ascii="仿宋" w:hAnsi="仿宋" w:eastAsia="仿宋" w:cs="仿宋"/>
              </w:rPr>
            </w:pPr>
            <w:r>
              <w:rPr>
                <w:rFonts w:hint="eastAsia" w:ascii="仿宋" w:hAnsi="仿宋" w:eastAsia="仿宋" w:cs="仿宋"/>
              </w:rPr>
              <w:t>注：需提供相关证明材料的复印件并加盖供应商公章，不提供不得分。</w:t>
            </w:r>
          </w:p>
          <w:p>
            <w:pPr>
              <w:pStyle w:val="103"/>
              <w:rPr>
                <w:rFonts w:hint="eastAsia" w:ascii="仿宋" w:hAnsi="仿宋" w:eastAsia="仿宋" w:cs="仿宋"/>
              </w:rPr>
            </w:pPr>
          </w:p>
          <w:p>
            <w:pPr>
              <w:pStyle w:val="103"/>
              <w:rPr>
                <w:rFonts w:hint="eastAsia" w:ascii="仿宋" w:hAnsi="仿宋" w:eastAsia="仿宋" w:cs="仿宋"/>
                <w:bCs/>
                <w:lang w:val="zh-CN"/>
              </w:rPr>
            </w:pPr>
            <w:r>
              <w:rPr>
                <w:rFonts w:hint="eastAsia" w:ascii="仿宋" w:hAnsi="仿宋" w:eastAsia="仿宋" w:cs="仿宋"/>
                <w:bCs/>
              </w:rPr>
              <w:t>2、</w:t>
            </w:r>
            <w:r>
              <w:rPr>
                <w:rFonts w:hint="eastAsia" w:ascii="仿宋" w:hAnsi="仿宋" w:eastAsia="仿宋" w:cs="仿宋"/>
                <w:lang w:eastAsia="zh-Hans"/>
              </w:rPr>
              <w:t>需就</w:t>
            </w:r>
            <w:r>
              <w:rPr>
                <w:rFonts w:hint="eastAsia" w:ascii="仿宋" w:hAnsi="仿宋" w:eastAsia="仿宋" w:cs="仿宋"/>
              </w:rPr>
              <w:t>临床医学</w:t>
            </w:r>
            <w:r>
              <w:rPr>
                <w:rFonts w:hint="eastAsia" w:ascii="仿宋" w:hAnsi="仿宋" w:eastAsia="仿宋" w:cs="仿宋"/>
                <w:lang w:eastAsia="zh-Hans"/>
              </w:rPr>
              <w:t>专业题库考教融合使用方案举办专项</w:t>
            </w:r>
            <w:r>
              <w:rPr>
                <w:rFonts w:hint="eastAsia" w:ascii="仿宋" w:hAnsi="仿宋" w:eastAsia="仿宋" w:cs="仿宋"/>
              </w:rPr>
              <w:t>培训，</w:t>
            </w:r>
            <w:r>
              <w:rPr>
                <w:rFonts w:hint="eastAsia" w:ascii="仿宋" w:hAnsi="仿宋" w:eastAsia="仿宋" w:cs="仿宋"/>
                <w:lang w:eastAsia="zh-Hans"/>
              </w:rPr>
              <w:t>为保证培训</w:t>
            </w:r>
            <w:r>
              <w:rPr>
                <w:rFonts w:hint="eastAsia" w:ascii="仿宋" w:hAnsi="仿宋" w:eastAsia="仿宋" w:cs="仿宋"/>
              </w:rPr>
              <w:t>质量，供应商需具备过往3年内与国家级A类医药卫生出版社教材主编合作培训证明。需提供现场照片及与专家的培训合同。</w:t>
            </w:r>
          </w:p>
          <w:p>
            <w:pPr>
              <w:pStyle w:val="103"/>
              <w:rPr>
                <w:rFonts w:hint="eastAsia" w:ascii="仿宋" w:hAnsi="仿宋" w:eastAsia="仿宋" w:cs="仿宋"/>
              </w:rPr>
            </w:pPr>
            <w:r>
              <w:rPr>
                <w:rFonts w:hint="eastAsia" w:ascii="仿宋" w:hAnsi="仿宋" w:eastAsia="仿宋" w:cs="仿宋"/>
                <w:lang w:val="zh-CN"/>
              </w:rPr>
              <w:t>①能提供</w:t>
            </w:r>
            <w:r>
              <w:rPr>
                <w:rFonts w:hint="eastAsia" w:ascii="仿宋" w:hAnsi="仿宋" w:eastAsia="仿宋" w:cs="仿宋"/>
              </w:rPr>
              <w:t>3次或以上合作</w:t>
            </w:r>
            <w:r>
              <w:rPr>
                <w:rFonts w:hint="eastAsia" w:ascii="仿宋" w:hAnsi="仿宋" w:eastAsia="仿宋" w:cs="仿宋"/>
                <w:lang w:val="zh-CN"/>
              </w:rPr>
              <w:t>培训</w:t>
            </w:r>
            <w:r>
              <w:rPr>
                <w:rFonts w:hint="eastAsia" w:ascii="仿宋" w:hAnsi="仿宋" w:eastAsia="仿宋" w:cs="仿宋"/>
              </w:rPr>
              <w:t>证明，</w:t>
            </w:r>
            <w:r>
              <w:rPr>
                <w:rFonts w:hint="eastAsia" w:ascii="仿宋" w:hAnsi="仿宋" w:eastAsia="仿宋" w:cs="仿宋"/>
                <w:lang w:val="zh-CN"/>
              </w:rPr>
              <w:t>得</w:t>
            </w:r>
            <w:r>
              <w:rPr>
                <w:rFonts w:hint="eastAsia" w:ascii="仿宋" w:hAnsi="仿宋" w:eastAsia="仿宋" w:cs="仿宋"/>
              </w:rPr>
              <w:t>5分；</w:t>
            </w:r>
          </w:p>
          <w:p>
            <w:pPr>
              <w:pStyle w:val="103"/>
              <w:rPr>
                <w:rFonts w:hint="eastAsia" w:ascii="仿宋" w:hAnsi="仿宋" w:eastAsia="仿宋" w:cs="仿宋"/>
              </w:rPr>
            </w:pPr>
            <w:r>
              <w:rPr>
                <w:rFonts w:hint="eastAsia" w:ascii="仿宋" w:hAnsi="仿宋" w:eastAsia="仿宋" w:cs="仿宋"/>
              </w:rPr>
              <w:t>②能提供1—2次</w:t>
            </w:r>
            <w:r>
              <w:rPr>
                <w:rFonts w:hint="eastAsia" w:ascii="仿宋" w:hAnsi="仿宋" w:eastAsia="仿宋" w:cs="仿宋"/>
                <w:lang w:val="zh-CN"/>
              </w:rPr>
              <w:t>合作培训证明，</w:t>
            </w:r>
            <w:r>
              <w:rPr>
                <w:rFonts w:hint="eastAsia" w:ascii="仿宋" w:hAnsi="仿宋" w:eastAsia="仿宋" w:cs="仿宋"/>
              </w:rPr>
              <w:t>得2分；</w:t>
            </w:r>
          </w:p>
          <w:p>
            <w:pPr>
              <w:pStyle w:val="103"/>
              <w:rPr>
                <w:rFonts w:hint="eastAsia" w:ascii="仿宋" w:hAnsi="仿宋" w:eastAsia="仿宋" w:cs="仿宋"/>
              </w:rPr>
            </w:pPr>
            <w:r>
              <w:rPr>
                <w:rFonts w:hint="eastAsia" w:ascii="仿宋" w:hAnsi="仿宋" w:eastAsia="仿宋" w:cs="仿宋"/>
              </w:rPr>
              <w:t>③无法证明国家级A类医药卫生出版社教材主编，无法提供有效</w:t>
            </w:r>
            <w:r>
              <w:rPr>
                <w:rFonts w:hint="eastAsia" w:ascii="仿宋" w:hAnsi="仿宋" w:eastAsia="仿宋" w:cs="仿宋"/>
                <w:lang w:val="zh-CN"/>
              </w:rPr>
              <w:t>合作培训证明，</w:t>
            </w:r>
            <w:r>
              <w:rPr>
                <w:rFonts w:hint="eastAsia" w:ascii="仿宋" w:hAnsi="仿宋" w:eastAsia="仿宋" w:cs="仿宋"/>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3</w:t>
            </w:r>
          </w:p>
        </w:tc>
        <w:tc>
          <w:tcPr>
            <w:tcW w:w="3955" w:type="dxa"/>
            <w:gridSpan w:val="4"/>
            <w:vAlign w:val="center"/>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商务部分</w:t>
            </w:r>
          </w:p>
        </w:tc>
        <w:tc>
          <w:tcPr>
            <w:tcW w:w="5435" w:type="dxa"/>
          </w:tcPr>
          <w:p>
            <w:pPr>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vMerge w:val="restart"/>
          </w:tcPr>
          <w:p>
            <w:pPr>
              <w:ind w:left="108"/>
              <w:rPr>
                <w:rFonts w:hint="eastAsia" w:ascii="仿宋" w:hAnsi="仿宋" w:eastAsia="仿宋" w:cs="仿宋"/>
                <w:color w:val="000000" w:themeColor="text1"/>
                <w:sz w:val="21"/>
                <w:szCs w:val="21"/>
                <w14:textFill>
                  <w14:solidFill>
                    <w14:schemeClr w14:val="tx1"/>
                  </w14:solidFill>
                </w14:textFill>
              </w:rPr>
            </w:pPr>
          </w:p>
        </w:tc>
        <w:tc>
          <w:tcPr>
            <w:tcW w:w="0" w:type="auto"/>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序号</w:t>
            </w:r>
          </w:p>
        </w:tc>
        <w:tc>
          <w:tcPr>
            <w:tcW w:w="0" w:type="auto"/>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评分因素</w:t>
            </w:r>
          </w:p>
        </w:tc>
        <w:tc>
          <w:tcPr>
            <w:tcW w:w="0" w:type="auto"/>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权重</w:t>
            </w:r>
          </w:p>
        </w:tc>
        <w:tc>
          <w:tcPr>
            <w:tcW w:w="793"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评分方式</w:t>
            </w:r>
          </w:p>
        </w:tc>
        <w:tc>
          <w:tcPr>
            <w:tcW w:w="5435" w:type="dxa"/>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0" w:type="auto"/>
            <w:vMerge w:val="continue"/>
          </w:tcPr>
          <w:p>
            <w:pPr>
              <w:ind w:left="108"/>
              <w:rPr>
                <w:rFonts w:hint="eastAsia" w:ascii="仿宋" w:hAnsi="仿宋" w:eastAsia="仿宋" w:cs="仿宋"/>
                <w:bCs/>
                <w:color w:val="000000" w:themeColor="text1"/>
                <w:kern w:val="0"/>
                <w:sz w:val="21"/>
                <w:szCs w:val="21"/>
                <w14:textFill>
                  <w14:solidFill>
                    <w14:schemeClr w14:val="tx1"/>
                  </w14:solidFill>
                </w14:textFill>
              </w:rPr>
            </w:pPr>
          </w:p>
        </w:tc>
        <w:tc>
          <w:tcPr>
            <w:tcW w:w="0" w:type="auto"/>
            <w:vAlign w:val="center"/>
          </w:tcPr>
          <w:p>
            <w:pPr>
              <w:ind w:left="108"/>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1</w:t>
            </w:r>
          </w:p>
        </w:tc>
        <w:tc>
          <w:tcPr>
            <w:tcW w:w="0" w:type="auto"/>
            <w:vAlign w:val="center"/>
          </w:tcPr>
          <w:p>
            <w:pPr>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商务要求响应程度</w:t>
            </w:r>
          </w:p>
        </w:tc>
        <w:tc>
          <w:tcPr>
            <w:tcW w:w="0" w:type="auto"/>
            <w:vAlign w:val="center"/>
          </w:tcPr>
          <w:p>
            <w:pPr>
              <w:wordWrap w:val="0"/>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5</w:t>
            </w:r>
          </w:p>
        </w:tc>
        <w:tc>
          <w:tcPr>
            <w:tcW w:w="793" w:type="dxa"/>
            <w:vAlign w:val="center"/>
          </w:tcPr>
          <w:p>
            <w:pPr>
              <w:widowControl/>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专家打分</w:t>
            </w:r>
          </w:p>
        </w:tc>
        <w:tc>
          <w:tcPr>
            <w:tcW w:w="5435" w:type="dxa"/>
            <w:vAlign w:val="center"/>
          </w:tcPr>
          <w:p>
            <w:pP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投标人满足商务全部要求的得5分，每负偏离一项扣1分，扣完为止。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0" w:type="auto"/>
            <w:vMerge w:val="continue"/>
          </w:tcPr>
          <w:p>
            <w:pPr>
              <w:ind w:left="108"/>
              <w:rPr>
                <w:rFonts w:hint="eastAsia" w:ascii="仿宋" w:hAnsi="仿宋" w:eastAsia="仿宋" w:cs="仿宋"/>
                <w:bCs/>
                <w:color w:val="000000" w:themeColor="text1"/>
                <w:kern w:val="0"/>
                <w:sz w:val="21"/>
                <w:szCs w:val="21"/>
                <w14:textFill>
                  <w14:solidFill>
                    <w14:schemeClr w14:val="tx1"/>
                  </w14:solidFill>
                </w14:textFill>
              </w:rPr>
            </w:pPr>
          </w:p>
        </w:tc>
        <w:tc>
          <w:tcPr>
            <w:tcW w:w="0" w:type="auto"/>
            <w:vAlign w:val="center"/>
          </w:tcPr>
          <w:p>
            <w:pPr>
              <w:ind w:left="108"/>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2</w:t>
            </w:r>
          </w:p>
        </w:tc>
        <w:tc>
          <w:tcPr>
            <w:tcW w:w="0" w:type="auto"/>
            <w:vAlign w:val="center"/>
          </w:tcPr>
          <w:p>
            <w:pPr>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售后服务</w:t>
            </w:r>
          </w:p>
        </w:tc>
        <w:tc>
          <w:tcPr>
            <w:tcW w:w="0" w:type="auto"/>
            <w:vAlign w:val="center"/>
          </w:tcPr>
          <w:p>
            <w:pPr>
              <w:wordWrap w:val="0"/>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2</w:t>
            </w:r>
          </w:p>
        </w:tc>
        <w:tc>
          <w:tcPr>
            <w:tcW w:w="793" w:type="dxa"/>
            <w:vAlign w:val="center"/>
          </w:tcPr>
          <w:p>
            <w:pPr>
              <w:widowControl/>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专家打分</w:t>
            </w:r>
          </w:p>
        </w:tc>
        <w:tc>
          <w:tcPr>
            <w:tcW w:w="5435" w:type="dxa"/>
            <w:vAlign w:val="center"/>
          </w:tcPr>
          <w:p>
            <w:pP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供应商需要在广东省内拥有在地服务中心，以便及时提供服务，需要提供服务中心联系方式、场地证明。</w:t>
            </w:r>
            <w:r>
              <w:rPr>
                <w:rFonts w:hint="eastAsia" w:ascii="仿宋" w:hAnsi="仿宋" w:eastAsia="仿宋" w:cs="仿宋"/>
                <w:bCs/>
                <w:color w:val="000000" w:themeColor="text1"/>
                <w:kern w:val="0"/>
                <w:sz w:val="21"/>
                <w:szCs w:val="21"/>
                <w14:textFill>
                  <w14:solidFill>
                    <w14:schemeClr w14:val="tx1"/>
                  </w14:solidFill>
                </w14:textFill>
              </w:rPr>
              <w:br w:type="textWrapping"/>
            </w:r>
            <w:r>
              <w:rPr>
                <w:rFonts w:hint="eastAsia" w:ascii="仿宋" w:hAnsi="仿宋" w:eastAsia="仿宋" w:cs="仿宋"/>
                <w:bCs/>
                <w:color w:val="000000" w:themeColor="text1"/>
                <w:kern w:val="0"/>
                <w:sz w:val="21"/>
                <w:szCs w:val="21"/>
                <w14:textFill>
                  <w14:solidFill>
                    <w14:schemeClr w14:val="tx1"/>
                  </w14:solidFill>
                </w14:textFill>
              </w:rPr>
              <w:t>可以提供相应资料得2分；无法提供不得分。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0" w:type="auto"/>
          </w:tcPr>
          <w:p>
            <w:pPr>
              <w:ind w:left="108"/>
              <w:rPr>
                <w:rFonts w:hint="eastAsia" w:ascii="仿宋" w:hAnsi="仿宋" w:eastAsia="仿宋" w:cs="仿宋"/>
                <w:bCs/>
                <w:color w:val="000000" w:themeColor="text1"/>
                <w:kern w:val="0"/>
                <w:sz w:val="21"/>
                <w:szCs w:val="21"/>
                <w14:textFill>
                  <w14:solidFill>
                    <w14:schemeClr w14:val="tx1"/>
                  </w14:solidFill>
                </w14:textFill>
              </w:rPr>
            </w:pPr>
          </w:p>
        </w:tc>
        <w:tc>
          <w:tcPr>
            <w:tcW w:w="0" w:type="auto"/>
            <w:vAlign w:val="center"/>
          </w:tcPr>
          <w:p>
            <w:pPr>
              <w:ind w:left="108"/>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3</w:t>
            </w:r>
          </w:p>
        </w:tc>
        <w:tc>
          <w:tcPr>
            <w:tcW w:w="0" w:type="auto"/>
            <w:vAlign w:val="center"/>
          </w:tcPr>
          <w:p>
            <w:pPr>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技术培训服务要求</w:t>
            </w:r>
          </w:p>
        </w:tc>
        <w:tc>
          <w:tcPr>
            <w:tcW w:w="0" w:type="auto"/>
            <w:vAlign w:val="center"/>
          </w:tcPr>
          <w:p>
            <w:pPr>
              <w:wordWrap w:val="0"/>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3</w:t>
            </w:r>
          </w:p>
        </w:tc>
        <w:tc>
          <w:tcPr>
            <w:tcW w:w="793" w:type="dxa"/>
            <w:vAlign w:val="center"/>
          </w:tcPr>
          <w:p>
            <w:pPr>
              <w:widowControl/>
              <w:jc w:val="cente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专家打分</w:t>
            </w:r>
          </w:p>
        </w:tc>
        <w:tc>
          <w:tcPr>
            <w:tcW w:w="5435" w:type="dxa"/>
            <w:vAlign w:val="center"/>
          </w:tcPr>
          <w:p>
            <w:pPr>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根据投标人提供的技术培训服务方案进行评审：</w:t>
            </w:r>
          </w:p>
          <w:p>
            <w:pPr>
              <w:pStyle w:val="6"/>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技术培训服务方案详细、完善、可行，得3分；</w:t>
            </w:r>
          </w:p>
          <w:p>
            <w:pPr>
              <w:pStyle w:val="6"/>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技术培训服务方案较为详细、完善、可行，得2分；技术培训服务方案不够详细、完善、可行，得1分；不提供技术培训服务方案，不得分。</w:t>
            </w:r>
          </w:p>
        </w:tc>
      </w:tr>
    </w:tbl>
    <w:p>
      <w:pPr>
        <w:pStyle w:val="20"/>
        <w:tabs>
          <w:tab w:val="left" w:pos="-166"/>
        </w:tabs>
        <w:kinsoku w:val="0"/>
        <w:wordWrap w:val="0"/>
        <w:topLinePunct/>
        <w:ind w:left="498" w:leftChars="150" w:firstLine="497" w:firstLineChars="190"/>
        <w:rPr>
          <w:rFonts w:hint="eastAsia" w:ascii="仿宋" w:hAnsi="仿宋" w:eastAsia="仿宋" w:cs="仿宋"/>
          <w:sz w:val="21"/>
          <w:szCs w:val="21"/>
        </w:rPr>
      </w:pPr>
    </w:p>
    <w:p>
      <w:pPr>
        <w:kinsoku w:val="0"/>
        <w:wordWrap w:val="0"/>
        <w:topLinePunct/>
        <w:rPr>
          <w:rFonts w:hint="eastAsia" w:ascii="仿宋" w:hAnsi="仿宋" w:eastAsia="仿宋" w:cs="仿宋"/>
          <w:b/>
          <w:sz w:val="21"/>
          <w:szCs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六、开标、评标、定标</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招标人可以接受投标货物中的任何一项、几项或全部，并有权在授予合同时改变订货的数量。</w:t>
      </w:r>
    </w:p>
    <w:p>
      <w:pPr>
        <w:kinsoku w:val="0"/>
        <w:wordWrap w:val="0"/>
        <w:topLinePunct/>
        <w:ind w:left="851" w:hanging="851"/>
        <w:rPr>
          <w:rFonts w:hint="eastAsia" w:ascii="仿宋" w:hAnsi="仿宋" w:eastAsia="仿宋" w:cs="仿宋"/>
          <w:b/>
          <w:sz w:val="21"/>
          <w:szCs w:val="21"/>
        </w:rPr>
      </w:pPr>
      <w:r>
        <w:rPr>
          <w:rFonts w:hint="eastAsia" w:ascii="仿宋" w:hAnsi="仿宋" w:eastAsia="仿宋" w:cs="仿宋"/>
          <w:b/>
          <w:sz w:val="21"/>
          <w:szCs w:val="21"/>
        </w:rPr>
        <w:t>七、评标过程的保密性</w:t>
      </w:r>
    </w:p>
    <w:p>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在评标过程中，如果投标人试图在投标文件审查、澄清、比较及授予合同方面向买方施加任何影响，其投标将被拒绝。</w:t>
      </w:r>
    </w:p>
    <w:p>
      <w:pPr>
        <w:kinsoku w:val="0"/>
        <w:wordWrap w:val="0"/>
        <w:topLinePunct/>
        <w:jc w:val="center"/>
        <w:rPr>
          <w:rFonts w:hint="eastAsia" w:ascii="仿宋" w:hAnsi="仿宋" w:eastAsia="仿宋" w:cs="仿宋"/>
          <w:b/>
          <w:sz w:val="32"/>
        </w:rPr>
      </w:pPr>
      <w:r>
        <w:rPr>
          <w:rFonts w:hint="eastAsia" w:ascii="仿宋" w:hAnsi="仿宋" w:eastAsia="仿宋" w:cs="仿宋"/>
          <w:b/>
          <w:sz w:val="32"/>
        </w:rPr>
        <w:t>第二部分  技术服务内容、技术指标要求等</w:t>
      </w:r>
    </w:p>
    <w:p>
      <w:pPr>
        <w:kinsoku w:val="0"/>
        <w:topLinePunct/>
        <w:rPr>
          <w:rFonts w:hint="eastAsia" w:ascii="仿宋" w:hAnsi="仿宋" w:eastAsia="仿宋" w:cs="仿宋"/>
          <w:b/>
          <w:sz w:val="32"/>
        </w:rPr>
      </w:pPr>
      <w:r>
        <w:rPr>
          <w:rFonts w:hint="eastAsia" w:ascii="仿宋" w:hAnsi="仿宋" w:eastAsia="仿宋" w:cs="仿宋"/>
          <w:b/>
          <w:sz w:val="32"/>
        </w:rPr>
        <w:t xml:space="preserve"> 预算：400000元</w:t>
      </w:r>
    </w:p>
    <w:p>
      <w:pPr>
        <w:spacing w:line="420" w:lineRule="exact"/>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技术要求中，凡标注有“▲”的地方为重要条款，但不作为废标条款，请供应商注意，必须实质性点对点响应；否则将严重影响技术评分。</w:t>
      </w:r>
    </w:p>
    <w:p>
      <w:pPr>
        <w:rPr>
          <w:rFonts w:hint="eastAsia" w:ascii="仿宋" w:hAnsi="仿宋" w:eastAsia="仿宋" w:cs="仿宋"/>
          <w:b/>
          <w:bCs/>
          <w:color w:val="000000" w:themeColor="text1"/>
          <w:sz w:val="21"/>
          <w:szCs w:val="21"/>
          <w14:textFill>
            <w14:solidFill>
              <w14:schemeClr w14:val="tx1"/>
            </w14:solidFill>
          </w14:textFill>
        </w:rPr>
      </w:pPr>
    </w:p>
    <w:p>
      <w:pP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（一）采购项目一览表</w:t>
      </w:r>
    </w:p>
    <w:tbl>
      <w:tblPr>
        <w:tblStyle w:val="26"/>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1"/>
        <w:gridCol w:w="1230"/>
        <w:gridCol w:w="1230"/>
        <w:gridCol w:w="123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04" w:type="dxa"/>
          </w:tcPr>
          <w:p>
            <w:pPr>
              <w:widowControl/>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序号</w:t>
            </w:r>
          </w:p>
        </w:tc>
        <w:tc>
          <w:tcPr>
            <w:tcW w:w="2031" w:type="dxa"/>
          </w:tcPr>
          <w:p>
            <w:pPr>
              <w:widowControl/>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需求内容</w:t>
            </w:r>
          </w:p>
        </w:tc>
        <w:tc>
          <w:tcPr>
            <w:tcW w:w="1230" w:type="dxa"/>
          </w:tcPr>
          <w:p>
            <w:pPr>
              <w:widowControl/>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使用期限</w:t>
            </w:r>
          </w:p>
        </w:tc>
        <w:tc>
          <w:tcPr>
            <w:tcW w:w="1230" w:type="dxa"/>
          </w:tcPr>
          <w:p>
            <w:pPr>
              <w:widowControl/>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服务期</w:t>
            </w:r>
          </w:p>
        </w:tc>
        <w:tc>
          <w:tcPr>
            <w:tcW w:w="1230" w:type="dxa"/>
          </w:tcPr>
          <w:p>
            <w:pPr>
              <w:widowControl/>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预算总价（万元）</w:t>
            </w:r>
          </w:p>
        </w:tc>
        <w:tc>
          <w:tcPr>
            <w:tcW w:w="1440" w:type="dxa"/>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主要服务要求</w:t>
            </w:r>
          </w:p>
        </w:tc>
        <w:tc>
          <w:tcPr>
            <w:tcW w:w="1080" w:type="dxa"/>
          </w:tcPr>
          <w:p>
            <w:pPr>
              <w:widowControl/>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入围家数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04" w:type="dxa"/>
          </w:tcPr>
          <w:p>
            <w:pPr>
              <w:widowControl/>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2031" w:type="dxa"/>
          </w:tcPr>
          <w:p>
            <w:pPr>
              <w:widowControl/>
              <w:ind w:firstLine="262" w:firstLineChars="10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临床医学题库</w:t>
            </w:r>
          </w:p>
        </w:tc>
        <w:tc>
          <w:tcPr>
            <w:tcW w:w="1230" w:type="dxa"/>
          </w:tcPr>
          <w:p>
            <w:pPr>
              <w:widowControl/>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永久</w:t>
            </w:r>
          </w:p>
        </w:tc>
        <w:tc>
          <w:tcPr>
            <w:tcW w:w="1230" w:type="dxa"/>
          </w:tcPr>
          <w:p>
            <w:pPr>
              <w:widowControl/>
              <w:jc w:val="center"/>
              <w:textAlignment w:val="center"/>
              <w:rPr>
                <w:rFonts w:hint="eastAsia" w:ascii="仿宋" w:hAnsi="仿宋" w:eastAsia="仿宋" w:cs="仿宋"/>
                <w:color w:val="000000" w:themeColor="text1"/>
                <w:sz w:val="21"/>
                <w:szCs w:val="21"/>
                <w:highlight w:val="yellow"/>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eastAsia="zh-Hans"/>
                <w14:textFill>
                  <w14:solidFill>
                    <w14:schemeClr w14:val="tx1"/>
                  </w14:solidFill>
                </w14:textFill>
              </w:rPr>
              <w:t>年</w:t>
            </w:r>
          </w:p>
        </w:tc>
        <w:tc>
          <w:tcPr>
            <w:tcW w:w="1230" w:type="dxa"/>
          </w:tcPr>
          <w:p>
            <w:pPr>
              <w:widowControl/>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40</w:t>
            </w:r>
          </w:p>
        </w:tc>
        <w:tc>
          <w:tcPr>
            <w:tcW w:w="1440" w:type="dxa"/>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详见具体招标要求</w:t>
            </w:r>
          </w:p>
        </w:tc>
        <w:tc>
          <w:tcPr>
            <w:tcW w:w="1080" w:type="dxa"/>
          </w:tcPr>
          <w:p>
            <w:pPr>
              <w:widowControl/>
              <w:jc w:val="center"/>
              <w:textAlignment w:val="center"/>
              <w:rPr>
                <w:rFonts w:hint="eastAsia" w:ascii="仿宋" w:hAnsi="仿宋" w:eastAsia="仿宋" w:cs="仿宋"/>
                <w:color w:val="000000" w:themeColor="text1"/>
                <w:sz w:val="21"/>
                <w:szCs w:val="21"/>
                <w:highlight w:val="yellow"/>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r>
    </w:tbl>
    <w:p>
      <w:pPr>
        <w:pStyle w:val="103"/>
        <w:ind w:firstLine="584"/>
        <w:rPr>
          <w:rFonts w:hint="eastAsia" w:ascii="仿宋" w:hAnsi="仿宋" w:eastAsia="仿宋" w:cs="仿宋"/>
          <w:sz w:val="21"/>
          <w:szCs w:val="21"/>
          <w:lang w:val="zh-CN"/>
        </w:rPr>
      </w:pPr>
      <w:r>
        <w:rPr>
          <w:rFonts w:hint="eastAsia" w:ascii="仿宋" w:hAnsi="仿宋" w:eastAsia="仿宋" w:cs="仿宋"/>
          <w:sz w:val="21"/>
          <w:szCs w:val="21"/>
          <w:lang w:val="zh-CN"/>
        </w:rPr>
        <w:t>1</w:t>
      </w:r>
      <w:r>
        <w:rPr>
          <w:rFonts w:hint="eastAsia" w:ascii="仿宋" w:hAnsi="仿宋" w:eastAsia="仿宋" w:cs="仿宋"/>
          <w:sz w:val="21"/>
          <w:szCs w:val="21"/>
        </w:rPr>
        <w:t>.</w:t>
      </w:r>
      <w:r>
        <w:rPr>
          <w:rFonts w:hint="eastAsia" w:ascii="仿宋" w:hAnsi="仿宋" w:eastAsia="仿宋" w:cs="仿宋"/>
          <w:sz w:val="21"/>
          <w:szCs w:val="21"/>
          <w:lang w:val="zh-CN"/>
        </w:rPr>
        <w:t>供应商所投题库必须是原装产品，并且符合该产品的出厂标准及国家质量要求标准。</w:t>
      </w:r>
    </w:p>
    <w:p>
      <w:pPr>
        <w:pStyle w:val="103"/>
        <w:ind w:firstLine="584"/>
        <w:rPr>
          <w:rFonts w:hint="eastAsia" w:ascii="仿宋" w:hAnsi="仿宋" w:eastAsia="仿宋" w:cs="仿宋"/>
          <w:sz w:val="21"/>
          <w:szCs w:val="21"/>
          <w:lang w:val="zh-CN"/>
        </w:rPr>
      </w:pPr>
      <w:r>
        <w:rPr>
          <w:rFonts w:hint="eastAsia" w:ascii="仿宋" w:hAnsi="仿宋" w:eastAsia="仿宋" w:cs="仿宋"/>
          <w:sz w:val="21"/>
          <w:szCs w:val="21"/>
          <w:lang w:val="zh-CN"/>
        </w:rPr>
        <w:t>2</w:t>
      </w:r>
      <w:r>
        <w:rPr>
          <w:rFonts w:hint="eastAsia" w:ascii="仿宋" w:hAnsi="仿宋" w:eastAsia="仿宋" w:cs="仿宋"/>
          <w:sz w:val="21"/>
          <w:szCs w:val="21"/>
        </w:rPr>
        <w:t>.</w:t>
      </w:r>
      <w:r>
        <w:rPr>
          <w:rFonts w:hint="eastAsia" w:ascii="仿宋" w:hAnsi="仿宋" w:eastAsia="仿宋" w:cs="仿宋"/>
          <w:sz w:val="21"/>
          <w:szCs w:val="21"/>
          <w:lang w:val="zh-CN"/>
        </w:rPr>
        <w:t>供应商的报价必须严格按照所采购的题库报价，多报或漏报视为无效响应。</w:t>
      </w:r>
    </w:p>
    <w:p>
      <w:pPr>
        <w:pStyle w:val="103"/>
        <w:ind w:firstLine="584"/>
        <w:rPr>
          <w:rFonts w:hint="eastAsia" w:ascii="仿宋" w:hAnsi="仿宋" w:eastAsia="仿宋" w:cs="仿宋"/>
          <w:sz w:val="21"/>
          <w:szCs w:val="21"/>
          <w:lang w:val="zh-CN"/>
        </w:rPr>
      </w:pPr>
      <w:r>
        <w:rPr>
          <w:rFonts w:hint="eastAsia" w:ascii="仿宋" w:hAnsi="仿宋" w:eastAsia="仿宋" w:cs="仿宋"/>
          <w:sz w:val="21"/>
          <w:szCs w:val="21"/>
        </w:rPr>
        <w:t>3.</w:t>
      </w:r>
      <w:r>
        <w:rPr>
          <w:rFonts w:hint="eastAsia" w:ascii="仿宋" w:hAnsi="仿宋" w:eastAsia="仿宋" w:cs="仿宋"/>
          <w:sz w:val="21"/>
          <w:szCs w:val="21"/>
          <w:lang w:val="zh-CN"/>
        </w:rPr>
        <w:t>报价一律以人民币报价，报价被视为供应商的最后报价或中标价，其中包括价格、税收、安装费、运杂费、检验、上门服务等一切费用。</w:t>
      </w:r>
    </w:p>
    <w:p>
      <w:pPr>
        <w:pStyle w:val="103"/>
        <w:ind w:firstLine="584"/>
        <w:rPr>
          <w:rFonts w:hint="eastAsia" w:ascii="仿宋" w:hAnsi="仿宋" w:eastAsia="仿宋" w:cs="仿宋"/>
          <w:sz w:val="21"/>
          <w:szCs w:val="21"/>
          <w:lang w:val="zh-CN"/>
        </w:rPr>
      </w:pPr>
      <w:r>
        <w:rPr>
          <w:rFonts w:hint="eastAsia" w:ascii="仿宋" w:hAnsi="仿宋" w:eastAsia="仿宋" w:cs="仿宋"/>
          <w:sz w:val="21"/>
          <w:szCs w:val="21"/>
        </w:rPr>
        <w:t>4.</w:t>
      </w:r>
      <w:r>
        <w:rPr>
          <w:rFonts w:hint="eastAsia" w:ascii="仿宋" w:hAnsi="仿宋" w:eastAsia="仿宋" w:cs="仿宋"/>
          <w:sz w:val="21"/>
          <w:szCs w:val="21"/>
          <w:lang w:val="zh-CN"/>
        </w:rPr>
        <w:t>成交供应商投标总价为签订合同价格（如总价与单价总计不一致，以总价为准）。在合同有效期内，合同价不受市场价格变化的影响。</w:t>
      </w:r>
    </w:p>
    <w:p>
      <w:pP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br w:type="page"/>
      </w:r>
    </w:p>
    <w:p>
      <w:pP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 xml:space="preserve">（二）详细技术要求  </w:t>
      </w:r>
    </w:p>
    <w:p>
      <w:pPr>
        <w:tabs>
          <w:tab w:val="left" w:pos="0"/>
          <w:tab w:val="left" w:pos="284"/>
        </w:tabs>
        <w:adjustRightInd w:val="0"/>
        <w:snapToGrid w:val="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一、临床医学专业题库要求</w:t>
      </w:r>
    </w:p>
    <w:p>
      <w:pPr>
        <w:ind w:firstLine="524"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▲1.产品需涵盖</w:t>
      </w:r>
      <w:r>
        <w:rPr>
          <w:rFonts w:hint="eastAsia" w:ascii="仿宋" w:hAnsi="仿宋" w:eastAsia="仿宋" w:cs="仿宋"/>
          <w:color w:val="000000" w:themeColor="text1"/>
          <w:sz w:val="21"/>
          <w:szCs w:val="21"/>
          <w14:textFill>
            <w14:solidFill>
              <w14:schemeClr w14:val="tx1"/>
            </w14:solidFill>
          </w14:textFill>
        </w:rPr>
        <w:t>临床医学</w:t>
      </w:r>
      <w:r>
        <w:rPr>
          <w:rFonts w:hint="eastAsia" w:ascii="仿宋" w:hAnsi="仿宋" w:eastAsia="仿宋" w:cs="仿宋"/>
          <w:color w:val="000000" w:themeColor="text1"/>
          <w:sz w:val="21"/>
          <w:szCs w:val="21"/>
          <w:lang w:val="zh-CN"/>
          <w14:textFill>
            <w14:solidFill>
              <w14:schemeClr w14:val="tx1"/>
            </w14:solidFill>
          </w14:textFill>
        </w:rPr>
        <w:t>学科不低于</w:t>
      </w:r>
      <w:r>
        <w:rPr>
          <w:rFonts w:hint="eastAsia" w:ascii="仿宋" w:hAnsi="仿宋" w:eastAsia="仿宋" w:cs="仿宋"/>
          <w:color w:val="000000" w:themeColor="text1"/>
          <w:sz w:val="21"/>
          <w:szCs w:val="21"/>
          <w14:textFill>
            <w14:solidFill>
              <w14:schemeClr w14:val="tx1"/>
            </w14:solidFill>
          </w14:textFill>
        </w:rPr>
        <w:t>45</w:t>
      </w:r>
      <w:r>
        <w:rPr>
          <w:rFonts w:hint="eastAsia" w:ascii="仿宋" w:hAnsi="仿宋" w:eastAsia="仿宋" w:cs="仿宋"/>
          <w:color w:val="000000" w:themeColor="text1"/>
          <w:sz w:val="21"/>
          <w:szCs w:val="21"/>
          <w:lang w:val="zh-CN"/>
          <w14:textFill>
            <w14:solidFill>
              <w14:schemeClr w14:val="tx1"/>
            </w14:solidFill>
          </w14:textFill>
        </w:rPr>
        <w:t>个学科。必须包含以下学科：</w:t>
      </w:r>
    </w:p>
    <w:tbl>
      <w:tblPr>
        <w:tblStyle w:val="25"/>
        <w:tblW w:w="8429" w:type="dxa"/>
        <w:tblInd w:w="93" w:type="dxa"/>
        <w:tblLayout w:type="autofit"/>
        <w:tblCellMar>
          <w:top w:w="0" w:type="dxa"/>
          <w:left w:w="108" w:type="dxa"/>
          <w:bottom w:w="0" w:type="dxa"/>
          <w:right w:w="108" w:type="dxa"/>
        </w:tblCellMar>
      </w:tblPr>
      <w:tblGrid>
        <w:gridCol w:w="1149"/>
        <w:gridCol w:w="2835"/>
        <w:gridCol w:w="1276"/>
        <w:gridCol w:w="3169"/>
      </w:tblGrid>
      <w:tr>
        <w:tblPrEx>
          <w:tblCellMar>
            <w:top w:w="0" w:type="dxa"/>
            <w:left w:w="108" w:type="dxa"/>
            <w:bottom w:w="0" w:type="dxa"/>
            <w:right w:w="108" w:type="dxa"/>
          </w:tblCellMar>
        </w:tblPrEx>
        <w:trPr>
          <w:trHeight w:val="27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283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学科</w:t>
            </w:r>
          </w:p>
        </w:tc>
        <w:tc>
          <w:tcPr>
            <w:tcW w:w="127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3169" w:type="dxa"/>
            <w:tcBorders>
              <w:top w:val="single" w:color="auto" w:sz="4" w:space="0"/>
              <w:left w:val="nil"/>
              <w:bottom w:val="single" w:color="auto" w:sz="4" w:space="0"/>
              <w:right w:val="single" w:color="auto" w:sz="4" w:space="0"/>
            </w:tcBorders>
          </w:tcPr>
          <w:p>
            <w:pPr>
              <w:widowControl/>
              <w:jc w:val="left"/>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学科</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系统解剖学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耳鼻咽喉头颈外科学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局部解剖学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口腔科学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组织学与胚胎学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皮肤性病学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生物化学与分子生物学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核医学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生理学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流行病学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医学微生物学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卫生学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人体寄生虫学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中医学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医学免疫学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医学细胞生物学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病理学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医学遗传学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病理生理学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临床药理学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药理学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医学统计学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医学心理学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医学伦理学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法医学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临床流行病学与循证医学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诊断学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康复医学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医学影像学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医学文献检索与论文写作</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内科学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卫生法</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外科学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医学导论</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妇产科学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全科医学概论</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儿科学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麻醉学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神经病学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急诊与灾难医学</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精神病学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医患沟通</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传染病学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w:t>
            </w:r>
          </w:p>
        </w:tc>
        <w:tc>
          <w:tcPr>
            <w:tcW w:w="316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肿瘤学概论</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眼科学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21"/>
                <w:szCs w:val="21"/>
              </w:rPr>
            </w:pPr>
          </w:p>
        </w:tc>
        <w:tc>
          <w:tcPr>
            <w:tcW w:w="3169" w:type="dxa"/>
            <w:tcBorders>
              <w:top w:val="nil"/>
              <w:left w:val="nil"/>
              <w:bottom w:val="single" w:color="auto" w:sz="4" w:space="0"/>
              <w:right w:val="single" w:color="auto" w:sz="4" w:space="0"/>
            </w:tcBorders>
          </w:tcPr>
          <w:p>
            <w:pPr>
              <w:widowControl/>
              <w:jc w:val="right"/>
              <w:rPr>
                <w:rFonts w:hint="eastAsia" w:ascii="仿宋" w:hAnsi="仿宋" w:eastAsia="仿宋" w:cs="仿宋"/>
                <w:color w:val="000000"/>
                <w:kern w:val="0"/>
                <w:sz w:val="21"/>
                <w:szCs w:val="21"/>
              </w:rPr>
            </w:pPr>
          </w:p>
        </w:tc>
      </w:tr>
    </w:tbl>
    <w:p>
      <w:pPr>
        <w:rPr>
          <w:rFonts w:hint="eastAsia" w:ascii="仿宋" w:hAnsi="仿宋" w:eastAsia="仿宋" w:cs="仿宋"/>
          <w:color w:val="000000" w:themeColor="text1"/>
          <w:sz w:val="21"/>
          <w:szCs w:val="21"/>
          <w14:textFill>
            <w14:solidFill>
              <w14:schemeClr w14:val="tx1"/>
            </w14:solidFill>
          </w14:textFill>
        </w:rPr>
      </w:pPr>
    </w:p>
    <w:p>
      <w:pPr>
        <w:ind w:firstLine="524" w:firstLineChars="200"/>
        <w:rPr>
          <w:rFonts w:hint="eastAsia" w:ascii="仿宋" w:hAnsi="仿宋" w:eastAsia="仿宋" w:cs="仿宋"/>
          <w:sz w:val="21"/>
          <w:szCs w:val="21"/>
          <w:lang w:val="zh-CN"/>
        </w:rPr>
      </w:pPr>
      <w:r>
        <w:rPr>
          <w:rFonts w:hint="eastAsia" w:ascii="仿宋" w:hAnsi="仿宋" w:eastAsia="仿宋" w:cs="仿宋"/>
          <w:sz w:val="21"/>
          <w:szCs w:val="21"/>
          <w:lang w:val="zh-CN"/>
        </w:rPr>
        <w:t>▲</w:t>
      </w:r>
      <w:r>
        <w:rPr>
          <w:rFonts w:hint="eastAsia" w:ascii="仿宋" w:hAnsi="仿宋" w:eastAsia="仿宋" w:cs="仿宋"/>
          <w:sz w:val="21"/>
          <w:szCs w:val="21"/>
        </w:rPr>
        <w:t>2.</w:t>
      </w:r>
      <w:r>
        <w:rPr>
          <w:rFonts w:hint="eastAsia" w:ascii="仿宋" w:hAnsi="仿宋" w:eastAsia="仿宋" w:cs="仿宋"/>
          <w:sz w:val="21"/>
          <w:szCs w:val="21"/>
          <w:lang w:val="zh-CN"/>
        </w:rPr>
        <w:t>题库必须具有软件著作权，</w:t>
      </w:r>
      <w:r>
        <w:rPr>
          <w:rFonts w:hint="eastAsia" w:ascii="仿宋" w:hAnsi="仿宋" w:eastAsia="仿宋" w:cs="仿宋"/>
          <w:sz w:val="21"/>
          <w:szCs w:val="21"/>
        </w:rPr>
        <w:t>具</w:t>
      </w:r>
      <w:r>
        <w:rPr>
          <w:rFonts w:hint="eastAsia" w:ascii="仿宋" w:hAnsi="仿宋" w:eastAsia="仿宋" w:cs="仿宋"/>
          <w:sz w:val="21"/>
          <w:szCs w:val="21"/>
          <w:lang w:val="zh-CN"/>
        </w:rPr>
        <w:t>有医学教育题库在线版计算机软件著作权登记证书。</w:t>
      </w:r>
      <w:r>
        <w:rPr>
          <w:rFonts w:hint="eastAsia" w:ascii="仿宋" w:hAnsi="仿宋" w:eastAsia="仿宋" w:cs="仿宋"/>
          <w:sz w:val="21"/>
          <w:szCs w:val="21"/>
          <w:lang w:eastAsia="zh-Hans"/>
        </w:rPr>
        <w:t>需提供证明文件。</w:t>
      </w:r>
    </w:p>
    <w:p>
      <w:pPr>
        <w:ind w:firstLine="524" w:firstLineChars="200"/>
        <w:rPr>
          <w:rFonts w:hint="eastAsia" w:ascii="仿宋" w:hAnsi="仿宋" w:eastAsia="仿宋" w:cs="仿宋"/>
          <w:sz w:val="21"/>
          <w:szCs w:val="21"/>
          <w:lang w:eastAsia="zh-Hans"/>
        </w:rPr>
      </w:pPr>
      <w:r>
        <w:rPr>
          <w:rFonts w:hint="eastAsia" w:ascii="仿宋" w:hAnsi="仿宋" w:eastAsia="仿宋" w:cs="仿宋"/>
          <w:sz w:val="21"/>
          <w:szCs w:val="21"/>
          <w:lang w:val="zh-CN"/>
        </w:rPr>
        <w:t>▲</w:t>
      </w:r>
      <w:r>
        <w:rPr>
          <w:rFonts w:hint="eastAsia" w:ascii="仿宋" w:hAnsi="仿宋" w:eastAsia="仿宋" w:cs="仿宋"/>
          <w:sz w:val="21"/>
          <w:szCs w:val="21"/>
        </w:rPr>
        <w:t>3.题库</w:t>
      </w:r>
      <w:r>
        <w:rPr>
          <w:rFonts w:hint="eastAsia" w:ascii="仿宋" w:hAnsi="仿宋" w:eastAsia="仿宋" w:cs="仿宋"/>
          <w:sz w:val="21"/>
          <w:szCs w:val="21"/>
          <w:lang w:eastAsia="zh-Hans"/>
        </w:rPr>
        <w:t>必须显示国家级标准，项目得到国家的支持，获得省部级</w:t>
      </w:r>
      <w:r>
        <w:rPr>
          <w:rFonts w:hint="eastAsia" w:ascii="仿宋" w:hAnsi="仿宋" w:eastAsia="仿宋" w:cs="仿宋"/>
          <w:sz w:val="21"/>
          <w:szCs w:val="21"/>
        </w:rPr>
        <w:t>及以上级别</w:t>
      </w:r>
      <w:r>
        <w:rPr>
          <w:rFonts w:hint="eastAsia" w:ascii="仿宋" w:hAnsi="仿宋" w:eastAsia="仿宋" w:cs="仿宋"/>
          <w:sz w:val="21"/>
          <w:szCs w:val="21"/>
          <w:lang w:eastAsia="zh-Hans"/>
        </w:rPr>
        <w:t>财政资金。需提供证明文件。</w:t>
      </w:r>
    </w:p>
    <w:p>
      <w:pPr>
        <w:ind w:firstLine="524" w:firstLineChars="200"/>
        <w:rPr>
          <w:rFonts w:hint="eastAsia" w:ascii="仿宋" w:hAnsi="仿宋" w:eastAsia="仿宋" w:cs="仿宋"/>
          <w:sz w:val="21"/>
          <w:szCs w:val="21"/>
          <w:lang w:val="zh-CN"/>
        </w:rPr>
      </w:pPr>
      <w:r>
        <w:rPr>
          <w:rFonts w:hint="eastAsia" w:ascii="仿宋" w:hAnsi="仿宋" w:eastAsia="仿宋" w:cs="仿宋"/>
          <w:sz w:val="21"/>
          <w:szCs w:val="21"/>
        </w:rPr>
        <w:t>▲4.</w:t>
      </w:r>
      <w:r>
        <w:rPr>
          <w:rFonts w:hint="eastAsia" w:ascii="仿宋" w:hAnsi="仿宋" w:eastAsia="仿宋" w:cs="仿宋"/>
          <w:sz w:val="21"/>
          <w:szCs w:val="21"/>
          <w:lang w:eastAsia="zh-Hans"/>
        </w:rPr>
        <w:t>产品需有不少于30家医学院校参与评估和测试，并且需提供书面评测报告</w:t>
      </w:r>
      <w:r>
        <w:rPr>
          <w:rFonts w:hint="eastAsia" w:ascii="仿宋" w:hAnsi="仿宋" w:eastAsia="仿宋" w:cs="仿宋"/>
          <w:sz w:val="21"/>
          <w:szCs w:val="21"/>
          <w:lang w:val="zh-CN"/>
        </w:rPr>
        <w:t>。</w:t>
      </w:r>
    </w:p>
    <w:p>
      <w:pPr>
        <w:ind w:firstLine="524" w:firstLineChars="200"/>
        <w:rPr>
          <w:rFonts w:hint="eastAsia" w:ascii="仿宋" w:hAnsi="仿宋" w:eastAsia="仿宋" w:cs="仿宋"/>
          <w:sz w:val="21"/>
          <w:szCs w:val="21"/>
          <w:lang w:eastAsia="zh-Hans"/>
        </w:rPr>
      </w:pPr>
      <w:r>
        <w:rPr>
          <w:rFonts w:hint="eastAsia" w:ascii="仿宋" w:hAnsi="仿宋" w:eastAsia="仿宋" w:cs="仿宋"/>
          <w:sz w:val="21"/>
          <w:szCs w:val="21"/>
          <w:lang w:val="zh-CN"/>
        </w:rPr>
        <w:t>▲</w:t>
      </w:r>
      <w:r>
        <w:rPr>
          <w:rFonts w:hint="eastAsia" w:ascii="仿宋" w:hAnsi="仿宋" w:eastAsia="仿宋" w:cs="仿宋"/>
          <w:sz w:val="21"/>
          <w:szCs w:val="21"/>
        </w:rPr>
        <w:t>5.</w:t>
      </w:r>
      <w:r>
        <w:rPr>
          <w:rFonts w:hint="eastAsia" w:ascii="仿宋" w:hAnsi="仿宋" w:eastAsia="仿宋" w:cs="仿宋"/>
          <w:sz w:val="21"/>
          <w:szCs w:val="21"/>
          <w:lang w:eastAsia="zh-Hans"/>
        </w:rPr>
        <w:t>参与产品编写的机构不得低于60个。需提供证明文件。</w:t>
      </w:r>
    </w:p>
    <w:p>
      <w:pPr>
        <w:ind w:firstLine="524" w:firstLineChars="200"/>
        <w:rPr>
          <w:rFonts w:hint="eastAsia" w:ascii="仿宋" w:hAnsi="仿宋" w:eastAsia="仿宋" w:cs="仿宋"/>
          <w:sz w:val="21"/>
          <w:szCs w:val="21"/>
          <w:lang w:val="zh-CN"/>
        </w:rPr>
      </w:pPr>
      <w:r>
        <w:rPr>
          <w:rFonts w:hint="eastAsia" w:ascii="仿宋" w:hAnsi="仿宋" w:eastAsia="仿宋" w:cs="仿宋"/>
          <w:sz w:val="21"/>
          <w:szCs w:val="21"/>
          <w:lang w:val="zh-CN"/>
        </w:rPr>
        <w:t>▲</w:t>
      </w:r>
      <w:r>
        <w:rPr>
          <w:rFonts w:hint="eastAsia" w:ascii="仿宋" w:hAnsi="仿宋" w:eastAsia="仿宋" w:cs="仿宋"/>
          <w:sz w:val="21"/>
          <w:szCs w:val="21"/>
        </w:rPr>
        <w:t>6.为支持教考分离，产品需区分为考试考核题库和日常教学题库两种，两种题库试题需完全分离。</w:t>
      </w:r>
      <w:r>
        <w:rPr>
          <w:rFonts w:hint="eastAsia" w:ascii="仿宋" w:hAnsi="仿宋" w:eastAsia="仿宋" w:cs="仿宋"/>
          <w:sz w:val="21"/>
          <w:szCs w:val="21"/>
          <w:lang w:val="zh-CN"/>
        </w:rPr>
        <w:t>题库分类</w:t>
      </w:r>
    </w:p>
    <w:p>
      <w:pPr>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（1）一类题库</w:t>
      </w:r>
    </w:p>
    <w:p>
      <w:pPr>
        <w:pStyle w:val="110"/>
        <w:ind w:firstLine="524"/>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为教务管理部门提供终结性教学评价服务</w:t>
      </w:r>
    </w:p>
    <w:p>
      <w:pPr>
        <w:pStyle w:val="110"/>
        <w:ind w:firstLine="524"/>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经过充分测试，难度参数稳定可信</w:t>
      </w:r>
    </w:p>
    <w:p>
      <w:pPr>
        <w:pStyle w:val="110"/>
        <w:ind w:firstLine="524"/>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组织期末考试、理论综合、毕业综合考试</w:t>
      </w:r>
    </w:p>
    <w:p>
      <w:pPr>
        <w:pStyle w:val="110"/>
        <w:ind w:firstLine="524"/>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开展执业资格模拟考试</w:t>
      </w:r>
    </w:p>
    <w:p>
      <w:pPr>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（2）二类题库</w:t>
      </w:r>
    </w:p>
    <w:p>
      <w:pPr>
        <w:pStyle w:val="110"/>
        <w:ind w:firstLine="524"/>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为教师提供日常教学中的形成性评价服务</w:t>
      </w:r>
    </w:p>
    <w:p>
      <w:pPr>
        <w:pStyle w:val="110"/>
        <w:ind w:firstLine="524"/>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题型更丰富，涵盖知识点更全面</w:t>
      </w:r>
    </w:p>
    <w:p>
      <w:pPr>
        <w:pStyle w:val="110"/>
        <w:ind w:firstLine="524"/>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教师用于布置课前预习作业、开展课堂随堂测试、布置课后复习作业</w:t>
      </w:r>
    </w:p>
    <w:p>
      <w:pPr>
        <w:pStyle w:val="110"/>
        <w:ind w:firstLine="524"/>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针对执业资格考试知识薄弱环节，进行强化训练</w:t>
      </w:r>
    </w:p>
    <w:p>
      <w:pPr>
        <w:ind w:firstLine="524" w:firstLineChars="200"/>
        <w:rPr>
          <w:rFonts w:hint="eastAsia" w:ascii="仿宋" w:hAnsi="仿宋" w:eastAsia="仿宋" w:cs="仿宋"/>
          <w:sz w:val="21"/>
          <w:szCs w:val="21"/>
          <w:lang w:val="zh-CN"/>
        </w:rPr>
      </w:pPr>
      <w:r>
        <w:rPr>
          <w:rFonts w:hint="eastAsia" w:ascii="仿宋" w:hAnsi="仿宋" w:eastAsia="仿宋" w:cs="仿宋"/>
          <w:sz w:val="21"/>
          <w:szCs w:val="21"/>
          <w:lang w:val="zh-CN"/>
        </w:rPr>
        <w:t>▲</w:t>
      </w:r>
      <w:r>
        <w:rPr>
          <w:rFonts w:hint="eastAsia" w:ascii="仿宋" w:hAnsi="仿宋" w:eastAsia="仿宋" w:cs="仿宋"/>
          <w:sz w:val="21"/>
          <w:szCs w:val="21"/>
        </w:rPr>
        <w:t>7</w:t>
      </w:r>
      <w:r>
        <w:rPr>
          <w:rFonts w:hint="eastAsia" w:ascii="仿宋" w:hAnsi="仿宋" w:eastAsia="仿宋" w:cs="仿宋"/>
          <w:sz w:val="21"/>
          <w:szCs w:val="21"/>
          <w:lang w:eastAsia="zh-Hans"/>
        </w:rPr>
        <w:t>.</w:t>
      </w:r>
      <w:r>
        <w:rPr>
          <w:rFonts w:hint="eastAsia" w:ascii="仿宋" w:hAnsi="仿宋" w:eastAsia="仿宋" w:cs="仿宋"/>
          <w:color w:val="000000" w:themeColor="text1"/>
          <w:sz w:val="21"/>
          <w:szCs w:val="21"/>
          <w:lang w:val="zh-CN"/>
          <w14:textFill>
            <w14:solidFill>
              <w14:schemeClr w14:val="tx1"/>
            </w14:solidFill>
          </w14:textFill>
        </w:rPr>
        <w:t>题库需要同时具备局域网版和在线版。</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sz w:val="21"/>
          <w:szCs w:val="21"/>
          <w:lang w:val="zh-CN"/>
        </w:rPr>
        <w:t>▲</w:t>
      </w:r>
      <w:r>
        <w:rPr>
          <w:rFonts w:hint="eastAsia" w:ascii="仿宋" w:hAnsi="仿宋" w:eastAsia="仿宋" w:cs="仿宋"/>
          <w:sz w:val="21"/>
          <w:szCs w:val="21"/>
        </w:rPr>
        <w:t>8</w:t>
      </w:r>
      <w:r>
        <w:rPr>
          <w:rFonts w:hint="eastAsia" w:ascii="仿宋" w:hAnsi="仿宋" w:eastAsia="仿宋" w:cs="仿宋"/>
          <w:sz w:val="21"/>
          <w:szCs w:val="21"/>
          <w:lang w:eastAsia="zh-Hans"/>
        </w:rPr>
        <w:t>.题库</w:t>
      </w:r>
      <w:r>
        <w:rPr>
          <w:rFonts w:hint="eastAsia" w:ascii="仿宋" w:hAnsi="仿宋" w:eastAsia="仿宋" w:cs="仿宋"/>
          <w:color w:val="000000" w:themeColor="text1"/>
          <w:sz w:val="21"/>
          <w:szCs w:val="21"/>
          <w:lang w:val="zh-CN"/>
          <w14:textFill>
            <w14:solidFill>
              <w14:schemeClr w14:val="tx1"/>
            </w14:solidFill>
          </w14:textFill>
        </w:rPr>
        <w:t>具备以下功能</w:t>
      </w:r>
    </w:p>
    <w:tbl>
      <w:tblPr>
        <w:tblStyle w:val="26"/>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5"/>
        <w:gridCol w:w="196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shd w:val="clear" w:color="auto" w:fill="D8D8D8"/>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功能描述</w:t>
            </w:r>
          </w:p>
        </w:tc>
        <w:tc>
          <w:tcPr>
            <w:tcW w:w="1962" w:type="dxa"/>
            <w:tcBorders>
              <w:top w:val="single" w:color="000000" w:sz="4" w:space="0"/>
              <w:left w:val="single" w:color="000000" w:sz="4" w:space="0"/>
              <w:bottom w:val="single" w:color="000000" w:sz="4" w:space="0"/>
              <w:right w:val="single" w:color="000000" w:sz="4" w:space="0"/>
            </w:tcBorders>
            <w:shd w:val="clear" w:color="auto" w:fill="D8D8D8"/>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局域网版</w:t>
            </w:r>
          </w:p>
        </w:tc>
        <w:tc>
          <w:tcPr>
            <w:tcW w:w="1843" w:type="dxa"/>
            <w:tcBorders>
              <w:top w:val="single" w:color="000000" w:sz="4" w:space="0"/>
              <w:left w:val="single" w:color="000000" w:sz="4" w:space="0"/>
              <w:bottom w:val="single" w:color="000000" w:sz="4" w:space="0"/>
              <w:right w:val="single" w:color="000000" w:sz="4" w:space="0"/>
            </w:tcBorders>
            <w:shd w:val="clear" w:color="auto" w:fill="D8D8D8"/>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在线版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手机APP操作</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PC操作</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院校私有题库功能</w:t>
            </w:r>
          </w:p>
        </w:tc>
        <w:tc>
          <w:tcPr>
            <w:tcW w:w="1962" w:type="dxa"/>
            <w:vMerge w:val="restart"/>
            <w:tcBorders>
              <w:top w:val="single" w:color="000000" w:sz="4" w:space="0"/>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p>
            <w:pPr>
              <w:tabs>
                <w:tab w:val="left" w:pos="0"/>
                <w:tab w:val="left" w:pos="284"/>
              </w:tabs>
              <w:adjustRightInd w:val="0"/>
              <w:snapToGrid w:val="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可在在线版完成后，从在线版导入</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私有题库试题编写录入功能</w:t>
            </w:r>
          </w:p>
        </w:tc>
        <w:tc>
          <w:tcPr>
            <w:tcW w:w="1962" w:type="dxa"/>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私有题库试题批量导入功能</w:t>
            </w:r>
          </w:p>
        </w:tc>
        <w:tc>
          <w:tcPr>
            <w:tcW w:w="1962" w:type="dxa"/>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私有题库深度标引功能</w:t>
            </w:r>
          </w:p>
        </w:tc>
        <w:tc>
          <w:tcPr>
            <w:tcW w:w="1962" w:type="dxa"/>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入库试题自动查重功能</w:t>
            </w:r>
          </w:p>
        </w:tc>
        <w:tc>
          <w:tcPr>
            <w:tcW w:w="1962" w:type="dxa"/>
            <w:vMerge w:val="continue"/>
            <w:tcBorders>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私有试题单独组卷功能</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私有题库与题库混合组卷功能</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手动组卷功能</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按条件自动组卷功能</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不支持，可由在线版导入试卷</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试卷分析功能</w:t>
            </w:r>
          </w:p>
        </w:tc>
        <w:tc>
          <w:tcPr>
            <w:tcW w:w="1962" w:type="dxa"/>
            <w:vMerge w:val="restart"/>
            <w:tcBorders>
              <w:top w:val="single" w:color="000000" w:sz="4" w:space="0"/>
              <w:left w:val="single" w:color="000000" w:sz="4" w:space="0"/>
              <w:right w:val="single" w:color="000000" w:sz="4" w:space="0"/>
            </w:tcBorders>
            <w:vAlign w:val="center"/>
          </w:tcPr>
          <w:p>
            <w:pPr>
              <w:tabs>
                <w:tab w:val="left" w:pos="0"/>
                <w:tab w:val="left" w:pos="284"/>
              </w:tabs>
              <w:adjustRightInd w:val="0"/>
              <w:snapToGrid w:val="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需回传在线版进行分析</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成绩分析功能</w:t>
            </w:r>
          </w:p>
        </w:tc>
        <w:tc>
          <w:tcPr>
            <w:tcW w:w="1962" w:type="dxa"/>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试题分析功能</w:t>
            </w:r>
          </w:p>
        </w:tc>
        <w:tc>
          <w:tcPr>
            <w:tcW w:w="1962" w:type="dxa"/>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可视化评测报告功能（考试考核题库试题可导出PDF）</w:t>
            </w:r>
          </w:p>
        </w:tc>
        <w:tc>
          <w:tcPr>
            <w:tcW w:w="1962" w:type="dxa"/>
            <w:vMerge w:val="continue"/>
            <w:tcBorders>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试卷授权功能（答题时间，成绩显示等设置）</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试题收藏功能</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机构错题库功能</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考试考核题库试题防作弊PC客户端</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主观题在线答题</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主观题在线阅卷</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PC端答题记录学生登录IP</w:t>
            </w:r>
          </w:p>
        </w:tc>
        <w:tc>
          <w:tcPr>
            <w:tcW w:w="1962"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bl>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w:t>
      </w:r>
      <w:r>
        <w:rPr>
          <w:rFonts w:hint="eastAsia" w:ascii="仿宋" w:hAnsi="仿宋" w:eastAsia="仿宋" w:cs="仿宋"/>
          <w:color w:val="000000" w:themeColor="text1"/>
          <w:sz w:val="21"/>
          <w:szCs w:val="21"/>
          <w:lang w:val="zh-CN"/>
          <w14:textFill>
            <w14:solidFill>
              <w14:schemeClr w14:val="tx1"/>
            </w14:solidFill>
          </w14:textFill>
        </w:rPr>
        <w:t>题库功能分为考试考核题库教师端功能、日常教学题库教师端功能、学生端功能，具体要求如下</w:t>
      </w:r>
    </w:p>
    <w:p>
      <w:pPr>
        <w:rPr>
          <w:rFonts w:hint="eastAsia" w:ascii="仿宋" w:hAnsi="仿宋" w:eastAsia="仿宋" w:cs="仿宋"/>
          <w:b/>
          <w:bCs/>
          <w:color w:val="000000" w:themeColor="text1"/>
          <w:sz w:val="21"/>
          <w:szCs w:val="21"/>
          <w:lang w:val="zh-CN"/>
          <w14:textFill>
            <w14:solidFill>
              <w14:schemeClr w14:val="tx1"/>
            </w14:solidFill>
          </w14:textFill>
        </w:rPr>
      </w:pPr>
      <w:r>
        <w:rPr>
          <w:rFonts w:hint="eastAsia" w:ascii="仿宋" w:hAnsi="仿宋" w:eastAsia="仿宋" w:cs="仿宋"/>
          <w:b/>
          <w:bCs/>
          <w:color w:val="000000" w:themeColor="text1"/>
          <w:sz w:val="21"/>
          <w:szCs w:val="21"/>
          <w:lang w:val="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三</w:t>
      </w:r>
      <w:r>
        <w:rPr>
          <w:rFonts w:hint="eastAsia" w:ascii="仿宋" w:hAnsi="仿宋" w:eastAsia="仿宋" w:cs="仿宋"/>
          <w:b/>
          <w:bCs/>
          <w:color w:val="000000" w:themeColor="text1"/>
          <w:sz w:val="21"/>
          <w:szCs w:val="21"/>
          <w:lang w:val="zh-CN"/>
          <w14:textFill>
            <w14:solidFill>
              <w14:schemeClr w14:val="tx1"/>
            </w14:solidFill>
          </w14:textFill>
        </w:rPr>
        <w:t>）考试考核题库教师端功能</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教师端考试考核题库和日常教学题库可独立分开使用，考试考核题库能满足院校终结性评价（期中、期末考试等），用户考试考核题库试题使用权限均由管理员授权控制</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1.组卷功能</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（1）手动组卷</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（2）合并试卷</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2.考试管理</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可发布、删除、修改考试</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3.具有防作弊措施及查看答案设置</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（1）试题、试题选项可随机排序</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（2）可自定义是否允许学生查看答案、试题以及查看答案时间</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4.数据导入</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可导入院校在线版数据：包括试题、试卷、用户数据</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5.数据导出：</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可导出考试答题数据，上传至在线版进行答题数据分析</w:t>
      </w:r>
    </w:p>
    <w:p>
      <w:pPr>
        <w:rPr>
          <w:rFonts w:hint="eastAsia" w:ascii="仿宋" w:hAnsi="仿宋" w:eastAsia="仿宋" w:cs="仿宋"/>
          <w:b/>
          <w:bCs/>
          <w:color w:val="000000" w:themeColor="text1"/>
          <w:sz w:val="21"/>
          <w:szCs w:val="21"/>
          <w:lang w:val="zh-CN"/>
          <w14:textFill>
            <w14:solidFill>
              <w14:schemeClr w14:val="tx1"/>
            </w14:solidFill>
          </w14:textFill>
        </w:rPr>
      </w:pPr>
      <w:r>
        <w:rPr>
          <w:rFonts w:hint="eastAsia" w:ascii="仿宋" w:hAnsi="仿宋" w:eastAsia="仿宋" w:cs="仿宋"/>
          <w:b/>
          <w:bCs/>
          <w:color w:val="000000" w:themeColor="text1"/>
          <w:sz w:val="21"/>
          <w:szCs w:val="21"/>
          <w:lang w:val="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四</w:t>
      </w:r>
      <w:r>
        <w:rPr>
          <w:rFonts w:hint="eastAsia" w:ascii="仿宋" w:hAnsi="仿宋" w:eastAsia="仿宋" w:cs="仿宋"/>
          <w:b/>
          <w:bCs/>
          <w:color w:val="000000" w:themeColor="text1"/>
          <w:sz w:val="21"/>
          <w:szCs w:val="21"/>
          <w:lang w:val="zh-CN"/>
          <w14:textFill>
            <w14:solidFill>
              <w14:schemeClr w14:val="tx1"/>
            </w14:solidFill>
          </w14:textFill>
        </w:rPr>
        <w:t>）日常教学题库教师端功能</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教师端考试考核题库和日常教学题库可独立分开使用，日常教学题库满足日常教学形成性评价（课堂测试、课后练习），满足院校不同使用场景，实现教考分离。用户日常教学题库使用权限均由管理员授权控制</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1.组卷功能</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可进行多种组卷策略、支持平台试题、私有题库独立组卷，也支持私有试题与平台试题混合组卷</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 xml:space="preserve">（1）手动组卷 </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（2）智能组卷</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（3）合并试卷</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（4）组卷条件复用</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2.考试、作业管理</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可发布、删除、修改考试、作业</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3.防作弊措施及查看答案设置</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（1）试题、试题选项可随机排序</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（2）可自定义是否允许学生查看答案、试题以及查看答案时间</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4.阅卷管理，客观题系统自动阅卷</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5.考试、作业分析</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可进行多维度的考试数据分析，能够图表可视化呈现。</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（1）成绩分析</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（2）试卷分析</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（3）试题分析</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6.机构错题库</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可将院校机构学生考试答题的错题进行汇总分析，图表可视化呈现，可以直观地了解各学科的薄弱环节</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7.私有题库管理</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院校可以组建院校私有题库，通过私有题库进行私有试题管理。支持单题在线录入，excel导入，提供试题查重功能</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8.系统管理（管理员）</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（1）用户管理：支持excel批量导入</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（2）权限管理</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（3）组织机构管理</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（4）角色管理</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9.在线版数据导出到局域网版中</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包括用户数据、试题、试卷等，可打入到局域网版中使用</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10.局域网版考试答题数据回传</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局域网版考试答题数据回传至在线版，可查看详细的考试分析结果</w:t>
      </w:r>
    </w:p>
    <w:p>
      <w:pPr>
        <w:rPr>
          <w:rFonts w:hint="eastAsia" w:ascii="仿宋" w:hAnsi="仿宋" w:eastAsia="仿宋" w:cs="仿宋"/>
          <w:b/>
          <w:bCs/>
          <w:color w:val="000000" w:themeColor="text1"/>
          <w:sz w:val="21"/>
          <w:szCs w:val="21"/>
          <w:lang w:val="zh-CN"/>
          <w14:textFill>
            <w14:solidFill>
              <w14:schemeClr w14:val="tx1"/>
            </w14:solidFill>
          </w14:textFill>
        </w:rPr>
      </w:pPr>
      <w:r>
        <w:rPr>
          <w:rFonts w:hint="eastAsia" w:ascii="仿宋" w:hAnsi="仿宋" w:eastAsia="仿宋" w:cs="仿宋"/>
          <w:b/>
          <w:bCs/>
          <w:color w:val="000000" w:themeColor="text1"/>
          <w:sz w:val="21"/>
          <w:szCs w:val="21"/>
          <w:lang w:val="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五</w:t>
      </w:r>
      <w:r>
        <w:rPr>
          <w:rFonts w:hint="eastAsia" w:ascii="仿宋" w:hAnsi="仿宋" w:eastAsia="仿宋" w:cs="仿宋"/>
          <w:b/>
          <w:bCs/>
          <w:color w:val="000000" w:themeColor="text1"/>
          <w:sz w:val="21"/>
          <w:szCs w:val="21"/>
          <w:lang w:val="zh-CN"/>
          <w14:textFill>
            <w14:solidFill>
              <w14:schemeClr w14:val="tx1"/>
            </w14:solidFill>
          </w14:textFill>
        </w:rPr>
        <w:t>）学生端功能</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1.在线答题：包括考试、作业，其中作业支持多次作答</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2.答题结果分析</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3.试题收藏</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4.错题库</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5.错题重做</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6.答题统计</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7.个人信息、密码管理</w:t>
      </w:r>
    </w:p>
    <w:p>
      <w:pPr>
        <w:rPr>
          <w:rFonts w:hint="eastAsia" w:ascii="仿宋" w:hAnsi="仿宋" w:eastAsia="仿宋" w:cs="仿宋"/>
          <w:b/>
          <w:bCs/>
          <w:color w:val="000000" w:themeColor="text1"/>
          <w:sz w:val="21"/>
          <w:szCs w:val="21"/>
          <w:lang w:val="zh-CN"/>
          <w14:textFill>
            <w14:solidFill>
              <w14:schemeClr w14:val="tx1"/>
            </w14:solidFill>
          </w14:textFill>
        </w:rPr>
      </w:pPr>
      <w:r>
        <w:rPr>
          <w:rFonts w:hint="eastAsia" w:ascii="仿宋" w:hAnsi="仿宋" w:eastAsia="仿宋" w:cs="仿宋"/>
          <w:b/>
          <w:bCs/>
          <w:color w:val="000000" w:themeColor="text1"/>
          <w:sz w:val="21"/>
          <w:szCs w:val="21"/>
          <w:lang w:val="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六</w:t>
      </w:r>
      <w:r>
        <w:rPr>
          <w:rFonts w:hint="eastAsia" w:ascii="仿宋" w:hAnsi="仿宋" w:eastAsia="仿宋" w:cs="仿宋"/>
          <w:b/>
          <w:bCs/>
          <w:color w:val="000000" w:themeColor="text1"/>
          <w:sz w:val="21"/>
          <w:szCs w:val="21"/>
          <w:lang w:val="zh-CN"/>
          <w14:textFill>
            <w14:solidFill>
              <w14:schemeClr w14:val="tx1"/>
            </w14:solidFill>
          </w14:textFill>
        </w:rPr>
        <w:t>）教师端APP</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教师端APP只针对日常教学题库，老师可通过APP进行组卷、发布作业、查看作业分析。这部分功能集成到教学平台中使用，题库不提供独立的APP，教学平台APP提供独立的题库模块，可以独立使用，也可以与教学平台其他模块融合使用</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1.作业发布管理</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新建、删除</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2.组卷功能</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（1）手动组卷</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（2）智能组卷</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3.班级管理</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4.作业分析</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（1）整体情况分析：包括作业完成情况，题目掌握情况，知识点掌握情况</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（2）学生作答情况分析：可查看每个学生的作答情况</w:t>
      </w:r>
    </w:p>
    <w:p>
      <w:pPr>
        <w:rPr>
          <w:rFonts w:hint="eastAsia" w:ascii="仿宋" w:hAnsi="仿宋" w:eastAsia="仿宋" w:cs="仿宋"/>
          <w:b/>
          <w:bCs/>
          <w:color w:val="000000" w:themeColor="text1"/>
          <w:sz w:val="21"/>
          <w:szCs w:val="21"/>
          <w:lang w:val="zh-CN"/>
          <w14:textFill>
            <w14:solidFill>
              <w14:schemeClr w14:val="tx1"/>
            </w14:solidFill>
          </w14:textFill>
        </w:rPr>
      </w:pPr>
      <w:r>
        <w:rPr>
          <w:rFonts w:hint="eastAsia" w:ascii="仿宋" w:hAnsi="仿宋" w:eastAsia="仿宋" w:cs="仿宋"/>
          <w:b/>
          <w:bCs/>
          <w:color w:val="000000" w:themeColor="text1"/>
          <w:sz w:val="21"/>
          <w:szCs w:val="21"/>
          <w:lang w:val="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七</w:t>
      </w:r>
      <w:r>
        <w:rPr>
          <w:rFonts w:hint="eastAsia" w:ascii="仿宋" w:hAnsi="仿宋" w:eastAsia="仿宋" w:cs="仿宋"/>
          <w:b/>
          <w:bCs/>
          <w:color w:val="000000" w:themeColor="text1"/>
          <w:sz w:val="21"/>
          <w:szCs w:val="21"/>
          <w:lang w:val="zh-CN"/>
          <w14:textFill>
            <w14:solidFill>
              <w14:schemeClr w14:val="tx1"/>
            </w14:solidFill>
          </w14:textFill>
        </w:rPr>
        <w:t>）学生端APP</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学生端APP只针对日常教学题库，这部分功能集成到教学平台中使用，题库不提供独立的APP，教学平台APP提供独立的题库模块，可以独立使用，也可以与教学平台其他模块融合使用</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1.在线答题：作业支持多次作答</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2.答题结果分析</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3.试题收藏</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4.错题库</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5.错题重做</w:t>
      </w:r>
    </w:p>
    <w:p>
      <w:pPr>
        <w:pStyle w:val="11"/>
        <w:spacing w:line="240" w:lineRule="auto"/>
        <w:ind w:firstLine="524" w:firstLineChars="200"/>
        <w:rPr>
          <w:rFonts w:hint="eastAsia" w:ascii="仿宋" w:hAnsi="仿宋" w:eastAsia="仿宋" w:cs="仿宋"/>
          <w:sz w:val="21"/>
          <w:szCs w:val="21"/>
        </w:rPr>
      </w:pPr>
      <w:r>
        <w:rPr>
          <w:rFonts w:hint="eastAsia" w:ascii="仿宋" w:hAnsi="仿宋" w:eastAsia="仿宋" w:cs="仿宋"/>
          <w:color w:val="000000" w:themeColor="text1"/>
          <w:sz w:val="21"/>
          <w:szCs w:val="21"/>
          <w:lang w:val="zh-CN"/>
          <w14:textFill>
            <w14:solidFill>
              <w14:schemeClr w14:val="tx1"/>
            </w14:solidFill>
          </w14:textFill>
        </w:rPr>
        <w:t>6.个人信息、密码管理</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7.</w:t>
      </w:r>
      <w:r>
        <w:rPr>
          <w:rFonts w:hint="eastAsia" w:ascii="仿宋" w:hAnsi="仿宋" w:eastAsia="仿宋" w:cs="仿宋"/>
          <w:color w:val="000000" w:themeColor="text1"/>
          <w:sz w:val="21"/>
          <w:szCs w:val="21"/>
          <w:lang w:val="zh-CN"/>
          <w14:textFill>
            <w14:solidFill>
              <w14:schemeClr w14:val="tx1"/>
            </w14:solidFill>
          </w14:textFill>
        </w:rPr>
        <w:t>考试考核题库命题计划需包括以下分类，</w:t>
      </w:r>
      <w:r>
        <w:rPr>
          <w:rFonts w:hint="eastAsia" w:ascii="仿宋" w:hAnsi="仿宋" w:eastAsia="仿宋" w:cs="仿宋"/>
          <w:color w:val="000000" w:themeColor="text1"/>
          <w:sz w:val="21"/>
          <w:szCs w:val="21"/>
          <w14:textFill>
            <w14:solidFill>
              <w14:schemeClr w14:val="tx1"/>
            </w14:solidFill>
          </w14:textFill>
        </w:rPr>
        <w:t>需提供证明资料。</w:t>
      </w:r>
    </w:p>
    <w:p>
      <w:pPr>
        <w:pStyle w:val="110"/>
        <w:tabs>
          <w:tab w:val="left" w:pos="709"/>
        </w:tabs>
        <w:ind w:firstLine="524"/>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知识点分类：教材、执业医师资格考试大纲。</w:t>
      </w:r>
    </w:p>
    <w:p>
      <w:pPr>
        <w:pStyle w:val="110"/>
        <w:tabs>
          <w:tab w:val="left" w:pos="709"/>
        </w:tabs>
        <w:ind w:firstLine="524"/>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知识分级：回忆、解释、问题解决。</w:t>
      </w:r>
    </w:p>
    <w:p>
      <w:pPr>
        <w:pStyle w:val="110"/>
        <w:tabs>
          <w:tab w:val="left" w:pos="709"/>
        </w:tabs>
        <w:ind w:firstLine="524"/>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难度分布：易、较易、中、较难、难。</w:t>
      </w:r>
    </w:p>
    <w:p>
      <w:pPr>
        <w:pStyle w:val="110"/>
        <w:tabs>
          <w:tab w:val="left" w:pos="709"/>
        </w:tabs>
        <w:ind w:firstLine="524"/>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题型分布：A1、A2、（A3、A4）、B1。</w:t>
      </w:r>
    </w:p>
    <w:p>
      <w:pPr>
        <w:pStyle w:val="110"/>
        <w:tabs>
          <w:tab w:val="left" w:pos="709"/>
        </w:tabs>
        <w:ind w:firstLine="524"/>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大纲要求：掌握、熟悉、了解、超纲。</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r>
        <w:rPr>
          <w:rFonts w:hint="eastAsia" w:ascii="仿宋" w:hAnsi="仿宋" w:eastAsia="仿宋" w:cs="仿宋"/>
          <w:color w:val="000000" w:themeColor="text1"/>
          <w:sz w:val="21"/>
          <w:szCs w:val="21"/>
          <w:lang w:val="zh-CN"/>
          <w14:textFill>
            <w14:solidFill>
              <w14:schemeClr w14:val="tx1"/>
            </w14:solidFill>
          </w14:textFill>
        </w:rPr>
        <w:t>题库需要</w:t>
      </w:r>
      <w:r>
        <w:rPr>
          <w:rFonts w:hint="eastAsia" w:ascii="仿宋" w:hAnsi="仿宋" w:eastAsia="仿宋" w:cs="仿宋"/>
          <w:color w:val="000000" w:themeColor="text1"/>
          <w:sz w:val="21"/>
          <w:szCs w:val="21"/>
          <w14:textFill>
            <w14:solidFill>
              <w14:schemeClr w14:val="tx1"/>
            </w14:solidFill>
          </w14:textFill>
        </w:rPr>
        <w:t>具备</w:t>
      </w:r>
      <w:r>
        <w:rPr>
          <w:rFonts w:hint="eastAsia" w:ascii="仿宋" w:hAnsi="仿宋" w:eastAsia="仿宋" w:cs="仿宋"/>
          <w:color w:val="000000" w:themeColor="text1"/>
          <w:sz w:val="21"/>
          <w:szCs w:val="21"/>
          <w:lang w:val="zh-CN"/>
          <w14:textFill>
            <w14:solidFill>
              <w14:schemeClr w14:val="tx1"/>
            </w14:solidFill>
          </w14:textFill>
        </w:rPr>
        <w:t>以下手机APP功能</w:t>
      </w:r>
      <w:r>
        <w:rPr>
          <w:rFonts w:hint="eastAsia" w:ascii="仿宋" w:hAnsi="仿宋" w:eastAsia="仿宋" w:cs="仿宋"/>
          <w:color w:val="000000" w:themeColor="text1"/>
          <w:sz w:val="21"/>
          <w:szCs w:val="21"/>
          <w:lang w:val="zh-CN"/>
          <w14:textFill>
            <w14:solidFill>
              <w14:schemeClr w14:val="tx1"/>
            </w14:solidFill>
          </w14:textFill>
        </w:rPr>
        <w:tab/>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95"/>
        <w:gridCol w:w="2191"/>
        <w:gridCol w:w="2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功能描述</w:t>
            </w:r>
          </w:p>
        </w:tc>
        <w:tc>
          <w:tcPr>
            <w:tcW w:w="1087"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教师端</w:t>
            </w:r>
          </w:p>
        </w:tc>
        <w:tc>
          <w:tcPr>
            <w:tcW w:w="1087"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学生端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手动组卷功能</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087" w:type="pct"/>
            <w:vMerge w:val="restart"/>
            <w:tcBorders>
              <w:top w:val="single" w:color="000000" w:sz="4" w:space="0"/>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不支持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智能组卷功能</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新增作业功能</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作业发布和授权功能</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作业分析功能（作业基本信息、作答完成情况、每道试题作答情况、每道试题各个备选情况、章节知识点掌握情况）</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学生作答情况参看功能（已完成名单、未完成名单）</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关联班级功能</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解除关联功能</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087" w:type="pct"/>
            <w:vMerge w:val="continue"/>
            <w:tcBorders>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作业作答功能</w:t>
            </w:r>
          </w:p>
        </w:tc>
        <w:tc>
          <w:tcPr>
            <w:tcW w:w="1087" w:type="pct"/>
            <w:vMerge w:val="restart"/>
            <w:tcBorders>
              <w:top w:val="single" w:color="000000" w:sz="4" w:space="0"/>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不支持</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作业分析功能（作业满分、自己得分、当前平均分、总排名、班级排名、题型答题情况、章节答题情况）</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查看答案详情功能</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分类错题列表功能</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错题重组试卷功能</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试题收藏功能</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答题统计功能（个人总得分率、答题总数、答对总数、各学科答题统计、各学科章节答题情况）</w:t>
            </w:r>
          </w:p>
        </w:tc>
        <w:tc>
          <w:tcPr>
            <w:tcW w:w="1087" w:type="pct"/>
            <w:vMerge w:val="continue"/>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课程创建与管理</w:t>
            </w:r>
          </w:p>
        </w:tc>
        <w:tc>
          <w:tcPr>
            <w:tcW w:w="1087" w:type="pct"/>
            <w:tcBorders>
              <w:left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不支持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互动讨论</w:t>
            </w:r>
          </w:p>
        </w:tc>
        <w:tc>
          <w:tcPr>
            <w:tcW w:w="1087" w:type="pct"/>
            <w:tcBorders>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c>
          <w:tcPr>
            <w:tcW w:w="1087"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支持</w:t>
            </w:r>
          </w:p>
        </w:tc>
      </w:tr>
    </w:tbl>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val="zh-CN"/>
          <w14:textFill>
            <w14:solidFill>
              <w14:schemeClr w14:val="tx1"/>
            </w14:solidFill>
          </w14:textFill>
        </w:rPr>
      </w:pPr>
    </w:p>
    <w:p>
      <w:pPr>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9.</w:t>
      </w:r>
      <w:r>
        <w:rPr>
          <w:rFonts w:hint="eastAsia" w:ascii="仿宋" w:hAnsi="仿宋" w:eastAsia="仿宋" w:cs="仿宋"/>
          <w:color w:val="000000" w:themeColor="text1"/>
          <w:sz w:val="21"/>
          <w:szCs w:val="21"/>
          <w:lang w:eastAsia="zh-CN"/>
          <w14:textFill>
            <w14:solidFill>
              <w14:schemeClr w14:val="tx1"/>
            </w14:solidFill>
          </w14:textFill>
        </w:rPr>
        <w:t>安装环境：</w:t>
      </w:r>
      <w:r>
        <w:rPr>
          <w:rFonts w:hint="eastAsia" w:ascii="仿宋" w:hAnsi="仿宋" w:eastAsia="仿宋" w:cs="仿宋"/>
          <w:b/>
          <w:bCs/>
          <w:kern w:val="0"/>
          <w:sz w:val="21"/>
          <w:szCs w:val="21"/>
        </w:rPr>
        <w:t>局域网配置要求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8"/>
        <w:gridCol w:w="4294"/>
        <w:gridCol w:w="4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tcBorders>
              <w:top w:val="single" w:color="auto" w:sz="4" w:space="0"/>
              <w:left w:val="single" w:color="auto" w:sz="4" w:space="0"/>
              <w:bottom w:val="single" w:color="auto" w:sz="4" w:space="0"/>
              <w:right w:val="single" w:color="auto" w:sz="4" w:space="0"/>
            </w:tcBorders>
            <w:shd w:val="clear" w:color="auto" w:fill="BEBEBE"/>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类别</w:t>
            </w:r>
          </w:p>
        </w:tc>
        <w:tc>
          <w:tcPr>
            <w:tcW w:w="2130" w:type="pct"/>
            <w:tcBorders>
              <w:top w:val="single" w:color="auto" w:sz="4" w:space="0"/>
              <w:left w:val="single" w:color="auto" w:sz="4" w:space="0"/>
              <w:bottom w:val="single" w:color="auto" w:sz="4" w:space="0"/>
              <w:right w:val="single" w:color="auto" w:sz="4" w:space="0"/>
            </w:tcBorders>
            <w:shd w:val="clear" w:color="auto" w:fill="BEBEBE"/>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应用服务器</w:t>
            </w:r>
          </w:p>
        </w:tc>
        <w:tc>
          <w:tcPr>
            <w:tcW w:w="2130" w:type="pct"/>
            <w:tcBorders>
              <w:top w:val="single" w:color="auto" w:sz="4" w:space="0"/>
              <w:left w:val="single" w:color="auto" w:sz="4" w:space="0"/>
              <w:bottom w:val="single" w:color="auto" w:sz="4" w:space="0"/>
              <w:right w:val="single" w:color="auto" w:sz="4" w:space="0"/>
            </w:tcBorders>
            <w:shd w:val="clear" w:color="auto" w:fill="BEBEBE"/>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数据库服务器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tcBorders>
              <w:top w:val="single" w:color="auto" w:sz="4" w:space="0"/>
            </w:tcBorders>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内存</w:t>
            </w:r>
          </w:p>
        </w:tc>
        <w:tc>
          <w:tcPr>
            <w:tcW w:w="2130" w:type="pct"/>
            <w:tcBorders>
              <w:top w:val="single" w:color="auto" w:sz="4" w:space="0"/>
            </w:tcBorders>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32G及以上</w:t>
            </w:r>
          </w:p>
        </w:tc>
        <w:tc>
          <w:tcPr>
            <w:tcW w:w="2130" w:type="pct"/>
            <w:tcBorders>
              <w:top w:val="single" w:color="auto" w:sz="4" w:space="0"/>
            </w:tcBorders>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64G及以上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CPU</w:t>
            </w:r>
          </w:p>
        </w:tc>
        <w:tc>
          <w:tcPr>
            <w:tcW w:w="2130" w:type="pct"/>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2.2GHz及以上</w:t>
            </w:r>
          </w:p>
        </w:tc>
        <w:tc>
          <w:tcPr>
            <w:tcW w:w="2130" w:type="pct"/>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2.2GHz及以上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硬盘</w:t>
            </w:r>
          </w:p>
        </w:tc>
        <w:tc>
          <w:tcPr>
            <w:tcW w:w="2130" w:type="pct"/>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硬盘空间512G及以上</w:t>
            </w:r>
          </w:p>
        </w:tc>
        <w:tc>
          <w:tcPr>
            <w:tcW w:w="2130" w:type="pct"/>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固态硬盘512G及以上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操作系统</w:t>
            </w:r>
          </w:p>
        </w:tc>
        <w:tc>
          <w:tcPr>
            <w:tcW w:w="4261" w:type="pct"/>
            <w:gridSpan w:val="2"/>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&lt;500人：Windows Server 2012 或linux64位（内核CentOS7）</w:t>
            </w:r>
          </w:p>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500人：linux64位（内核CentOS7）</w:t>
            </w:r>
          </w:p>
        </w:tc>
      </w:tr>
    </w:tbl>
    <w:p>
      <w:pPr>
        <w:pStyle w:val="11"/>
        <w:spacing w:line="240" w:lineRule="auto"/>
        <w:rPr>
          <w:rFonts w:hint="eastAsia" w:ascii="仿宋" w:hAnsi="仿宋" w:eastAsia="仿宋" w:cs="仿宋"/>
          <w:sz w:val="21"/>
          <w:szCs w:val="21"/>
        </w:rPr>
      </w:pPr>
    </w:p>
    <w:tbl>
      <w:tblPr>
        <w:tblStyle w:val="26"/>
        <w:tblW w:w="8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8"/>
        <w:gridCol w:w="2039"/>
        <w:gridCol w:w="3206"/>
        <w:gridCol w:w="1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568" w:type="dxa"/>
            <w:shd w:val="clear" w:color="auto" w:fill="D8D8D8" w:themeFill="background1" w:themeFillShade="D9"/>
            <w:vAlign w:val="center"/>
          </w:tcPr>
          <w:p>
            <w:pPr>
              <w:pStyle w:val="11"/>
              <w:spacing w:line="240" w:lineRule="auto"/>
              <w:rPr>
                <w:rFonts w:hint="eastAsia" w:ascii="仿宋" w:hAnsi="仿宋" w:eastAsia="仿宋" w:cs="仿宋"/>
                <w:b/>
                <w:bCs/>
                <w:sz w:val="21"/>
                <w:szCs w:val="21"/>
              </w:rPr>
            </w:pPr>
            <w:r>
              <w:rPr>
                <w:rFonts w:hint="eastAsia" w:ascii="仿宋" w:hAnsi="仿宋" w:eastAsia="仿宋" w:cs="仿宋"/>
                <w:b/>
                <w:bCs/>
                <w:sz w:val="21"/>
                <w:szCs w:val="21"/>
              </w:rPr>
              <w:t>用户数</w:t>
            </w:r>
          </w:p>
        </w:tc>
        <w:tc>
          <w:tcPr>
            <w:tcW w:w="2039" w:type="dxa"/>
            <w:shd w:val="clear" w:color="auto" w:fill="D8D8D8" w:themeFill="background1" w:themeFillShade="D9"/>
            <w:vAlign w:val="center"/>
          </w:tcPr>
          <w:p>
            <w:pPr>
              <w:pStyle w:val="11"/>
              <w:spacing w:line="240" w:lineRule="auto"/>
              <w:rPr>
                <w:rFonts w:hint="eastAsia" w:ascii="仿宋" w:hAnsi="仿宋" w:eastAsia="仿宋" w:cs="仿宋"/>
                <w:b/>
                <w:bCs/>
                <w:sz w:val="21"/>
                <w:szCs w:val="21"/>
              </w:rPr>
            </w:pPr>
            <w:r>
              <w:rPr>
                <w:rFonts w:hint="eastAsia" w:ascii="仿宋" w:hAnsi="仿宋" w:eastAsia="仿宋" w:cs="仿宋"/>
                <w:b/>
                <w:bCs/>
                <w:sz w:val="21"/>
                <w:szCs w:val="21"/>
              </w:rPr>
              <w:t>服务器数量</w:t>
            </w:r>
          </w:p>
        </w:tc>
        <w:tc>
          <w:tcPr>
            <w:tcW w:w="3206" w:type="dxa"/>
            <w:shd w:val="clear" w:color="auto" w:fill="D8D8D8" w:themeFill="background1" w:themeFillShade="D9"/>
            <w:vAlign w:val="center"/>
          </w:tcPr>
          <w:p>
            <w:pPr>
              <w:pStyle w:val="11"/>
              <w:spacing w:line="240" w:lineRule="auto"/>
              <w:rPr>
                <w:rFonts w:hint="eastAsia" w:ascii="仿宋" w:hAnsi="仿宋" w:eastAsia="仿宋" w:cs="仿宋"/>
                <w:b/>
                <w:bCs/>
                <w:sz w:val="21"/>
                <w:szCs w:val="21"/>
              </w:rPr>
            </w:pPr>
            <w:r>
              <w:rPr>
                <w:rFonts w:hint="eastAsia" w:ascii="仿宋" w:hAnsi="仿宋" w:eastAsia="仿宋" w:cs="仿宋"/>
                <w:b/>
                <w:bCs/>
                <w:sz w:val="21"/>
                <w:szCs w:val="21"/>
              </w:rPr>
              <w:t>部署说明</w:t>
            </w:r>
          </w:p>
        </w:tc>
        <w:tc>
          <w:tcPr>
            <w:tcW w:w="1945" w:type="dxa"/>
            <w:shd w:val="clear" w:color="auto" w:fill="D8D8D8" w:themeFill="background1" w:themeFillShade="D9"/>
            <w:vAlign w:val="center"/>
          </w:tcPr>
          <w:p>
            <w:pPr>
              <w:pStyle w:val="11"/>
              <w:spacing w:line="240" w:lineRule="auto"/>
              <w:rPr>
                <w:rFonts w:hint="eastAsia" w:ascii="仿宋" w:hAnsi="仿宋" w:eastAsia="仿宋" w:cs="仿宋"/>
                <w:b/>
                <w:bCs/>
                <w:sz w:val="21"/>
                <w:szCs w:val="21"/>
              </w:rPr>
            </w:pPr>
            <w:r>
              <w:rPr>
                <w:rFonts w:hint="eastAsia" w:ascii="仿宋" w:hAnsi="仿宋" w:eastAsia="仿宋" w:cs="仿宋"/>
                <w:b/>
                <w:bCs/>
                <w:sz w:val="21"/>
                <w:szCs w:val="21"/>
              </w:rPr>
              <w:t>需要部署的服务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1568"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0-200</w:t>
            </w:r>
          </w:p>
        </w:tc>
        <w:tc>
          <w:tcPr>
            <w:tcW w:w="2039"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应用服务器：1台</w:t>
            </w:r>
          </w:p>
        </w:tc>
        <w:tc>
          <w:tcPr>
            <w:tcW w:w="3206"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应用、组件及数据库部署在同一服务器上</w:t>
            </w:r>
          </w:p>
        </w:tc>
        <w:tc>
          <w:tcPr>
            <w:tcW w:w="1945"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单机版（tomcat、activemq、redis、mysql）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trPr>
        <w:tc>
          <w:tcPr>
            <w:tcW w:w="1568"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200-499</w:t>
            </w:r>
          </w:p>
        </w:tc>
        <w:tc>
          <w:tcPr>
            <w:tcW w:w="2039"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应用服务器：1台</w:t>
            </w:r>
          </w:p>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数据库服务器：1台</w:t>
            </w:r>
          </w:p>
        </w:tc>
        <w:tc>
          <w:tcPr>
            <w:tcW w:w="3206"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应用、组件1台服务器</w:t>
            </w:r>
          </w:p>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数据库、缓存1台服务器</w:t>
            </w:r>
          </w:p>
        </w:tc>
        <w:tc>
          <w:tcPr>
            <w:tcW w:w="1945" w:type="dxa"/>
            <w:vMerge w:val="restart"/>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集群版（tomcat、activemq、redis、mysql、nginx）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568"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500-999</w:t>
            </w:r>
          </w:p>
        </w:tc>
        <w:tc>
          <w:tcPr>
            <w:tcW w:w="2039"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应用服务器：2台</w:t>
            </w:r>
          </w:p>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数据库服务器：1台</w:t>
            </w:r>
          </w:p>
        </w:tc>
        <w:tc>
          <w:tcPr>
            <w:tcW w:w="3206"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2台应用服务器部署4个tomcat及其他组件</w:t>
            </w:r>
          </w:p>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数据库、缓存1台服务器</w:t>
            </w:r>
          </w:p>
        </w:tc>
        <w:tc>
          <w:tcPr>
            <w:tcW w:w="1945" w:type="dxa"/>
            <w:vMerge w:val="continue"/>
            <w:vAlign w:val="center"/>
          </w:tcPr>
          <w:p>
            <w:pPr>
              <w:pStyle w:val="11"/>
              <w:spacing w:line="240" w:lineRule="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1568"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1000人以上</w:t>
            </w:r>
          </w:p>
        </w:tc>
        <w:tc>
          <w:tcPr>
            <w:tcW w:w="2039"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应用服务器：3台</w:t>
            </w:r>
          </w:p>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数据库服务器：1台</w:t>
            </w:r>
          </w:p>
        </w:tc>
        <w:tc>
          <w:tcPr>
            <w:tcW w:w="3206" w:type="dxa"/>
            <w:vAlign w:val="center"/>
          </w:tcPr>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每增加500人，加1台应用服务器</w:t>
            </w:r>
          </w:p>
          <w:p>
            <w:pPr>
              <w:pStyle w:val="11"/>
              <w:spacing w:line="240" w:lineRule="auto"/>
              <w:rPr>
                <w:rFonts w:hint="eastAsia" w:ascii="仿宋" w:hAnsi="仿宋" w:eastAsia="仿宋" w:cs="仿宋"/>
                <w:sz w:val="21"/>
                <w:szCs w:val="21"/>
              </w:rPr>
            </w:pPr>
            <w:r>
              <w:rPr>
                <w:rFonts w:hint="eastAsia" w:ascii="仿宋" w:hAnsi="仿宋" w:eastAsia="仿宋" w:cs="仿宋"/>
                <w:sz w:val="21"/>
                <w:szCs w:val="21"/>
              </w:rPr>
              <w:t>每增加1000人，加1台数据库服务器</w:t>
            </w:r>
          </w:p>
        </w:tc>
        <w:tc>
          <w:tcPr>
            <w:tcW w:w="1945" w:type="dxa"/>
            <w:vMerge w:val="continue"/>
            <w:vAlign w:val="center"/>
          </w:tcPr>
          <w:p>
            <w:pPr>
              <w:pStyle w:val="11"/>
              <w:spacing w:line="240" w:lineRule="auto"/>
              <w:rPr>
                <w:rFonts w:hint="eastAsia" w:ascii="仿宋" w:hAnsi="仿宋" w:eastAsia="仿宋" w:cs="仿宋"/>
                <w:sz w:val="21"/>
                <w:szCs w:val="21"/>
              </w:rPr>
            </w:pPr>
          </w:p>
        </w:tc>
      </w:tr>
    </w:tbl>
    <w:p>
      <w:pPr>
        <w:pStyle w:val="11"/>
        <w:spacing w:line="240" w:lineRule="auto"/>
        <w:rPr>
          <w:rFonts w:hint="eastAsia" w:ascii="仿宋" w:hAnsi="仿宋" w:eastAsia="仿宋" w:cs="仿宋"/>
          <w:sz w:val="21"/>
          <w:szCs w:val="21"/>
        </w:rPr>
      </w:pPr>
    </w:p>
    <w:p>
      <w:pPr>
        <w:tabs>
          <w:tab w:val="left" w:pos="0"/>
          <w:tab w:val="left" w:pos="284"/>
        </w:tabs>
        <w:adjustRightInd w:val="0"/>
        <w:snapToGrid w:val="0"/>
        <w:rPr>
          <w:rFonts w:hint="eastAsia" w:ascii="仿宋" w:hAnsi="仿宋" w:eastAsia="仿宋" w:cs="仿宋"/>
          <w:b/>
          <w:bCs/>
          <w:color w:val="000000" w:themeColor="text1"/>
          <w:sz w:val="21"/>
          <w:szCs w:val="21"/>
          <w:lang w:val="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二、</w:t>
      </w:r>
      <w:r>
        <w:rPr>
          <w:rFonts w:hint="eastAsia" w:ascii="仿宋" w:hAnsi="仿宋" w:eastAsia="仿宋" w:cs="仿宋"/>
          <w:b/>
          <w:bCs/>
          <w:color w:val="000000" w:themeColor="text1"/>
          <w:sz w:val="21"/>
          <w:szCs w:val="21"/>
          <w:lang w:val="zh-CN"/>
          <w14:textFill>
            <w14:solidFill>
              <w14:schemeClr w14:val="tx1"/>
            </w14:solidFill>
          </w14:textFill>
        </w:rPr>
        <w:t>投标人综合实力要求</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1.投标人须具有</w:t>
      </w:r>
      <w:r>
        <w:rPr>
          <w:rFonts w:hint="eastAsia" w:ascii="仿宋" w:hAnsi="仿宋" w:eastAsia="仿宋" w:cs="仿宋"/>
          <w:color w:val="000000" w:themeColor="text1"/>
          <w:sz w:val="21"/>
          <w:szCs w:val="21"/>
          <w:lang w:eastAsia="zh-Hans"/>
          <w14:textFill>
            <w14:solidFill>
              <w14:schemeClr w14:val="tx1"/>
            </w14:solidFill>
          </w14:textFill>
        </w:rPr>
        <w:t>医药卫生</w:t>
      </w:r>
      <w:r>
        <w:rPr>
          <w:rFonts w:hint="eastAsia" w:ascii="仿宋" w:hAnsi="仿宋" w:eastAsia="仿宋" w:cs="仿宋"/>
          <w:color w:val="000000" w:themeColor="text1"/>
          <w:sz w:val="21"/>
          <w:szCs w:val="21"/>
          <w14:textFill>
            <w14:solidFill>
              <w14:schemeClr w14:val="tx1"/>
            </w14:solidFill>
          </w14:textFill>
        </w:rPr>
        <w:t>类题库或</w:t>
      </w:r>
      <w:r>
        <w:rPr>
          <w:rFonts w:hint="eastAsia" w:ascii="仿宋" w:hAnsi="仿宋" w:eastAsia="仿宋" w:cs="仿宋"/>
          <w:color w:val="000000" w:themeColor="text1"/>
          <w:sz w:val="21"/>
          <w:szCs w:val="21"/>
          <w:lang w:eastAsia="zh-Hans"/>
          <w14:textFill>
            <w14:solidFill>
              <w14:schemeClr w14:val="tx1"/>
            </w14:solidFill>
          </w14:textFill>
        </w:rPr>
        <w:t>医药卫生类</w:t>
      </w:r>
      <w:r>
        <w:rPr>
          <w:rFonts w:hint="eastAsia" w:ascii="仿宋" w:hAnsi="仿宋" w:eastAsia="仿宋" w:cs="仿宋"/>
          <w:color w:val="000000" w:themeColor="text1"/>
          <w:sz w:val="21"/>
          <w:szCs w:val="21"/>
          <w14:textFill>
            <w14:solidFill>
              <w14:schemeClr w14:val="tx1"/>
            </w14:solidFill>
          </w14:textFill>
        </w:rPr>
        <w:t>执业资格考试辅导系统服务经验，</w:t>
      </w:r>
      <w:r>
        <w:rPr>
          <w:rFonts w:hint="eastAsia" w:ascii="仿宋" w:hAnsi="仿宋" w:eastAsia="仿宋" w:cs="仿宋"/>
          <w:color w:val="000000" w:themeColor="text1"/>
          <w:sz w:val="21"/>
          <w:szCs w:val="21"/>
          <w:lang w:eastAsia="zh-Hans"/>
          <w14:textFill>
            <w14:solidFill>
              <w14:schemeClr w14:val="tx1"/>
            </w14:solidFill>
          </w14:textFill>
        </w:rPr>
        <w:t>需要</w:t>
      </w:r>
      <w:r>
        <w:rPr>
          <w:rFonts w:hint="eastAsia" w:ascii="仿宋" w:hAnsi="仿宋" w:eastAsia="仿宋" w:cs="仿宋"/>
          <w:color w:val="000000" w:themeColor="text1"/>
          <w:sz w:val="21"/>
          <w:szCs w:val="21"/>
          <w14:textFill>
            <w14:solidFill>
              <w14:schemeClr w14:val="tx1"/>
            </w14:solidFill>
          </w14:textFill>
        </w:rPr>
        <w:t>出示业绩证明。</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sz w:val="21"/>
          <w:szCs w:val="21"/>
          <w:lang w:eastAsia="zh-Hans"/>
          <w14:textFill>
            <w14:solidFill>
              <w14:schemeClr w14:val="tx1"/>
            </w14:solidFill>
          </w14:textFill>
        </w:rPr>
        <w:t>投标人需就医学专业题库考教融合使用方案举办专项培训，为保证培训质量，供应商需具备过往3年内与国家级A类医药卫生出版社教材主编合作培训证明。需提供现场照片及与专家的培训合同。</w:t>
      </w:r>
    </w:p>
    <w:p>
      <w:pPr>
        <w:tabs>
          <w:tab w:val="left" w:pos="0"/>
          <w:tab w:val="left" w:pos="284"/>
        </w:tabs>
        <w:adjustRightInd w:val="0"/>
        <w:snapToGrid w:val="0"/>
        <w:ind w:firstLine="524" w:firstLineChars="200"/>
        <w:rPr>
          <w:rFonts w:hint="eastAsia" w:ascii="仿宋" w:hAnsi="仿宋" w:eastAsia="仿宋" w:cs="仿宋"/>
          <w:color w:val="000000" w:themeColor="text1"/>
          <w:sz w:val="21"/>
          <w:szCs w:val="21"/>
          <w:lang w:eastAsia="zh-Hans"/>
          <w14:textFill>
            <w14:solidFill>
              <w14:schemeClr w14:val="tx1"/>
            </w14:solidFill>
          </w14:textFill>
        </w:rPr>
      </w:pPr>
      <w:r>
        <w:rPr>
          <w:rFonts w:hint="eastAsia" w:ascii="仿宋" w:hAnsi="仿宋" w:eastAsia="仿宋" w:cs="仿宋"/>
          <w:sz w:val="21"/>
          <w:szCs w:val="21"/>
          <w:lang w:val="zh-CN"/>
        </w:rPr>
        <w:t>▲</w:t>
      </w:r>
      <w:r>
        <w:rPr>
          <w:rFonts w:hint="eastAsia" w:ascii="仿宋" w:hAnsi="仿宋" w:eastAsia="仿宋" w:cs="仿宋"/>
          <w:color w:val="000000" w:themeColor="text1"/>
          <w:sz w:val="21"/>
          <w:szCs w:val="21"/>
          <w:lang w:eastAsia="zh-Hans"/>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.题库服务团队成员医学专业背景团队成员不少于5人，且硕士以上学历至少3人。为审核题目有效性，团队成员中具有编辑职业资格的成员至少2人。需提供相关人员学历学位证明、编辑资格证书证明。</w:t>
      </w:r>
    </w:p>
    <w:p>
      <w:pPr>
        <w:pStyle w:val="11"/>
        <w:rPr>
          <w:rFonts w:hint="eastAsia" w:ascii="仿宋" w:hAnsi="仿宋" w:eastAsia="仿宋" w:cs="仿宋"/>
          <w:sz w:val="21"/>
          <w:szCs w:val="21"/>
        </w:rPr>
      </w:pPr>
    </w:p>
    <w:p>
      <w:pPr>
        <w:pStyle w:val="3"/>
        <w:numPr>
          <w:ilvl w:val="0"/>
          <w:numId w:val="0"/>
        </w:numPr>
        <w:ind w:left="665"/>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三、商务要求</w:t>
      </w:r>
    </w:p>
    <w:p>
      <w:pPr>
        <w:pStyle w:val="103"/>
        <w:rPr>
          <w:rFonts w:hint="eastAsia" w:ascii="仿宋" w:hAnsi="仿宋" w:eastAsia="仿宋" w:cs="仿宋"/>
          <w:sz w:val="21"/>
          <w:szCs w:val="21"/>
          <w:lang w:val="zh-CN"/>
        </w:rPr>
      </w:pPr>
      <w:r>
        <w:rPr>
          <w:rFonts w:hint="eastAsia" w:ascii="仿宋" w:hAnsi="仿宋" w:eastAsia="仿宋" w:cs="仿宋"/>
          <w:sz w:val="21"/>
          <w:szCs w:val="21"/>
        </w:rPr>
        <w:t>1.</w:t>
      </w:r>
      <w:r>
        <w:rPr>
          <w:rFonts w:hint="eastAsia" w:ascii="仿宋" w:hAnsi="仿宋" w:eastAsia="仿宋" w:cs="仿宋"/>
          <w:sz w:val="21"/>
          <w:szCs w:val="21"/>
          <w:lang w:val="zh-CN"/>
        </w:rPr>
        <w:t>交货期：自合同签订之日起</w:t>
      </w:r>
      <w:r>
        <w:rPr>
          <w:rFonts w:hint="eastAsia" w:ascii="仿宋" w:hAnsi="仿宋" w:eastAsia="仿宋" w:cs="仿宋"/>
          <w:sz w:val="21"/>
          <w:szCs w:val="21"/>
        </w:rPr>
        <w:t>30</w:t>
      </w:r>
      <w:r>
        <w:rPr>
          <w:rFonts w:hint="eastAsia" w:ascii="仿宋" w:hAnsi="仿宋" w:eastAsia="仿宋" w:cs="仿宋"/>
          <w:sz w:val="21"/>
          <w:szCs w:val="21"/>
          <w:lang w:val="zh-CN"/>
        </w:rPr>
        <w:t>日历天内完成供货、调试完毕并交付验收。</w:t>
      </w:r>
    </w:p>
    <w:p>
      <w:pPr>
        <w:pStyle w:val="103"/>
        <w:rPr>
          <w:rFonts w:hint="eastAsia" w:ascii="仿宋" w:hAnsi="仿宋" w:eastAsia="仿宋" w:cs="仿宋"/>
          <w:sz w:val="21"/>
          <w:szCs w:val="21"/>
          <w:lang w:val="zh-CN"/>
        </w:rPr>
      </w:pPr>
      <w:r>
        <w:rPr>
          <w:rFonts w:hint="eastAsia" w:ascii="仿宋" w:hAnsi="仿宋" w:eastAsia="仿宋" w:cs="仿宋"/>
          <w:sz w:val="21"/>
          <w:szCs w:val="21"/>
        </w:rPr>
        <w:t>2.</w:t>
      </w:r>
      <w:r>
        <w:rPr>
          <w:rFonts w:hint="eastAsia" w:ascii="仿宋" w:hAnsi="仿宋" w:eastAsia="仿宋" w:cs="仿宋"/>
          <w:sz w:val="21"/>
          <w:szCs w:val="21"/>
          <w:lang w:val="zh-CN"/>
        </w:rPr>
        <w:t>交货地点：按采购人要求指定使用单位的所在地。</w:t>
      </w:r>
    </w:p>
    <w:p>
      <w:pPr>
        <w:pStyle w:val="103"/>
        <w:rPr>
          <w:rFonts w:hint="eastAsia" w:ascii="仿宋" w:hAnsi="仿宋" w:eastAsia="仿宋" w:cs="仿宋"/>
          <w:sz w:val="21"/>
          <w:szCs w:val="21"/>
          <w:lang w:val="zh-CN"/>
        </w:rPr>
      </w:pPr>
      <w:r>
        <w:rPr>
          <w:rFonts w:hint="eastAsia" w:ascii="仿宋" w:hAnsi="仿宋" w:eastAsia="仿宋" w:cs="仿宋"/>
          <w:sz w:val="21"/>
          <w:szCs w:val="21"/>
        </w:rPr>
        <w:t>3.</w:t>
      </w:r>
      <w:r>
        <w:rPr>
          <w:rFonts w:hint="eastAsia" w:ascii="仿宋" w:hAnsi="仿宋" w:eastAsia="仿宋" w:cs="仿宋"/>
          <w:sz w:val="21"/>
          <w:szCs w:val="21"/>
          <w:lang w:val="zh-CN"/>
        </w:rPr>
        <w:t>付款方式：合同签订后，乙方安装调试完毕，并通过甲方组织的验收合格后1个月内，甲方根据本合同支付全部货款到乙方账户。</w:t>
      </w:r>
    </w:p>
    <w:p>
      <w:pPr>
        <w:pStyle w:val="103"/>
        <w:rPr>
          <w:rFonts w:hint="eastAsia" w:ascii="仿宋" w:hAnsi="仿宋" w:eastAsia="仿宋" w:cs="仿宋"/>
          <w:sz w:val="21"/>
          <w:szCs w:val="21"/>
          <w:lang w:val="zh-CN"/>
        </w:rPr>
      </w:pPr>
      <w:r>
        <w:rPr>
          <w:rFonts w:hint="eastAsia" w:ascii="仿宋" w:hAnsi="仿宋" w:eastAsia="仿宋" w:cs="仿宋"/>
          <w:sz w:val="21"/>
          <w:szCs w:val="21"/>
        </w:rPr>
        <w:t>4.</w:t>
      </w:r>
      <w:r>
        <w:rPr>
          <w:rFonts w:hint="eastAsia" w:ascii="仿宋" w:hAnsi="仿宋" w:eastAsia="仿宋" w:cs="仿宋"/>
          <w:sz w:val="21"/>
          <w:szCs w:val="21"/>
          <w:lang w:val="zh-CN"/>
        </w:rPr>
        <w:t>质量保证：为保证对客户的服务需求提供快速的响应，成交供应商应提供售后服务机构和人员的有关资料，包括：机构名称及地址、人员姓名及所属单位、地址、联系方式；</w:t>
      </w:r>
      <w:r>
        <w:rPr>
          <w:rFonts w:hint="eastAsia" w:ascii="仿宋" w:hAnsi="仿宋" w:eastAsia="仿宋" w:cs="仿宋"/>
          <w:sz w:val="21"/>
          <w:szCs w:val="21"/>
        </w:rPr>
        <w:t>题库</w:t>
      </w:r>
      <w:r>
        <w:rPr>
          <w:rFonts w:hint="eastAsia" w:ascii="仿宋" w:hAnsi="仿宋" w:eastAsia="仿宋" w:cs="仿宋"/>
          <w:sz w:val="21"/>
          <w:szCs w:val="21"/>
          <w:lang w:val="zh-CN"/>
        </w:rPr>
        <w:t>经验收交付使用后，按行业标准进行质保。</w:t>
      </w:r>
    </w:p>
    <w:p>
      <w:pPr>
        <w:pStyle w:val="103"/>
        <w:rPr>
          <w:rFonts w:hint="eastAsia" w:ascii="仿宋" w:hAnsi="仿宋" w:eastAsia="仿宋" w:cs="仿宋"/>
          <w:sz w:val="21"/>
          <w:szCs w:val="21"/>
          <w:lang w:val="zh-CN"/>
        </w:rPr>
      </w:pPr>
      <w:r>
        <w:rPr>
          <w:rFonts w:hint="eastAsia" w:ascii="仿宋" w:hAnsi="仿宋" w:eastAsia="仿宋" w:cs="仿宋"/>
          <w:sz w:val="21"/>
          <w:szCs w:val="21"/>
        </w:rPr>
        <w:t>5.</w:t>
      </w:r>
      <w:r>
        <w:rPr>
          <w:rFonts w:hint="eastAsia" w:ascii="仿宋" w:hAnsi="仿宋" w:eastAsia="仿宋" w:cs="仿宋"/>
          <w:sz w:val="21"/>
          <w:szCs w:val="21"/>
          <w:lang w:val="zh-CN"/>
        </w:rPr>
        <w:t>验收标准：</w:t>
      </w:r>
    </w:p>
    <w:p>
      <w:pPr>
        <w:pStyle w:val="103"/>
        <w:rPr>
          <w:rFonts w:hint="eastAsia" w:ascii="仿宋" w:hAnsi="仿宋" w:eastAsia="仿宋" w:cs="仿宋"/>
          <w:sz w:val="21"/>
          <w:szCs w:val="21"/>
          <w:lang w:val="zh-CN"/>
        </w:rPr>
      </w:pPr>
      <w:r>
        <w:rPr>
          <w:rFonts w:hint="eastAsia" w:ascii="仿宋" w:hAnsi="仿宋" w:eastAsia="仿宋" w:cs="仿宋"/>
          <w:sz w:val="21"/>
          <w:szCs w:val="21"/>
          <w:lang w:val="zh-CN"/>
        </w:rPr>
        <w:t>交付验收标准依次序对照适用标准为：①符合中华人民共和国国家安全质量标准、环保标准或行业标准；②符合采购文件中技术参数及各项配置要求等。</w:t>
      </w:r>
    </w:p>
    <w:p>
      <w:pPr>
        <w:pStyle w:val="103"/>
        <w:rPr>
          <w:rFonts w:hint="eastAsia" w:ascii="仿宋" w:hAnsi="仿宋" w:eastAsia="仿宋" w:cs="仿宋"/>
          <w:sz w:val="21"/>
          <w:szCs w:val="21"/>
          <w:lang w:val="zh-CN"/>
        </w:rPr>
      </w:pPr>
      <w:r>
        <w:rPr>
          <w:rFonts w:hint="eastAsia" w:ascii="仿宋" w:hAnsi="仿宋" w:eastAsia="仿宋" w:cs="仿宋"/>
          <w:sz w:val="21"/>
          <w:szCs w:val="21"/>
          <w:lang w:val="zh-CN"/>
        </w:rPr>
        <w:t>（1）</w:t>
      </w:r>
      <w:r>
        <w:rPr>
          <w:rFonts w:hint="eastAsia" w:ascii="仿宋" w:hAnsi="仿宋" w:eastAsia="仿宋" w:cs="仿宋"/>
          <w:sz w:val="21"/>
          <w:szCs w:val="21"/>
        </w:rPr>
        <w:t>题库</w:t>
      </w:r>
      <w:r>
        <w:rPr>
          <w:rFonts w:hint="eastAsia" w:ascii="仿宋" w:hAnsi="仿宋" w:eastAsia="仿宋" w:cs="仿宋"/>
          <w:sz w:val="21"/>
          <w:szCs w:val="21"/>
          <w:lang w:val="zh-CN"/>
        </w:rPr>
        <w:t>交货工作的10个工作日内，验收应在用户和成交供应商双方共同参加下进行。</w:t>
      </w:r>
    </w:p>
    <w:p>
      <w:pPr>
        <w:pStyle w:val="103"/>
        <w:rPr>
          <w:rFonts w:hint="eastAsia" w:ascii="仿宋" w:hAnsi="仿宋" w:eastAsia="仿宋" w:cs="仿宋"/>
          <w:sz w:val="21"/>
          <w:szCs w:val="21"/>
          <w:lang w:val="zh-CN"/>
        </w:rPr>
      </w:pPr>
      <w:r>
        <w:rPr>
          <w:rFonts w:hint="eastAsia" w:ascii="仿宋" w:hAnsi="仿宋" w:eastAsia="仿宋" w:cs="仿宋"/>
          <w:sz w:val="21"/>
          <w:szCs w:val="21"/>
          <w:lang w:val="zh-CN"/>
        </w:rPr>
        <w:t>（2）验收按国家有关的规定、规范进行。</w:t>
      </w:r>
    </w:p>
    <w:p>
      <w:pPr>
        <w:pStyle w:val="103"/>
        <w:rPr>
          <w:rFonts w:hint="eastAsia" w:ascii="仿宋" w:hAnsi="仿宋" w:eastAsia="仿宋" w:cs="仿宋"/>
          <w:sz w:val="21"/>
          <w:szCs w:val="21"/>
          <w:lang w:val="zh-CN"/>
        </w:rPr>
      </w:pPr>
      <w:r>
        <w:rPr>
          <w:rFonts w:hint="eastAsia" w:ascii="仿宋" w:hAnsi="仿宋" w:eastAsia="仿宋" w:cs="仿宋"/>
          <w:sz w:val="21"/>
          <w:szCs w:val="21"/>
          <w:lang w:val="zh-CN"/>
        </w:rPr>
        <w:t>（3）验收时如发现所交付的</w:t>
      </w:r>
      <w:r>
        <w:rPr>
          <w:rFonts w:hint="eastAsia" w:ascii="仿宋" w:hAnsi="仿宋" w:eastAsia="仿宋" w:cs="仿宋"/>
          <w:sz w:val="21"/>
          <w:szCs w:val="21"/>
        </w:rPr>
        <w:t>题库</w:t>
      </w:r>
      <w:r>
        <w:rPr>
          <w:rFonts w:hint="eastAsia" w:ascii="仿宋" w:hAnsi="仿宋" w:eastAsia="仿宋" w:cs="仿宋"/>
          <w:sz w:val="21"/>
          <w:szCs w:val="21"/>
          <w:lang w:val="zh-CN"/>
        </w:rPr>
        <w:t>在实际使用验收过程中有质量问题或其他不符合采购文件规定之情形者，采购人应做出详尽的现场记录，或由用户和成交供应商双方签署备忘录。此现场记录或备忘录可用作</w:t>
      </w:r>
      <w:r>
        <w:rPr>
          <w:rFonts w:hint="eastAsia" w:ascii="仿宋" w:hAnsi="仿宋" w:eastAsia="仿宋" w:cs="仿宋"/>
          <w:sz w:val="21"/>
          <w:szCs w:val="21"/>
        </w:rPr>
        <w:t>题库</w:t>
      </w:r>
      <w:r>
        <w:rPr>
          <w:rFonts w:hint="eastAsia" w:ascii="仿宋" w:hAnsi="仿宋" w:eastAsia="仿宋" w:cs="仿宋"/>
          <w:sz w:val="21"/>
          <w:szCs w:val="21"/>
          <w:lang w:val="zh-CN"/>
        </w:rPr>
        <w:t>不符合要求拒收或作为补充、缺失和更换损坏题库的有效证据。由此产生的后果及有关费用由成交供应商承担。</w:t>
      </w:r>
    </w:p>
    <w:p>
      <w:pPr>
        <w:pStyle w:val="103"/>
        <w:rPr>
          <w:rFonts w:hint="eastAsia" w:ascii="仿宋" w:hAnsi="仿宋" w:eastAsia="仿宋" w:cs="仿宋"/>
          <w:sz w:val="21"/>
          <w:szCs w:val="21"/>
          <w:lang w:val="zh-CN"/>
        </w:rPr>
      </w:pPr>
      <w:r>
        <w:rPr>
          <w:rFonts w:hint="eastAsia" w:ascii="仿宋" w:hAnsi="仿宋" w:eastAsia="仿宋" w:cs="仿宋"/>
          <w:sz w:val="21"/>
          <w:szCs w:val="21"/>
        </w:rPr>
        <w:t>6.</w:t>
      </w:r>
      <w:r>
        <w:rPr>
          <w:rFonts w:hint="eastAsia" w:ascii="仿宋" w:hAnsi="仿宋" w:eastAsia="仿宋" w:cs="仿宋"/>
          <w:sz w:val="21"/>
          <w:szCs w:val="21"/>
          <w:lang w:val="zh-CN"/>
        </w:rPr>
        <w:t>售后服务：</w:t>
      </w:r>
    </w:p>
    <w:p>
      <w:pPr>
        <w:pStyle w:val="103"/>
        <w:rPr>
          <w:rFonts w:hint="eastAsia" w:ascii="仿宋" w:hAnsi="仿宋" w:eastAsia="仿宋" w:cs="仿宋"/>
          <w:sz w:val="21"/>
          <w:szCs w:val="21"/>
          <w:lang w:val="zh-CN"/>
        </w:rPr>
      </w:pPr>
      <w:r>
        <w:rPr>
          <w:rFonts w:hint="eastAsia" w:ascii="仿宋" w:hAnsi="仿宋" w:eastAsia="仿宋" w:cs="仿宋"/>
          <w:sz w:val="21"/>
          <w:szCs w:val="21"/>
          <w:lang w:val="zh-CN"/>
        </w:rPr>
        <w:t>（1）在免费质保期内，供应商接需方电话后</w:t>
      </w:r>
      <w:r>
        <w:rPr>
          <w:rFonts w:hint="eastAsia" w:ascii="仿宋" w:hAnsi="仿宋" w:eastAsia="仿宋" w:cs="仿宋"/>
          <w:sz w:val="21"/>
          <w:szCs w:val="21"/>
        </w:rPr>
        <w:t>1</w:t>
      </w:r>
      <w:r>
        <w:rPr>
          <w:rFonts w:hint="eastAsia" w:ascii="仿宋" w:hAnsi="仿宋" w:eastAsia="仿宋" w:cs="仿宋"/>
          <w:sz w:val="21"/>
          <w:szCs w:val="21"/>
          <w:lang w:val="zh-CN"/>
        </w:rPr>
        <w:t>小时内响应，</w:t>
      </w:r>
      <w:r>
        <w:rPr>
          <w:rFonts w:hint="eastAsia" w:ascii="仿宋" w:hAnsi="仿宋" w:eastAsia="仿宋" w:cs="仿宋"/>
          <w:sz w:val="21"/>
          <w:szCs w:val="21"/>
        </w:rPr>
        <w:t>2</w:t>
      </w:r>
      <w:r>
        <w:rPr>
          <w:rFonts w:hint="eastAsia" w:ascii="仿宋" w:hAnsi="仿宋" w:eastAsia="仿宋" w:cs="仿宋"/>
          <w:sz w:val="21"/>
          <w:szCs w:val="21"/>
          <w:lang w:val="zh-CN"/>
        </w:rPr>
        <w:t>小时内答复，如无法沟通解决问题，需要</w:t>
      </w:r>
      <w:r>
        <w:rPr>
          <w:rFonts w:hint="eastAsia" w:ascii="仿宋" w:hAnsi="仿宋" w:eastAsia="仿宋" w:cs="仿宋"/>
          <w:sz w:val="21"/>
          <w:szCs w:val="21"/>
        </w:rPr>
        <w:t>48</w:t>
      </w:r>
      <w:r>
        <w:rPr>
          <w:rFonts w:hint="eastAsia" w:ascii="仿宋" w:hAnsi="仿宋" w:eastAsia="仿宋" w:cs="仿宋"/>
          <w:sz w:val="21"/>
          <w:szCs w:val="21"/>
          <w:lang w:val="zh-CN"/>
        </w:rPr>
        <w:t>小时内到达现场</w:t>
      </w:r>
      <w:r>
        <w:rPr>
          <w:rFonts w:hint="eastAsia" w:ascii="仿宋" w:hAnsi="仿宋" w:eastAsia="仿宋" w:cs="仿宋"/>
          <w:sz w:val="21"/>
          <w:szCs w:val="21"/>
        </w:rPr>
        <w:t>处理问题</w:t>
      </w:r>
      <w:r>
        <w:rPr>
          <w:rFonts w:hint="eastAsia" w:ascii="仿宋" w:hAnsi="仿宋" w:eastAsia="仿宋" w:cs="仿宋"/>
          <w:sz w:val="21"/>
          <w:szCs w:val="21"/>
          <w:lang w:val="zh-CN"/>
        </w:rPr>
        <w:t>，非采购人人为引起的故障一概由供应商负责并承担一切费用，免费保修期内因调试所延误时间顺延免费保修期。</w:t>
      </w:r>
    </w:p>
    <w:p>
      <w:pPr>
        <w:pStyle w:val="103"/>
        <w:rPr>
          <w:rFonts w:hint="eastAsia" w:ascii="仿宋" w:hAnsi="仿宋" w:eastAsia="仿宋" w:cs="仿宋"/>
          <w:sz w:val="21"/>
          <w:szCs w:val="21"/>
          <w:lang w:val="zh-CN"/>
        </w:rPr>
      </w:pPr>
      <w:r>
        <w:rPr>
          <w:rFonts w:hint="eastAsia" w:ascii="仿宋" w:hAnsi="仿宋" w:eastAsia="仿宋" w:cs="仿宋"/>
          <w:sz w:val="21"/>
          <w:szCs w:val="21"/>
          <w:lang w:val="zh-CN"/>
        </w:rPr>
        <w:t>（</w:t>
      </w:r>
      <w:r>
        <w:rPr>
          <w:rFonts w:hint="eastAsia" w:ascii="仿宋" w:hAnsi="仿宋" w:eastAsia="仿宋" w:cs="仿宋"/>
          <w:sz w:val="21"/>
          <w:szCs w:val="21"/>
        </w:rPr>
        <w:t>2）</w:t>
      </w:r>
      <w:r>
        <w:rPr>
          <w:rFonts w:hint="eastAsia" w:ascii="仿宋" w:hAnsi="仿宋" w:eastAsia="仿宋" w:cs="仿宋"/>
          <w:sz w:val="21"/>
          <w:szCs w:val="21"/>
          <w:lang w:val="zh-CN"/>
        </w:rPr>
        <w:t>供应商终身</w:t>
      </w:r>
      <w:r>
        <w:rPr>
          <w:rFonts w:hint="eastAsia" w:ascii="仿宋" w:hAnsi="仿宋" w:eastAsia="仿宋" w:cs="仿宋"/>
          <w:sz w:val="21"/>
          <w:szCs w:val="21"/>
        </w:rPr>
        <w:t>提供协助服务，保证题库正常使用和运行</w:t>
      </w:r>
      <w:r>
        <w:rPr>
          <w:rFonts w:hint="eastAsia" w:ascii="仿宋" w:hAnsi="仿宋" w:eastAsia="仿宋" w:cs="仿宋"/>
          <w:sz w:val="21"/>
          <w:szCs w:val="21"/>
          <w:lang w:val="zh-CN"/>
        </w:rPr>
        <w:t xml:space="preserve">。 </w:t>
      </w:r>
    </w:p>
    <w:p>
      <w:pPr>
        <w:pStyle w:val="103"/>
        <w:rPr>
          <w:rFonts w:hint="eastAsia" w:ascii="仿宋" w:hAnsi="仿宋" w:eastAsia="仿宋" w:cs="仿宋"/>
          <w:sz w:val="21"/>
          <w:szCs w:val="21"/>
          <w:lang w:val="zh-CN"/>
        </w:rPr>
      </w:pPr>
      <w:r>
        <w:rPr>
          <w:rFonts w:hint="eastAsia" w:ascii="仿宋" w:hAnsi="仿宋" w:eastAsia="仿宋" w:cs="仿宋"/>
          <w:sz w:val="21"/>
          <w:szCs w:val="21"/>
          <w:lang w:val="zh-CN"/>
        </w:rPr>
        <w:t>（</w:t>
      </w:r>
      <w:r>
        <w:rPr>
          <w:rFonts w:hint="eastAsia" w:ascii="仿宋" w:hAnsi="仿宋" w:eastAsia="仿宋" w:cs="仿宋"/>
          <w:sz w:val="21"/>
          <w:szCs w:val="21"/>
        </w:rPr>
        <w:t>3）</w:t>
      </w:r>
      <w:r>
        <w:rPr>
          <w:rFonts w:hint="eastAsia" w:ascii="仿宋" w:hAnsi="仿宋" w:eastAsia="仿宋" w:cs="仿宋"/>
          <w:sz w:val="21"/>
          <w:szCs w:val="21"/>
          <w:lang w:val="zh-CN"/>
        </w:rPr>
        <w:t>供应商需要</w:t>
      </w:r>
      <w:r>
        <w:rPr>
          <w:rFonts w:hint="eastAsia" w:ascii="仿宋" w:hAnsi="仿宋" w:eastAsia="仿宋" w:cs="仿宋"/>
          <w:sz w:val="21"/>
          <w:szCs w:val="21"/>
        </w:rPr>
        <w:t>在广东省内</w:t>
      </w:r>
      <w:r>
        <w:rPr>
          <w:rFonts w:hint="eastAsia" w:ascii="仿宋" w:hAnsi="仿宋" w:eastAsia="仿宋" w:cs="仿宋"/>
          <w:sz w:val="21"/>
          <w:szCs w:val="21"/>
          <w:lang w:val="zh-CN"/>
        </w:rPr>
        <w:t>拥有在地服务中心，</w:t>
      </w:r>
      <w:r>
        <w:rPr>
          <w:rFonts w:hint="eastAsia" w:ascii="仿宋" w:hAnsi="仿宋" w:eastAsia="仿宋" w:cs="仿宋"/>
          <w:sz w:val="21"/>
          <w:szCs w:val="21"/>
        </w:rPr>
        <w:t>以便及时提供服务，需要</w:t>
      </w:r>
      <w:r>
        <w:rPr>
          <w:rFonts w:hint="eastAsia" w:ascii="仿宋" w:hAnsi="仿宋" w:eastAsia="仿宋" w:cs="仿宋"/>
          <w:sz w:val="21"/>
          <w:szCs w:val="21"/>
          <w:lang w:val="zh-CN"/>
        </w:rPr>
        <w:t>提供服务中心联系方式、场地证明。</w:t>
      </w:r>
    </w:p>
    <w:p>
      <w:pPr>
        <w:ind w:firstLine="524" w:firstLineChars="200"/>
        <w:rPr>
          <w:rFonts w:hint="eastAsia" w:ascii="仿宋" w:hAnsi="仿宋" w:eastAsia="仿宋" w:cs="仿宋"/>
          <w:bCs/>
          <w:color w:val="000000" w:themeColor="text1"/>
          <w:sz w:val="21"/>
          <w:szCs w:val="21"/>
          <w:lang w:val="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w:t>
      </w:r>
      <w:r>
        <w:rPr>
          <w:rFonts w:hint="eastAsia" w:ascii="仿宋" w:hAnsi="仿宋" w:eastAsia="仿宋" w:cs="仿宋"/>
          <w:bCs/>
          <w:color w:val="000000" w:themeColor="text1"/>
          <w:sz w:val="21"/>
          <w:szCs w:val="21"/>
          <w:lang w:val="zh-CN"/>
          <w14:textFill>
            <w14:solidFill>
              <w14:schemeClr w14:val="tx1"/>
            </w14:solidFill>
          </w14:textFill>
        </w:rPr>
        <w:t>技术培训服务要求：</w:t>
      </w:r>
    </w:p>
    <w:p>
      <w:pPr>
        <w:ind w:firstLine="524" w:firstLineChars="200"/>
        <w:rPr>
          <w:rFonts w:hint="eastAsia" w:ascii="仿宋" w:hAnsi="仿宋" w:eastAsia="仿宋" w:cs="仿宋"/>
          <w:bCs/>
          <w:color w:val="000000" w:themeColor="text1"/>
          <w:kern w:val="0"/>
          <w:sz w:val="21"/>
          <w:szCs w:val="21"/>
          <w:lang w:val="zh-CN"/>
          <w14:textFill>
            <w14:solidFill>
              <w14:schemeClr w14:val="tx1"/>
            </w14:solidFill>
          </w14:textFill>
        </w:rPr>
      </w:pPr>
      <w:r>
        <w:rPr>
          <w:rFonts w:hint="eastAsia" w:ascii="仿宋" w:hAnsi="仿宋" w:eastAsia="仿宋" w:cs="仿宋"/>
          <w:bCs/>
          <w:color w:val="000000" w:themeColor="text1"/>
          <w:sz w:val="21"/>
          <w:szCs w:val="21"/>
          <w:lang w:val="zh-CN"/>
          <w14:textFill>
            <w14:solidFill>
              <w14:schemeClr w14:val="tx1"/>
            </w14:solidFill>
          </w14:textFill>
        </w:rPr>
        <w:t>（</w:t>
      </w:r>
      <w:r>
        <w:rPr>
          <w:rFonts w:hint="eastAsia" w:ascii="仿宋" w:hAnsi="仿宋" w:eastAsia="仿宋" w:cs="仿宋"/>
          <w:bCs/>
          <w:color w:val="000000" w:themeColor="text1"/>
          <w:kern w:val="0"/>
          <w:sz w:val="21"/>
          <w:szCs w:val="21"/>
          <w14:textFill>
            <w14:solidFill>
              <w14:schemeClr w14:val="tx1"/>
            </w14:solidFill>
          </w14:textFill>
        </w:rPr>
        <w:t>1）</w:t>
      </w:r>
      <w:r>
        <w:rPr>
          <w:rFonts w:hint="eastAsia" w:ascii="仿宋" w:hAnsi="仿宋" w:eastAsia="仿宋" w:cs="仿宋"/>
          <w:bCs/>
          <w:color w:val="000000" w:themeColor="text1"/>
          <w:kern w:val="0"/>
          <w:sz w:val="21"/>
          <w:szCs w:val="21"/>
          <w:lang w:val="zh-CN"/>
          <w14:textFill>
            <w14:solidFill>
              <w14:schemeClr w14:val="tx1"/>
            </w14:solidFill>
          </w14:textFill>
        </w:rPr>
        <w:t>供应商提供详细技术资料并免费按需方要求进行技术培训。</w:t>
      </w:r>
    </w:p>
    <w:p>
      <w:pPr>
        <w:ind w:firstLine="524" w:firstLineChars="200"/>
        <w:rPr>
          <w:rFonts w:hint="eastAsia" w:ascii="仿宋" w:hAnsi="仿宋" w:eastAsia="仿宋" w:cs="仿宋"/>
          <w:bCs/>
          <w:color w:val="000000" w:themeColor="text1"/>
          <w:kern w:val="0"/>
          <w:sz w:val="21"/>
          <w:szCs w:val="21"/>
          <w:lang w:val="zh-CN"/>
          <w14:textFill>
            <w14:solidFill>
              <w14:schemeClr w14:val="tx1"/>
            </w14:solidFill>
          </w14:textFill>
        </w:rPr>
      </w:pPr>
      <w:r>
        <w:rPr>
          <w:rFonts w:hint="eastAsia" w:ascii="仿宋" w:hAnsi="仿宋" w:eastAsia="仿宋" w:cs="仿宋"/>
          <w:bCs/>
          <w:color w:val="000000" w:themeColor="text1"/>
          <w:sz w:val="21"/>
          <w:szCs w:val="21"/>
          <w:lang w:val="zh-CN"/>
          <w14:textFill>
            <w14:solidFill>
              <w14:schemeClr w14:val="tx1"/>
            </w14:solidFill>
          </w14:textFill>
        </w:rPr>
        <w:t>（</w:t>
      </w:r>
      <w:r>
        <w:rPr>
          <w:rFonts w:hint="eastAsia" w:ascii="仿宋" w:hAnsi="仿宋" w:eastAsia="仿宋" w:cs="仿宋"/>
          <w:bCs/>
          <w:color w:val="000000" w:themeColor="text1"/>
          <w:kern w:val="0"/>
          <w:sz w:val="21"/>
          <w:szCs w:val="21"/>
          <w14:textFill>
            <w14:solidFill>
              <w14:schemeClr w14:val="tx1"/>
            </w14:solidFill>
          </w14:textFill>
        </w:rPr>
        <w:t>2）</w:t>
      </w:r>
      <w:r>
        <w:rPr>
          <w:rFonts w:hint="eastAsia" w:ascii="仿宋" w:hAnsi="仿宋" w:eastAsia="仿宋" w:cs="仿宋"/>
          <w:bCs/>
          <w:color w:val="000000" w:themeColor="text1"/>
          <w:kern w:val="0"/>
          <w:sz w:val="21"/>
          <w:szCs w:val="21"/>
          <w:lang w:val="zh-CN"/>
          <w14:textFill>
            <w14:solidFill>
              <w14:schemeClr w14:val="tx1"/>
            </w14:solidFill>
          </w14:textFill>
        </w:rPr>
        <w:t>培训的内容及方案应由双方协商制定。供方前来进行技术培训人员的费用包括在合同总价中。</w:t>
      </w:r>
    </w:p>
    <w:p>
      <w:pPr>
        <w:tabs>
          <w:tab w:val="left" w:pos="740"/>
        </w:tabs>
        <w:jc w:val="left"/>
        <w:rPr>
          <w:rFonts w:hint="eastAsia" w:ascii="仿宋" w:hAnsi="仿宋" w:eastAsia="仿宋" w:cs="仿宋"/>
          <w:sz w:val="21"/>
          <w:szCs w:val="21"/>
        </w:rPr>
      </w:pPr>
      <w:r>
        <w:rPr>
          <w:rFonts w:hint="eastAsia" w:ascii="仿宋" w:hAnsi="仿宋" w:eastAsia="仿宋" w:cs="仿宋"/>
          <w:sz w:val="21"/>
          <w:szCs w:val="21"/>
        </w:rPr>
        <w:tab/>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360" w:lineRule="auto"/>
        <w:rPr>
          <w:rFonts w:hint="eastAsia" w:ascii="仿宋" w:hAnsi="仿宋" w:eastAsia="仿宋" w:cs="仿宋"/>
          <w:b/>
          <w:bCs/>
          <w:color w:val="000000" w:themeColor="text1"/>
          <w:sz w:val="24"/>
          <w:szCs w:val="24"/>
          <w14:textFill>
            <w14:solidFill>
              <w14:schemeClr w14:val="tx1"/>
            </w14:solidFill>
          </w14:textFill>
        </w:rPr>
      </w:pPr>
    </w:p>
    <w:p>
      <w:pPr>
        <w:ind w:left="438" w:leftChars="132"/>
        <w:rPr>
          <w:rFonts w:hint="eastAsia" w:ascii="仿宋" w:hAnsi="仿宋" w:eastAsia="仿宋" w:cs="仿宋"/>
          <w:b/>
          <w:sz w:val="21"/>
          <w:szCs w:val="21"/>
        </w:rPr>
      </w:pPr>
    </w:p>
    <w:p>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pPr>
        <w:kinsoku w:val="0"/>
        <w:wordWrap w:val="0"/>
        <w:topLinePunct/>
        <w:spacing w:line="340" w:lineRule="exact"/>
        <w:jc w:val="center"/>
        <w:rPr>
          <w:rFonts w:hint="eastAsia" w:ascii="仿宋" w:hAnsi="仿宋" w:eastAsia="仿宋" w:cs="仿宋"/>
          <w:b/>
          <w:sz w:val="32"/>
        </w:rPr>
      </w:pPr>
    </w:p>
    <w:p>
      <w:pPr>
        <w:pStyle w:val="111"/>
        <w:spacing w:line="360" w:lineRule="auto"/>
        <w:ind w:left="0"/>
        <w:rPr>
          <w:rFonts w:hint="eastAsia" w:ascii="仿宋" w:hAnsi="仿宋" w:eastAsia="仿宋" w:cs="仿宋"/>
        </w:rPr>
      </w:pPr>
      <w:r>
        <w:rPr>
          <w:rFonts w:hint="eastAsia" w:ascii="仿宋" w:hAnsi="仿宋" w:eastAsia="仿宋" w:cs="仿宋"/>
          <w:b/>
          <w:sz w:val="32"/>
        </w:rPr>
        <w:t>第三部分</w:t>
      </w:r>
      <w:r>
        <w:rPr>
          <w:rFonts w:hint="eastAsia" w:ascii="仿宋" w:hAnsi="仿宋" w:eastAsia="仿宋" w:cs="仿宋"/>
          <w:sz w:val="28"/>
          <w:szCs w:val="28"/>
        </w:rPr>
        <w:t xml:space="preserve"> </w:t>
      </w:r>
      <w:r>
        <w:rPr>
          <w:rFonts w:hint="eastAsia" w:ascii="仿宋" w:hAnsi="仿宋" w:eastAsia="仿宋" w:cs="仿宋"/>
          <w:b/>
          <w:bCs/>
          <w:spacing w:val="-17"/>
          <w:sz w:val="28"/>
          <w:szCs w:val="28"/>
          <w:lang w:val="en-US" w:eastAsia="zh-CN" w:bidi="ar-SA"/>
        </w:rPr>
        <w:t>汕头大学医学院临床医学题库采购合同</w:t>
      </w:r>
      <w:r>
        <w:rPr>
          <w:rFonts w:hint="eastAsia" w:ascii="仿宋" w:hAnsi="仿宋" w:eastAsia="仿宋" w:cs="仿宋"/>
          <w:b/>
          <w:sz w:val="32"/>
        </w:rPr>
        <w:t>（参考样本</w:t>
      </w:r>
      <w:r>
        <w:rPr>
          <w:rFonts w:hint="eastAsia" w:ascii="仿宋" w:hAnsi="仿宋" w:eastAsia="仿宋" w:cs="仿宋"/>
          <w:b/>
          <w:sz w:val="32"/>
          <w:lang w:eastAsia="zh-CN"/>
        </w:rPr>
        <w:t>）</w:t>
      </w:r>
      <w:r>
        <w:rPr>
          <w:rFonts w:hint="eastAsia" w:ascii="仿宋" w:hAnsi="仿宋" w:eastAsia="仿宋" w:cs="仿宋"/>
          <w:sz w:val="24"/>
        </w:rPr>
        <w:t xml:space="preserve">                </w:t>
      </w:r>
    </w:p>
    <w:p>
      <w:pPr>
        <w:spacing w:before="55" w:line="360" w:lineRule="auto"/>
        <w:ind w:left="38" w:right="-129" w:rightChars="-39" w:hanging="37" w:hangingChars="13"/>
        <w:jc w:val="center"/>
        <w:rPr>
          <w:rFonts w:hint="eastAsia" w:ascii="仿宋" w:hAnsi="仿宋" w:eastAsia="仿宋" w:cs="仿宋"/>
          <w:sz w:val="24"/>
        </w:rPr>
      </w:pPr>
      <w:r>
        <w:rPr>
          <w:rFonts w:hint="eastAsia" w:ascii="仿宋" w:hAnsi="仿宋" w:eastAsia="仿宋" w:cs="仿宋"/>
          <w:sz w:val="24"/>
        </w:rPr>
        <w:t xml:space="preserve">                                        合同编号：</w:t>
      </w:r>
      <w:r>
        <w:rPr>
          <w:rFonts w:hint="eastAsia" w:ascii="仿宋" w:hAnsi="仿宋" w:eastAsia="仿宋" w:cs="仿宋"/>
          <w:sz w:val="24"/>
          <w:u w:val="single"/>
        </w:rPr>
        <w:t xml:space="preserve">         </w:t>
      </w:r>
    </w:p>
    <w:p>
      <w:pPr>
        <w:pStyle w:val="11"/>
        <w:spacing w:line="360" w:lineRule="auto"/>
        <w:rPr>
          <w:rFonts w:hint="eastAsia" w:ascii="仿宋" w:hAnsi="仿宋" w:eastAsia="仿宋" w:cs="仿宋"/>
          <w:color w:val="000000"/>
          <w:sz w:val="24"/>
          <w:szCs w:val="24"/>
          <w:lang w:bidi="en-US"/>
        </w:rPr>
      </w:pPr>
      <w:r>
        <w:rPr>
          <w:rFonts w:hint="eastAsia" w:ascii="仿宋" w:hAnsi="仿宋" w:eastAsia="仿宋" w:cs="仿宋"/>
          <w:sz w:val="24"/>
        </w:rPr>
        <w:t xml:space="preserve">需  方（甲方）：汕头大学医学院                  </w:t>
      </w:r>
      <w:r>
        <w:rPr>
          <w:rFonts w:hint="eastAsia" w:ascii="仿宋" w:hAnsi="仿宋" w:eastAsia="仿宋" w:cs="仿宋"/>
          <w:color w:val="000000"/>
          <w:sz w:val="24"/>
          <w:szCs w:val="24"/>
          <w:lang w:bidi="en-US"/>
        </w:rPr>
        <w:t xml:space="preserve"> </w:t>
      </w:r>
    </w:p>
    <w:p>
      <w:pPr>
        <w:spacing w:line="360" w:lineRule="auto"/>
        <w:rPr>
          <w:rFonts w:hint="eastAsia" w:ascii="仿宋" w:hAnsi="仿宋" w:eastAsia="仿宋" w:cs="仿宋"/>
          <w:color w:val="000000"/>
          <w:kern w:val="0"/>
          <w:sz w:val="24"/>
          <w:szCs w:val="24"/>
          <w:lang w:bidi="en-US"/>
        </w:rPr>
      </w:pPr>
      <w:r>
        <w:rPr>
          <w:rFonts w:hint="eastAsia" w:ascii="仿宋" w:hAnsi="仿宋" w:eastAsia="仿宋" w:cs="仿宋"/>
          <w:sz w:val="24"/>
        </w:rPr>
        <w:t xml:space="preserve">供  方（乙方）：                    </w:t>
      </w:r>
      <w:r>
        <w:rPr>
          <w:rFonts w:hint="eastAsia" w:ascii="仿宋" w:hAnsi="仿宋" w:eastAsia="仿宋" w:cs="仿宋"/>
          <w:color w:val="000000"/>
          <w:kern w:val="0"/>
          <w:sz w:val="24"/>
          <w:szCs w:val="24"/>
          <w:lang w:bidi="en-US"/>
        </w:rPr>
        <w:t>签订地点：广东省汕头市</w:t>
      </w:r>
    </w:p>
    <w:p>
      <w:pPr>
        <w:kinsoku w:val="0"/>
        <w:wordWrap w:val="0"/>
        <w:topLinePunct/>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根据《中华人民共和国民法典》及</w:t>
      </w:r>
      <w:r>
        <w:rPr>
          <w:rFonts w:hint="eastAsia" w:ascii="仿宋" w:hAnsi="仿宋" w:eastAsia="仿宋" w:cs="仿宋"/>
          <w:color w:val="000000"/>
          <w:sz w:val="21"/>
          <w:szCs w:val="21"/>
        </w:rPr>
        <w:softHyphen/>
      </w:r>
      <w:r>
        <w:rPr>
          <w:rFonts w:hint="eastAsia" w:ascii="仿宋" w:hAnsi="仿宋" w:eastAsia="仿宋" w:cs="仿宋"/>
          <w:color w:val="000000"/>
          <w:sz w:val="21"/>
          <w:szCs w:val="21"/>
        </w:rPr>
        <w:softHyphen/>
      </w:r>
      <w:r>
        <w:rPr>
          <w:rFonts w:hint="eastAsia" w:ascii="仿宋" w:hAnsi="仿宋" w:eastAsia="仿宋" w:cs="仿宋"/>
          <w:color w:val="000000"/>
          <w:sz w:val="21"/>
          <w:szCs w:val="21"/>
        </w:rPr>
        <w:softHyphen/>
      </w:r>
      <w:r>
        <w:rPr>
          <w:rFonts w:hint="eastAsia" w:ascii="仿宋" w:hAnsi="仿宋" w:eastAsia="仿宋" w:cs="仿宋"/>
          <w:color w:val="000000"/>
          <w:sz w:val="21"/>
          <w:szCs w:val="21"/>
        </w:rPr>
        <w:softHyphen/>
      </w:r>
      <w:r>
        <w:rPr>
          <w:rFonts w:hint="eastAsia" w:ascii="仿宋" w:hAnsi="仿宋" w:eastAsia="仿宋" w:cs="仿宋"/>
          <w:color w:val="000000"/>
          <w:sz w:val="21"/>
          <w:szCs w:val="21"/>
        </w:rPr>
        <w:t>_2024_年__月__日汕头大学医学院“</w:t>
      </w:r>
      <w:r>
        <w:rPr>
          <w:rFonts w:hint="eastAsia" w:ascii="仿宋" w:hAnsi="仿宋" w:eastAsia="仿宋" w:cs="仿宋"/>
          <w:sz w:val="21"/>
          <w:szCs w:val="21"/>
        </w:rPr>
        <w:t>汕头大学医学院临床医学题库采购项目</w:t>
      </w:r>
      <w:r>
        <w:rPr>
          <w:rFonts w:hint="eastAsia" w:ascii="仿宋" w:hAnsi="仿宋" w:eastAsia="仿宋" w:cs="仿宋"/>
          <w:color w:val="000000"/>
          <w:sz w:val="21"/>
          <w:szCs w:val="21"/>
        </w:rPr>
        <w:t>”招标文件及产生的中标结果，经甲、乙双方平等协商，签订本合同。</w:t>
      </w:r>
    </w:p>
    <w:p>
      <w:pPr>
        <w:kinsoku w:val="0"/>
        <w:wordWrap w:val="0"/>
        <w:topLinePunct/>
        <w:spacing w:line="340" w:lineRule="exact"/>
        <w:rPr>
          <w:rFonts w:hint="eastAsia" w:ascii="仿宋" w:hAnsi="仿宋" w:eastAsia="仿宋" w:cs="仿宋"/>
          <w:sz w:val="24"/>
          <w:szCs w:val="24"/>
        </w:rPr>
      </w:pPr>
      <w:r>
        <w:rPr>
          <w:rFonts w:hint="eastAsia" w:ascii="仿宋" w:hAnsi="仿宋" w:eastAsia="仿宋" w:cs="仿宋"/>
          <w:sz w:val="24"/>
          <w:szCs w:val="24"/>
        </w:rPr>
        <w:t>一．下列合同文件是构成本合同不可分割的部分：</w:t>
      </w:r>
    </w:p>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1. 合同条款</w:t>
      </w:r>
    </w:p>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2.中标公告</w:t>
      </w:r>
    </w:p>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3. 其他文件或材料</w:t>
      </w:r>
    </w:p>
    <w:p>
      <w:pPr>
        <w:pStyle w:val="11"/>
        <w:rPr>
          <w:rFonts w:hint="eastAsia" w:ascii="仿宋" w:hAnsi="仿宋" w:eastAsia="仿宋" w:cs="仿宋"/>
        </w:rPr>
      </w:pPr>
    </w:p>
    <w:p>
      <w:pPr>
        <w:kinsoku w:val="0"/>
        <w:wordWrap w:val="0"/>
        <w:topLinePunct/>
        <w:spacing w:line="360" w:lineRule="auto"/>
        <w:rPr>
          <w:rFonts w:hint="eastAsia" w:ascii="仿宋" w:hAnsi="仿宋" w:eastAsia="仿宋" w:cs="仿宋"/>
          <w:b/>
          <w:sz w:val="24"/>
          <w:szCs w:val="24"/>
        </w:rPr>
      </w:pPr>
      <w:r>
        <w:rPr>
          <w:rFonts w:hint="eastAsia" w:ascii="仿宋" w:hAnsi="仿宋" w:eastAsia="仿宋" w:cs="仿宋"/>
          <w:b/>
          <w:sz w:val="24"/>
          <w:szCs w:val="24"/>
        </w:rPr>
        <w:t>二.产品报价</w:t>
      </w:r>
    </w:p>
    <w:p>
      <w:pPr>
        <w:kinsoku w:val="0"/>
        <w:wordWrap w:val="0"/>
        <w:topLinePunct/>
        <w:spacing w:line="360" w:lineRule="auto"/>
        <w:ind w:firstLine="662" w:firstLineChars="253"/>
        <w:rPr>
          <w:rFonts w:hint="eastAsia" w:ascii="仿宋" w:hAnsi="仿宋" w:eastAsia="仿宋" w:cs="仿宋"/>
          <w:b/>
          <w:sz w:val="21"/>
          <w:szCs w:val="21"/>
        </w:rPr>
      </w:pPr>
      <w:r>
        <w:rPr>
          <w:rFonts w:hint="eastAsia" w:ascii="仿宋" w:hAnsi="仿宋" w:eastAsia="仿宋" w:cs="仿宋"/>
          <w:b/>
          <w:sz w:val="21"/>
          <w:szCs w:val="21"/>
        </w:rPr>
        <w:t>1、产品报价：</w:t>
      </w:r>
    </w:p>
    <w:tbl>
      <w:tblPr>
        <w:tblStyle w:val="25"/>
        <w:tblpPr w:leftFromText="180" w:rightFromText="180" w:vertAnchor="text" w:horzAnchor="page" w:tblpX="1822" w:tblpY="179"/>
        <w:tblOverlap w:val="never"/>
        <w:tblW w:w="0" w:type="auto"/>
        <w:tblInd w:w="0" w:type="dxa"/>
        <w:tblLayout w:type="fixed"/>
        <w:tblCellMar>
          <w:top w:w="0" w:type="dxa"/>
          <w:left w:w="28" w:type="dxa"/>
          <w:bottom w:w="0" w:type="dxa"/>
          <w:right w:w="28" w:type="dxa"/>
        </w:tblCellMar>
      </w:tblPr>
      <w:tblGrid>
        <w:gridCol w:w="2691"/>
        <w:gridCol w:w="578"/>
        <w:gridCol w:w="560"/>
        <w:gridCol w:w="1779"/>
        <w:gridCol w:w="1779"/>
        <w:gridCol w:w="1215"/>
        <w:gridCol w:w="1320"/>
      </w:tblGrid>
      <w:tr>
        <w:tblPrEx>
          <w:tblCellMar>
            <w:top w:w="0" w:type="dxa"/>
            <w:left w:w="28" w:type="dxa"/>
            <w:bottom w:w="0" w:type="dxa"/>
            <w:right w:w="28" w:type="dxa"/>
          </w:tblCellMar>
        </w:tblPrEx>
        <w:trPr>
          <w:trHeight w:val="566" w:hRule="atLeast"/>
        </w:trPr>
        <w:tc>
          <w:tcPr>
            <w:tcW w:w="2691" w:type="dxa"/>
            <w:tcBorders>
              <w:top w:val="single" w:color="auto" w:sz="12" w:space="0"/>
              <w:left w:val="single" w:color="auto" w:sz="12"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p>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产品名称</w:t>
            </w:r>
          </w:p>
        </w:tc>
        <w:tc>
          <w:tcPr>
            <w:tcW w:w="578" w:type="dxa"/>
            <w:tcBorders>
              <w:top w:val="single" w:color="auto" w:sz="12" w:space="0"/>
              <w:left w:val="single" w:color="auto" w:sz="6"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数量</w:t>
            </w:r>
          </w:p>
        </w:tc>
        <w:tc>
          <w:tcPr>
            <w:tcW w:w="560" w:type="dxa"/>
            <w:tcBorders>
              <w:top w:val="single" w:color="auto" w:sz="12" w:space="0"/>
              <w:left w:val="single" w:color="auto" w:sz="6"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单位</w:t>
            </w:r>
          </w:p>
        </w:tc>
        <w:tc>
          <w:tcPr>
            <w:tcW w:w="1779" w:type="dxa"/>
            <w:tcBorders>
              <w:top w:val="single" w:color="auto" w:sz="12" w:space="0"/>
              <w:left w:val="single" w:color="auto" w:sz="6"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使用年限</w:t>
            </w:r>
          </w:p>
        </w:tc>
        <w:tc>
          <w:tcPr>
            <w:tcW w:w="1779" w:type="dxa"/>
            <w:tcBorders>
              <w:top w:val="single" w:color="auto" w:sz="12" w:space="0"/>
              <w:left w:val="single" w:color="auto" w:sz="6"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提供服务期限</w:t>
            </w:r>
          </w:p>
        </w:tc>
        <w:tc>
          <w:tcPr>
            <w:tcW w:w="1215" w:type="dxa"/>
            <w:tcBorders>
              <w:top w:val="single" w:color="auto" w:sz="12" w:space="0"/>
              <w:left w:val="single" w:color="auto" w:sz="6"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单价</w:t>
            </w:r>
          </w:p>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（元）</w:t>
            </w:r>
          </w:p>
        </w:tc>
        <w:tc>
          <w:tcPr>
            <w:tcW w:w="1320" w:type="dxa"/>
            <w:tcBorders>
              <w:top w:val="single" w:color="auto" w:sz="12" w:space="0"/>
              <w:left w:val="single" w:color="auto" w:sz="6" w:space="0"/>
              <w:bottom w:val="single" w:color="auto" w:sz="6" w:space="0"/>
              <w:right w:val="single" w:color="auto" w:sz="12" w:space="0"/>
            </w:tcBorders>
          </w:tcPr>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总价</w:t>
            </w:r>
          </w:p>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（元）</w:t>
            </w:r>
          </w:p>
        </w:tc>
      </w:tr>
      <w:tr>
        <w:tblPrEx>
          <w:tblCellMar>
            <w:top w:w="0" w:type="dxa"/>
            <w:left w:w="28" w:type="dxa"/>
            <w:bottom w:w="0" w:type="dxa"/>
            <w:right w:w="28" w:type="dxa"/>
          </w:tblCellMar>
        </w:tblPrEx>
        <w:trPr>
          <w:trHeight w:val="566" w:hRule="atLeast"/>
        </w:trPr>
        <w:tc>
          <w:tcPr>
            <w:tcW w:w="2691" w:type="dxa"/>
            <w:tcBorders>
              <w:top w:val="single" w:color="auto" w:sz="6" w:space="0"/>
              <w:left w:val="single" w:color="auto" w:sz="12"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汕头大学医学院临床医学题库</w:t>
            </w:r>
          </w:p>
        </w:tc>
        <w:tc>
          <w:tcPr>
            <w:tcW w:w="578" w:type="dxa"/>
            <w:tcBorders>
              <w:top w:val="single" w:color="auto" w:sz="6" w:space="0"/>
              <w:left w:val="single" w:color="auto" w:sz="6"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p>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560" w:type="dxa"/>
            <w:tcBorders>
              <w:top w:val="single" w:color="auto" w:sz="6" w:space="0"/>
              <w:left w:val="single" w:color="auto" w:sz="6"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p>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套</w:t>
            </w:r>
          </w:p>
        </w:tc>
        <w:tc>
          <w:tcPr>
            <w:tcW w:w="1779" w:type="dxa"/>
            <w:tcBorders>
              <w:top w:val="single" w:color="auto" w:sz="6" w:space="0"/>
              <w:left w:val="single" w:color="auto" w:sz="6"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永久</w:t>
            </w:r>
          </w:p>
        </w:tc>
        <w:tc>
          <w:tcPr>
            <w:tcW w:w="1779" w:type="dxa"/>
            <w:tcBorders>
              <w:top w:val="single" w:color="auto" w:sz="6" w:space="0"/>
              <w:left w:val="single" w:color="auto" w:sz="6"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r>
              <w:rPr>
                <w:rFonts w:hint="eastAsia" w:ascii="仿宋" w:hAnsi="仿宋" w:eastAsia="仿宋" w:cs="仿宋"/>
                <w:sz w:val="21"/>
                <w:szCs w:val="21"/>
              </w:rPr>
              <w:t>1年（自题库开通日起）</w:t>
            </w:r>
          </w:p>
        </w:tc>
        <w:tc>
          <w:tcPr>
            <w:tcW w:w="1215" w:type="dxa"/>
            <w:tcBorders>
              <w:top w:val="single" w:color="auto" w:sz="6" w:space="0"/>
              <w:left w:val="single" w:color="auto" w:sz="6" w:space="0"/>
              <w:bottom w:val="single" w:color="auto" w:sz="6" w:space="0"/>
              <w:right w:val="single" w:color="auto" w:sz="6" w:space="0"/>
            </w:tcBorders>
          </w:tcPr>
          <w:p>
            <w:pPr>
              <w:kinsoku w:val="0"/>
              <w:wordWrap w:val="0"/>
              <w:topLinePunct/>
              <w:spacing w:line="360" w:lineRule="auto"/>
              <w:jc w:val="center"/>
              <w:rPr>
                <w:rFonts w:hint="eastAsia" w:ascii="仿宋" w:hAnsi="仿宋" w:eastAsia="仿宋" w:cs="仿宋"/>
                <w:sz w:val="21"/>
                <w:szCs w:val="21"/>
              </w:rPr>
            </w:pPr>
          </w:p>
        </w:tc>
        <w:tc>
          <w:tcPr>
            <w:tcW w:w="1320" w:type="dxa"/>
            <w:tcBorders>
              <w:top w:val="single" w:color="auto" w:sz="6" w:space="0"/>
              <w:left w:val="single" w:color="auto" w:sz="6" w:space="0"/>
              <w:bottom w:val="single" w:color="auto" w:sz="6" w:space="0"/>
              <w:right w:val="single" w:color="auto" w:sz="12" w:space="0"/>
            </w:tcBorders>
          </w:tcPr>
          <w:p>
            <w:pPr>
              <w:kinsoku w:val="0"/>
              <w:wordWrap w:val="0"/>
              <w:topLinePunct/>
              <w:spacing w:line="360" w:lineRule="auto"/>
              <w:jc w:val="center"/>
              <w:rPr>
                <w:rFonts w:hint="eastAsia" w:ascii="仿宋" w:hAnsi="仿宋" w:eastAsia="仿宋" w:cs="仿宋"/>
                <w:sz w:val="21"/>
                <w:szCs w:val="21"/>
              </w:rPr>
            </w:pPr>
          </w:p>
        </w:tc>
      </w:tr>
    </w:tbl>
    <w:p>
      <w:pPr>
        <w:kinsoku w:val="0"/>
        <w:wordWrap w:val="0"/>
        <w:topLinePunct/>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w:t>
      </w:r>
    </w:p>
    <w:p>
      <w:pPr>
        <w:kinsoku w:val="0"/>
        <w:wordWrap w:val="0"/>
        <w:topLinePunct/>
        <w:spacing w:line="360" w:lineRule="auto"/>
        <w:rPr>
          <w:rFonts w:hint="eastAsia" w:ascii="仿宋" w:hAnsi="仿宋" w:eastAsia="仿宋" w:cs="仿宋"/>
          <w:b/>
          <w:sz w:val="24"/>
          <w:szCs w:val="24"/>
        </w:rPr>
      </w:pPr>
    </w:p>
    <w:p>
      <w:pPr>
        <w:kinsoku w:val="0"/>
        <w:wordWrap w:val="0"/>
        <w:topLinePunct/>
        <w:spacing w:line="360" w:lineRule="auto"/>
        <w:rPr>
          <w:rFonts w:hint="eastAsia" w:ascii="仿宋" w:hAnsi="仿宋" w:eastAsia="仿宋" w:cs="仿宋"/>
          <w:b/>
          <w:sz w:val="24"/>
          <w:szCs w:val="24"/>
        </w:rPr>
      </w:pPr>
    </w:p>
    <w:p>
      <w:pPr>
        <w:kinsoku w:val="0"/>
        <w:wordWrap w:val="0"/>
        <w:topLinePunct/>
        <w:spacing w:line="360" w:lineRule="auto"/>
        <w:rPr>
          <w:rFonts w:hint="eastAsia" w:ascii="仿宋" w:hAnsi="仿宋" w:eastAsia="仿宋" w:cs="仿宋"/>
          <w:b/>
          <w:sz w:val="24"/>
          <w:szCs w:val="24"/>
        </w:rPr>
      </w:pPr>
    </w:p>
    <w:p>
      <w:pPr>
        <w:kinsoku w:val="0"/>
        <w:wordWrap w:val="0"/>
        <w:topLinePunct/>
        <w:spacing w:line="360" w:lineRule="auto"/>
        <w:rPr>
          <w:rFonts w:hint="eastAsia" w:ascii="仿宋" w:hAnsi="仿宋" w:eastAsia="仿宋" w:cs="仿宋"/>
          <w:b/>
          <w:sz w:val="24"/>
          <w:szCs w:val="24"/>
        </w:rPr>
      </w:pPr>
    </w:p>
    <w:p>
      <w:pPr>
        <w:kinsoku w:val="0"/>
        <w:wordWrap w:val="0"/>
        <w:topLinePunct/>
        <w:spacing w:line="360" w:lineRule="auto"/>
        <w:rPr>
          <w:rFonts w:hint="eastAsia" w:ascii="仿宋" w:hAnsi="仿宋" w:eastAsia="仿宋" w:cs="仿宋"/>
          <w:b/>
          <w:sz w:val="24"/>
          <w:szCs w:val="24"/>
        </w:rPr>
      </w:pPr>
    </w:p>
    <w:p>
      <w:pPr>
        <w:kinsoku w:val="0"/>
        <w:wordWrap w:val="0"/>
        <w:topLinePunct/>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三.产品质量要求及乙方对质量负责的条件：</w:t>
      </w:r>
    </w:p>
    <w:p>
      <w:pPr>
        <w:spacing w:line="360" w:lineRule="auto"/>
        <w:ind w:firstLine="524" w:firstLineChars="200"/>
        <w:rPr>
          <w:rFonts w:hint="eastAsia" w:ascii="仿宋" w:hAnsi="仿宋" w:eastAsia="仿宋" w:cs="仿宋"/>
          <w:bCs/>
          <w:color w:val="000000" w:themeColor="text1"/>
          <w:sz w:val="21"/>
          <w:szCs w:val="21"/>
          <w:lang w:val="zh-CN"/>
          <w14:textFill>
            <w14:solidFill>
              <w14:schemeClr w14:val="tx1"/>
            </w14:solidFill>
          </w14:textFill>
        </w:rPr>
      </w:pPr>
      <w:r>
        <w:rPr>
          <w:rFonts w:hint="eastAsia" w:ascii="仿宋" w:hAnsi="仿宋" w:eastAsia="仿宋" w:cs="仿宋"/>
          <w:bCs/>
          <w:color w:val="000000" w:themeColor="text1"/>
          <w:sz w:val="21"/>
          <w:szCs w:val="21"/>
          <w:lang w:val="zh-CN"/>
          <w14:textFill>
            <w14:solidFill>
              <w14:schemeClr w14:val="tx1"/>
            </w14:solidFill>
          </w14:textFill>
        </w:rPr>
        <w:t>为保证对</w:t>
      </w:r>
      <w:r>
        <w:rPr>
          <w:rFonts w:hint="eastAsia" w:ascii="仿宋" w:hAnsi="仿宋" w:eastAsia="仿宋" w:cs="仿宋"/>
          <w:bCs/>
          <w:color w:val="000000" w:themeColor="text1"/>
          <w:sz w:val="21"/>
          <w:szCs w:val="21"/>
          <w14:textFill>
            <w14:solidFill>
              <w14:schemeClr w14:val="tx1"/>
            </w14:solidFill>
          </w14:textFill>
        </w:rPr>
        <w:t>甲方</w:t>
      </w:r>
      <w:r>
        <w:rPr>
          <w:rFonts w:hint="eastAsia" w:ascii="仿宋" w:hAnsi="仿宋" w:eastAsia="仿宋" w:cs="仿宋"/>
          <w:bCs/>
          <w:color w:val="000000" w:themeColor="text1"/>
          <w:sz w:val="21"/>
          <w:szCs w:val="21"/>
          <w:lang w:val="zh-CN"/>
          <w14:textFill>
            <w14:solidFill>
              <w14:schemeClr w14:val="tx1"/>
            </w14:solidFill>
          </w14:textFill>
        </w:rPr>
        <w:t>的服务需求提供快速的响应，</w:t>
      </w:r>
      <w:r>
        <w:rPr>
          <w:rFonts w:hint="eastAsia" w:ascii="仿宋" w:hAnsi="仿宋" w:eastAsia="仿宋" w:cs="仿宋"/>
          <w:bCs/>
          <w:color w:val="000000" w:themeColor="text1"/>
          <w:sz w:val="21"/>
          <w:szCs w:val="21"/>
          <w14:textFill>
            <w14:solidFill>
              <w14:schemeClr w14:val="tx1"/>
            </w14:solidFill>
          </w14:textFill>
        </w:rPr>
        <w:t>乙方</w:t>
      </w:r>
      <w:r>
        <w:rPr>
          <w:rFonts w:hint="eastAsia" w:ascii="仿宋" w:hAnsi="仿宋" w:eastAsia="仿宋" w:cs="仿宋"/>
          <w:bCs/>
          <w:color w:val="000000" w:themeColor="text1"/>
          <w:sz w:val="21"/>
          <w:szCs w:val="21"/>
          <w:lang w:val="zh-CN"/>
          <w14:textFill>
            <w14:solidFill>
              <w14:schemeClr w14:val="tx1"/>
            </w14:solidFill>
          </w14:textFill>
        </w:rPr>
        <w:t>应提供售后服务机构和人员的有关资料，包括：机构名称及地址、人员姓名及所属单位、地址、联系方式；货物经验收交付使用后，按行业标准进行质保。</w:t>
      </w:r>
    </w:p>
    <w:p>
      <w:pPr>
        <w:kinsoku w:val="0"/>
        <w:wordWrap w:val="0"/>
        <w:topLinePunct/>
        <w:spacing w:line="360" w:lineRule="auto"/>
        <w:rPr>
          <w:rFonts w:hint="eastAsia" w:ascii="仿宋" w:hAnsi="仿宋" w:eastAsia="仿宋" w:cs="仿宋"/>
          <w:b/>
          <w:sz w:val="24"/>
          <w:szCs w:val="24"/>
        </w:rPr>
      </w:pPr>
      <w:r>
        <w:rPr>
          <w:rFonts w:hint="eastAsia" w:ascii="仿宋" w:hAnsi="仿宋" w:eastAsia="仿宋" w:cs="仿宋"/>
          <w:b/>
          <w:sz w:val="24"/>
          <w:szCs w:val="24"/>
        </w:rPr>
        <w:t>四. 交货及验收：</w:t>
      </w:r>
    </w:p>
    <w:p>
      <w:pPr>
        <w:tabs>
          <w:tab w:val="left" w:pos="0"/>
        </w:tabs>
        <w:kinsoku w:val="0"/>
        <w:wordWrap w:val="0"/>
        <w:topLinePunct/>
        <w:spacing w:line="360" w:lineRule="auto"/>
        <w:ind w:firstLine="524" w:firstLineChars="200"/>
        <w:rPr>
          <w:rFonts w:hint="eastAsia" w:ascii="仿宋" w:hAnsi="仿宋" w:eastAsia="仿宋" w:cs="仿宋"/>
          <w:sz w:val="21"/>
          <w:szCs w:val="21"/>
        </w:rPr>
      </w:pPr>
      <w:r>
        <w:rPr>
          <w:rFonts w:hint="eastAsia" w:ascii="仿宋" w:hAnsi="仿宋" w:eastAsia="仿宋" w:cs="仿宋"/>
          <w:sz w:val="21"/>
          <w:szCs w:val="21"/>
        </w:rPr>
        <w:t>1.交货期：自</w:t>
      </w:r>
      <w:r>
        <w:rPr>
          <w:rFonts w:hint="eastAsia" w:ascii="仿宋" w:hAnsi="仿宋" w:eastAsia="仿宋" w:cs="仿宋"/>
          <w:sz w:val="21"/>
          <w:szCs w:val="21"/>
          <w:lang w:eastAsia="zh-CN"/>
        </w:rPr>
        <w:t>合同签订</w:t>
      </w:r>
      <w:r>
        <w:rPr>
          <w:rFonts w:hint="eastAsia" w:ascii="仿宋" w:hAnsi="仿宋" w:eastAsia="仿宋" w:cs="仿宋"/>
          <w:sz w:val="21"/>
          <w:szCs w:val="21"/>
        </w:rPr>
        <w:t>之日起30日历天内完成供货、调试完毕并交付验收。</w:t>
      </w:r>
    </w:p>
    <w:p>
      <w:pPr>
        <w:pStyle w:val="11"/>
        <w:ind w:firstLine="524" w:firstLineChars="200"/>
        <w:rPr>
          <w:rFonts w:hint="eastAsia" w:ascii="仿宋" w:hAnsi="仿宋" w:eastAsia="仿宋" w:cs="仿宋"/>
          <w:sz w:val="21"/>
          <w:szCs w:val="21"/>
        </w:rPr>
      </w:pPr>
      <w:r>
        <w:rPr>
          <w:rFonts w:hint="eastAsia" w:ascii="仿宋" w:hAnsi="仿宋" w:eastAsia="仿宋" w:cs="仿宋"/>
          <w:bCs/>
          <w:color w:val="000000" w:themeColor="text1"/>
          <w:sz w:val="21"/>
          <w:szCs w:val="21"/>
          <w14:textFill>
            <w14:solidFill>
              <w14:schemeClr w14:val="tx1"/>
            </w14:solidFill>
          </w14:textFill>
        </w:rPr>
        <w:t>2.</w:t>
      </w:r>
      <w:r>
        <w:rPr>
          <w:rFonts w:hint="eastAsia" w:ascii="仿宋" w:hAnsi="仿宋" w:eastAsia="仿宋" w:cs="仿宋"/>
          <w:bCs/>
          <w:color w:val="000000" w:themeColor="text1"/>
          <w:sz w:val="21"/>
          <w:szCs w:val="21"/>
          <w:lang w:val="zh-CN"/>
          <w14:textFill>
            <w14:solidFill>
              <w14:schemeClr w14:val="tx1"/>
            </w14:solidFill>
          </w14:textFill>
        </w:rPr>
        <w:t>交货地点：按</w:t>
      </w:r>
      <w:r>
        <w:rPr>
          <w:rFonts w:hint="eastAsia" w:ascii="仿宋" w:hAnsi="仿宋" w:eastAsia="仿宋" w:cs="仿宋"/>
          <w:bCs/>
          <w:color w:val="000000" w:themeColor="text1"/>
          <w:sz w:val="21"/>
          <w:szCs w:val="21"/>
          <w14:textFill>
            <w14:solidFill>
              <w14:schemeClr w14:val="tx1"/>
            </w14:solidFill>
          </w14:textFill>
        </w:rPr>
        <w:t>甲方</w:t>
      </w:r>
      <w:r>
        <w:rPr>
          <w:rFonts w:hint="eastAsia" w:ascii="仿宋" w:hAnsi="仿宋" w:eastAsia="仿宋" w:cs="仿宋"/>
          <w:bCs/>
          <w:color w:val="000000" w:themeColor="text1"/>
          <w:sz w:val="21"/>
          <w:szCs w:val="21"/>
          <w:lang w:val="zh-CN"/>
          <w14:textFill>
            <w14:solidFill>
              <w14:schemeClr w14:val="tx1"/>
            </w14:solidFill>
          </w14:textFill>
        </w:rPr>
        <w:t>要求指定使用单位的所在地</w:t>
      </w:r>
    </w:p>
    <w:p>
      <w:pPr>
        <w:pStyle w:val="103"/>
        <w:spacing w:line="360" w:lineRule="auto"/>
        <w:rPr>
          <w:rFonts w:hint="eastAsia" w:ascii="仿宋" w:hAnsi="仿宋" w:eastAsia="仿宋" w:cs="仿宋"/>
          <w:sz w:val="21"/>
          <w:szCs w:val="21"/>
          <w:lang w:val="zh-CN"/>
        </w:rPr>
      </w:pPr>
      <w:r>
        <w:rPr>
          <w:rFonts w:hint="eastAsia" w:ascii="仿宋" w:hAnsi="仿宋" w:eastAsia="仿宋" w:cs="仿宋"/>
          <w:sz w:val="21"/>
          <w:szCs w:val="21"/>
        </w:rPr>
        <w:t>3.</w:t>
      </w:r>
      <w:r>
        <w:rPr>
          <w:rFonts w:hint="eastAsia" w:ascii="仿宋" w:hAnsi="仿宋" w:eastAsia="仿宋" w:cs="仿宋"/>
          <w:sz w:val="21"/>
          <w:szCs w:val="21"/>
          <w:lang w:val="zh-CN"/>
        </w:rPr>
        <w:t>交付验收标准依次序对照适用标准为：①符合中华人民共和国国家安全质量标准、环保标准或行业标准；②符合采购文件中技术参数及各项配置要求等；③货物来源国家官方标准。</w:t>
      </w:r>
    </w:p>
    <w:p>
      <w:pPr>
        <w:pStyle w:val="103"/>
        <w:spacing w:line="360" w:lineRule="auto"/>
        <w:rPr>
          <w:rFonts w:hint="eastAsia" w:ascii="仿宋" w:hAnsi="仿宋" w:eastAsia="仿宋" w:cs="仿宋"/>
          <w:sz w:val="21"/>
          <w:szCs w:val="21"/>
          <w:lang w:val="zh-CN"/>
        </w:rPr>
      </w:pPr>
      <w:r>
        <w:rPr>
          <w:rFonts w:hint="eastAsia" w:ascii="仿宋" w:hAnsi="仿宋" w:eastAsia="仿宋" w:cs="仿宋"/>
          <w:sz w:val="21"/>
          <w:szCs w:val="21"/>
        </w:rPr>
        <w:t>4.</w:t>
      </w:r>
      <w:r>
        <w:rPr>
          <w:rFonts w:hint="eastAsia" w:ascii="仿宋" w:hAnsi="仿宋" w:eastAsia="仿宋" w:cs="仿宋"/>
          <w:sz w:val="21"/>
          <w:szCs w:val="21"/>
          <w:lang w:val="zh-CN"/>
        </w:rPr>
        <w:t>货物交货工作的10个工作日内，验收应在</w:t>
      </w:r>
      <w:r>
        <w:rPr>
          <w:rFonts w:hint="eastAsia" w:ascii="仿宋" w:hAnsi="仿宋" w:eastAsia="仿宋" w:cs="仿宋"/>
          <w:sz w:val="21"/>
          <w:szCs w:val="21"/>
        </w:rPr>
        <w:t>甲方</w:t>
      </w:r>
      <w:r>
        <w:rPr>
          <w:rFonts w:hint="eastAsia" w:ascii="仿宋" w:hAnsi="仿宋" w:eastAsia="仿宋" w:cs="仿宋"/>
          <w:sz w:val="21"/>
          <w:szCs w:val="21"/>
          <w:lang w:val="zh-CN"/>
        </w:rPr>
        <w:t>和</w:t>
      </w:r>
      <w:r>
        <w:rPr>
          <w:rFonts w:hint="eastAsia" w:ascii="仿宋" w:hAnsi="仿宋" w:eastAsia="仿宋" w:cs="仿宋"/>
          <w:sz w:val="21"/>
          <w:szCs w:val="21"/>
        </w:rPr>
        <w:t>乙方</w:t>
      </w:r>
      <w:r>
        <w:rPr>
          <w:rFonts w:hint="eastAsia" w:ascii="仿宋" w:hAnsi="仿宋" w:eastAsia="仿宋" w:cs="仿宋"/>
          <w:sz w:val="21"/>
          <w:szCs w:val="21"/>
          <w:lang w:val="zh-CN"/>
        </w:rPr>
        <w:t>双方共同参加下进行。</w:t>
      </w:r>
    </w:p>
    <w:p>
      <w:pPr>
        <w:pStyle w:val="103"/>
        <w:spacing w:line="360" w:lineRule="auto"/>
        <w:rPr>
          <w:rFonts w:hint="eastAsia" w:ascii="仿宋" w:hAnsi="仿宋" w:eastAsia="仿宋" w:cs="仿宋"/>
          <w:sz w:val="21"/>
          <w:szCs w:val="21"/>
          <w:lang w:val="zh-CN"/>
        </w:rPr>
      </w:pPr>
      <w:r>
        <w:rPr>
          <w:rFonts w:hint="eastAsia" w:ascii="仿宋" w:hAnsi="仿宋" w:eastAsia="仿宋" w:cs="仿宋"/>
          <w:sz w:val="21"/>
          <w:szCs w:val="21"/>
        </w:rPr>
        <w:t>5.</w:t>
      </w:r>
      <w:r>
        <w:rPr>
          <w:rFonts w:hint="eastAsia" w:ascii="仿宋" w:hAnsi="仿宋" w:eastAsia="仿宋" w:cs="仿宋"/>
          <w:sz w:val="21"/>
          <w:szCs w:val="21"/>
          <w:lang w:val="zh-CN"/>
        </w:rPr>
        <w:t>验收按国家有关的规定、规范进行。</w:t>
      </w:r>
    </w:p>
    <w:p>
      <w:pPr>
        <w:pStyle w:val="12"/>
        <w:tabs>
          <w:tab w:val="left" w:pos="0"/>
        </w:tabs>
        <w:kinsoku w:val="0"/>
        <w:wordWrap w:val="0"/>
        <w:topLinePunct/>
        <w:autoSpaceDE/>
        <w:autoSpaceDN/>
        <w:adjustRightInd/>
        <w:spacing w:line="360" w:lineRule="auto"/>
        <w:ind w:firstLine="524" w:firstLineChars="200"/>
        <w:rPr>
          <w:rFonts w:hint="eastAsia" w:ascii="仿宋" w:hAnsi="仿宋" w:eastAsia="仿宋" w:cs="仿宋"/>
          <w:b/>
          <w:sz w:val="21"/>
          <w:szCs w:val="21"/>
        </w:rPr>
      </w:pPr>
      <w:r>
        <w:rPr>
          <w:rFonts w:hint="eastAsia" w:ascii="仿宋" w:hAnsi="仿宋" w:eastAsia="仿宋" w:cs="仿宋"/>
          <w:bCs/>
          <w:color w:val="000000" w:themeColor="text1"/>
          <w:sz w:val="21"/>
          <w:szCs w:val="21"/>
          <w14:textFill>
            <w14:solidFill>
              <w14:schemeClr w14:val="tx1"/>
            </w14:solidFill>
          </w14:textFill>
        </w:rPr>
        <w:t>6.</w:t>
      </w:r>
      <w:r>
        <w:rPr>
          <w:rFonts w:hint="eastAsia" w:ascii="仿宋" w:hAnsi="仿宋" w:eastAsia="仿宋" w:cs="仿宋"/>
          <w:bCs/>
          <w:color w:val="000000" w:themeColor="text1"/>
          <w:sz w:val="21"/>
          <w:szCs w:val="21"/>
          <w:lang w:val="zh-CN"/>
          <w14:textFill>
            <w14:solidFill>
              <w14:schemeClr w14:val="tx1"/>
            </w14:solidFill>
          </w14:textFill>
        </w:rPr>
        <w:t>验收时如发现所交付的货物在实际使用验收过程中有质量问题或其他不符合采购文件规定之情形者，采购人应做出详尽的现场记录，或由</w:t>
      </w:r>
      <w:r>
        <w:rPr>
          <w:rFonts w:hint="eastAsia" w:ascii="仿宋" w:hAnsi="仿宋" w:eastAsia="仿宋" w:cs="仿宋"/>
          <w:bCs/>
          <w:color w:val="000000" w:themeColor="text1"/>
          <w:sz w:val="21"/>
          <w:szCs w:val="21"/>
          <w14:textFill>
            <w14:solidFill>
              <w14:schemeClr w14:val="tx1"/>
            </w14:solidFill>
          </w14:textFill>
        </w:rPr>
        <w:t>甲方</w:t>
      </w:r>
      <w:r>
        <w:rPr>
          <w:rFonts w:hint="eastAsia" w:ascii="仿宋" w:hAnsi="仿宋" w:eastAsia="仿宋" w:cs="仿宋"/>
          <w:bCs/>
          <w:color w:val="000000" w:themeColor="text1"/>
          <w:sz w:val="21"/>
          <w:szCs w:val="21"/>
          <w:lang w:val="zh-CN"/>
          <w14:textFill>
            <w14:solidFill>
              <w14:schemeClr w14:val="tx1"/>
            </w14:solidFill>
          </w14:textFill>
        </w:rPr>
        <w:t>和成交</w:t>
      </w:r>
      <w:r>
        <w:rPr>
          <w:rFonts w:hint="eastAsia" w:ascii="仿宋" w:hAnsi="仿宋" w:eastAsia="仿宋" w:cs="仿宋"/>
          <w:bCs/>
          <w:color w:val="000000" w:themeColor="text1"/>
          <w:sz w:val="21"/>
          <w:szCs w:val="21"/>
          <w14:textFill>
            <w14:solidFill>
              <w14:schemeClr w14:val="tx1"/>
            </w14:solidFill>
          </w14:textFill>
        </w:rPr>
        <w:t>乙方</w:t>
      </w:r>
      <w:r>
        <w:rPr>
          <w:rFonts w:hint="eastAsia" w:ascii="仿宋" w:hAnsi="仿宋" w:eastAsia="仿宋" w:cs="仿宋"/>
          <w:bCs/>
          <w:color w:val="000000" w:themeColor="text1"/>
          <w:sz w:val="21"/>
          <w:szCs w:val="21"/>
          <w:lang w:val="zh-CN"/>
          <w14:textFill>
            <w14:solidFill>
              <w14:schemeClr w14:val="tx1"/>
            </w14:solidFill>
          </w14:textFill>
        </w:rPr>
        <w:t>双方签署备忘录。此现场记录或备忘录可用作货物不符合要求拒收或作为补充、缺失和更换损坏货物的有效证据。由此产生的后果及有关费用由</w:t>
      </w:r>
      <w:r>
        <w:rPr>
          <w:rFonts w:hint="eastAsia" w:ascii="仿宋" w:hAnsi="仿宋" w:eastAsia="仿宋" w:cs="仿宋"/>
          <w:bCs/>
          <w:color w:val="000000" w:themeColor="text1"/>
          <w:sz w:val="21"/>
          <w:szCs w:val="21"/>
          <w14:textFill>
            <w14:solidFill>
              <w14:schemeClr w14:val="tx1"/>
            </w14:solidFill>
          </w14:textFill>
        </w:rPr>
        <w:t>乙方</w:t>
      </w:r>
      <w:r>
        <w:rPr>
          <w:rFonts w:hint="eastAsia" w:ascii="仿宋" w:hAnsi="仿宋" w:eastAsia="仿宋" w:cs="仿宋"/>
          <w:bCs/>
          <w:color w:val="000000" w:themeColor="text1"/>
          <w:sz w:val="21"/>
          <w:szCs w:val="21"/>
          <w:lang w:val="zh-CN"/>
          <w14:textFill>
            <w14:solidFill>
              <w14:schemeClr w14:val="tx1"/>
            </w14:solidFill>
          </w14:textFill>
        </w:rPr>
        <w:t>承担。</w:t>
      </w:r>
    </w:p>
    <w:p>
      <w:pPr>
        <w:kinsoku w:val="0"/>
        <w:wordWrap w:val="0"/>
        <w:topLinePunct/>
        <w:spacing w:line="360" w:lineRule="auto"/>
        <w:rPr>
          <w:rFonts w:hint="eastAsia" w:ascii="仿宋" w:hAnsi="仿宋" w:eastAsia="仿宋" w:cs="仿宋"/>
          <w:b/>
          <w:sz w:val="21"/>
          <w:szCs w:val="21"/>
        </w:rPr>
      </w:pPr>
      <w:r>
        <w:rPr>
          <w:rFonts w:hint="eastAsia" w:ascii="仿宋" w:hAnsi="仿宋" w:eastAsia="仿宋" w:cs="仿宋"/>
          <w:b/>
          <w:sz w:val="21"/>
          <w:szCs w:val="21"/>
        </w:rPr>
        <w:t>五. 付款：</w:t>
      </w:r>
    </w:p>
    <w:p>
      <w:pPr>
        <w:spacing w:after="381" w:afterLines="100" w:line="360" w:lineRule="auto"/>
        <w:ind w:firstLine="524" w:firstLineChars="200"/>
        <w:rPr>
          <w:rFonts w:hint="eastAsia" w:ascii="仿宋" w:hAnsi="仿宋" w:eastAsia="仿宋" w:cs="仿宋"/>
          <w:bCs/>
          <w:color w:val="000000" w:themeColor="text1"/>
          <w:sz w:val="21"/>
          <w:szCs w:val="21"/>
          <w:lang w:val="zh-CN"/>
          <w14:textFill>
            <w14:solidFill>
              <w14:schemeClr w14:val="tx1"/>
            </w14:solidFill>
          </w14:textFill>
        </w:rPr>
      </w:pPr>
      <w:r>
        <w:rPr>
          <w:rFonts w:hint="eastAsia" w:ascii="仿宋" w:hAnsi="仿宋" w:eastAsia="仿宋" w:cs="仿宋"/>
          <w:bCs/>
          <w:color w:val="000000" w:themeColor="text1"/>
          <w:sz w:val="21"/>
          <w:szCs w:val="21"/>
          <w:lang w:val="zh-CN"/>
          <w14:textFill>
            <w14:solidFill>
              <w14:schemeClr w14:val="tx1"/>
            </w14:solidFill>
          </w14:textFill>
        </w:rPr>
        <w:t>乙方将货物安装调试完毕，并通过甲方组织的验收合格后，甲方</w:t>
      </w:r>
      <w:r>
        <w:rPr>
          <w:rFonts w:hint="eastAsia" w:ascii="仿宋" w:hAnsi="仿宋" w:eastAsia="仿宋" w:cs="仿宋"/>
          <w:bCs/>
          <w:color w:val="000000" w:themeColor="text1"/>
          <w:sz w:val="21"/>
          <w:szCs w:val="21"/>
          <w14:textFill>
            <w14:solidFill>
              <w14:schemeClr w14:val="tx1"/>
            </w14:solidFill>
          </w14:textFill>
        </w:rPr>
        <w:t>收到乙方提供的符合国家财税规定的纸质普票后10个工作日内</w:t>
      </w:r>
      <w:r>
        <w:rPr>
          <w:rFonts w:hint="eastAsia" w:ascii="仿宋" w:hAnsi="仿宋" w:eastAsia="仿宋" w:cs="仿宋"/>
          <w:bCs/>
          <w:color w:val="000000" w:themeColor="text1"/>
          <w:sz w:val="21"/>
          <w:szCs w:val="21"/>
          <w:lang w:val="zh-CN"/>
          <w14:textFill>
            <w14:solidFill>
              <w14:schemeClr w14:val="tx1"/>
            </w14:solidFill>
          </w14:textFill>
        </w:rPr>
        <w:t>根据本合同支付全部货款到乙方账户。</w:t>
      </w:r>
    </w:p>
    <w:p>
      <w:pPr>
        <w:kinsoku w:val="0"/>
        <w:wordWrap w:val="0"/>
        <w:topLinePunct/>
        <w:spacing w:line="360" w:lineRule="auto"/>
        <w:ind w:left="567" w:hanging="567"/>
        <w:rPr>
          <w:rFonts w:hint="eastAsia" w:ascii="仿宋" w:hAnsi="仿宋" w:eastAsia="仿宋" w:cs="仿宋"/>
          <w:b/>
          <w:sz w:val="24"/>
          <w:szCs w:val="22"/>
        </w:rPr>
      </w:pPr>
      <w:r>
        <w:rPr>
          <w:rFonts w:hint="eastAsia" w:ascii="仿宋" w:hAnsi="仿宋" w:eastAsia="仿宋" w:cs="仿宋"/>
          <w:b/>
          <w:sz w:val="24"/>
          <w:szCs w:val="22"/>
        </w:rPr>
        <w:t>六.合同生效</w:t>
      </w:r>
    </w:p>
    <w:p>
      <w:pPr>
        <w:spacing w:after="381" w:afterLines="100" w:line="360" w:lineRule="auto"/>
        <w:ind w:firstLine="524" w:firstLineChars="200"/>
        <w:rPr>
          <w:rFonts w:hint="eastAsia" w:ascii="仿宋" w:hAnsi="仿宋" w:eastAsia="仿宋" w:cs="仿宋"/>
          <w:bCs/>
          <w:color w:val="000000" w:themeColor="text1"/>
          <w:sz w:val="21"/>
          <w:szCs w:val="21"/>
          <w:lang w:val="zh-CN"/>
          <w14:textFill>
            <w14:solidFill>
              <w14:schemeClr w14:val="tx1"/>
            </w14:solidFill>
          </w14:textFill>
        </w:rPr>
      </w:pPr>
      <w:r>
        <w:rPr>
          <w:rFonts w:hint="eastAsia" w:ascii="仿宋" w:hAnsi="仿宋" w:eastAsia="仿宋" w:cs="仿宋"/>
          <w:bCs/>
          <w:color w:val="000000" w:themeColor="text1"/>
          <w:sz w:val="21"/>
          <w:szCs w:val="21"/>
          <w:lang w:val="zh-CN"/>
          <w14:textFill>
            <w14:solidFill>
              <w14:schemeClr w14:val="tx1"/>
            </w14:solidFill>
          </w14:textFill>
        </w:rPr>
        <w:t>合同签订后，本合同一式</w:t>
      </w:r>
      <w:r>
        <w:rPr>
          <w:rFonts w:hint="eastAsia" w:ascii="仿宋" w:hAnsi="仿宋" w:eastAsia="仿宋" w:cs="仿宋"/>
          <w:bCs/>
          <w:color w:val="000000" w:themeColor="text1"/>
          <w:sz w:val="21"/>
          <w:szCs w:val="21"/>
          <w14:textFill>
            <w14:solidFill>
              <w14:schemeClr w14:val="tx1"/>
            </w14:solidFill>
          </w14:textFill>
        </w:rPr>
        <w:t>四</w:t>
      </w:r>
      <w:r>
        <w:rPr>
          <w:rFonts w:hint="eastAsia" w:ascii="仿宋" w:hAnsi="仿宋" w:eastAsia="仿宋" w:cs="仿宋"/>
          <w:bCs/>
          <w:color w:val="000000" w:themeColor="text1"/>
          <w:sz w:val="21"/>
          <w:szCs w:val="21"/>
          <w:lang w:val="zh-CN"/>
          <w14:textFill>
            <w14:solidFill>
              <w14:schemeClr w14:val="tx1"/>
            </w14:solidFill>
          </w14:textFill>
        </w:rPr>
        <w:t>份，甲方持有</w:t>
      </w:r>
      <w:r>
        <w:rPr>
          <w:rFonts w:hint="eastAsia" w:ascii="仿宋" w:hAnsi="仿宋" w:eastAsia="仿宋" w:cs="仿宋"/>
          <w:bCs/>
          <w:color w:val="000000" w:themeColor="text1"/>
          <w:sz w:val="21"/>
          <w:szCs w:val="21"/>
          <w14:textFill>
            <w14:solidFill>
              <w14:schemeClr w14:val="tx1"/>
            </w14:solidFill>
          </w14:textFill>
        </w:rPr>
        <w:t>两</w:t>
      </w:r>
      <w:r>
        <w:rPr>
          <w:rFonts w:hint="eastAsia" w:ascii="仿宋" w:hAnsi="仿宋" w:eastAsia="仿宋" w:cs="仿宋"/>
          <w:bCs/>
          <w:color w:val="000000" w:themeColor="text1"/>
          <w:sz w:val="21"/>
          <w:szCs w:val="21"/>
          <w:lang w:val="zh-CN"/>
          <w14:textFill>
            <w14:solidFill>
              <w14:schemeClr w14:val="tx1"/>
            </w14:solidFill>
          </w14:textFill>
        </w:rPr>
        <w:t>份，乙方持有</w:t>
      </w:r>
      <w:r>
        <w:rPr>
          <w:rFonts w:hint="eastAsia" w:ascii="仿宋" w:hAnsi="仿宋" w:eastAsia="仿宋" w:cs="仿宋"/>
          <w:bCs/>
          <w:color w:val="000000" w:themeColor="text1"/>
          <w:sz w:val="21"/>
          <w:szCs w:val="21"/>
          <w14:textFill>
            <w14:solidFill>
              <w14:schemeClr w14:val="tx1"/>
            </w14:solidFill>
          </w14:textFill>
        </w:rPr>
        <w:t>两</w:t>
      </w:r>
      <w:r>
        <w:rPr>
          <w:rFonts w:hint="eastAsia" w:ascii="仿宋" w:hAnsi="仿宋" w:eastAsia="仿宋" w:cs="仿宋"/>
          <w:bCs/>
          <w:color w:val="000000" w:themeColor="text1"/>
          <w:sz w:val="21"/>
          <w:szCs w:val="21"/>
          <w:lang w:val="zh-CN"/>
          <w14:textFill>
            <w14:solidFill>
              <w14:schemeClr w14:val="tx1"/>
            </w14:solidFill>
          </w14:textFill>
        </w:rPr>
        <w:t>份，具有同等的法律效力，自双方授权代表签字、盖章后生效。</w:t>
      </w:r>
    </w:p>
    <w:p>
      <w:pPr>
        <w:kinsoku w:val="0"/>
        <w:wordWrap w:val="0"/>
        <w:topLinePunct/>
        <w:spacing w:line="360" w:lineRule="auto"/>
        <w:rPr>
          <w:rFonts w:hint="eastAsia" w:ascii="仿宋" w:hAnsi="仿宋" w:eastAsia="仿宋" w:cs="仿宋"/>
          <w:b/>
          <w:sz w:val="24"/>
          <w:szCs w:val="22"/>
        </w:rPr>
      </w:pPr>
      <w:r>
        <w:rPr>
          <w:rFonts w:hint="eastAsia" w:ascii="仿宋" w:hAnsi="仿宋" w:eastAsia="仿宋" w:cs="仿宋"/>
          <w:b/>
          <w:sz w:val="24"/>
          <w:szCs w:val="22"/>
        </w:rPr>
        <w:t>七．合同终止</w:t>
      </w:r>
    </w:p>
    <w:p>
      <w:pPr>
        <w:spacing w:line="360" w:lineRule="auto"/>
        <w:ind w:firstLine="524" w:firstLineChars="200"/>
        <w:rPr>
          <w:rFonts w:hint="eastAsia" w:ascii="仿宋" w:hAnsi="仿宋" w:eastAsia="仿宋" w:cs="仿宋"/>
          <w:sz w:val="21"/>
          <w:szCs w:val="21"/>
          <w:lang w:val="zh-CN"/>
        </w:rPr>
      </w:pPr>
      <w:r>
        <w:rPr>
          <w:rFonts w:hint="eastAsia" w:ascii="仿宋" w:hAnsi="仿宋" w:eastAsia="仿宋" w:cs="仿宋"/>
          <w:sz w:val="21"/>
          <w:szCs w:val="21"/>
        </w:rPr>
        <w:t>1.</w:t>
      </w:r>
      <w:r>
        <w:rPr>
          <w:rFonts w:hint="eastAsia" w:ascii="仿宋" w:hAnsi="仿宋" w:eastAsia="仿宋" w:cs="仿宋"/>
          <w:sz w:val="21"/>
          <w:szCs w:val="21"/>
          <w:lang w:val="zh-CN"/>
        </w:rPr>
        <w:t>本合同期满后自然终止。</w:t>
      </w:r>
    </w:p>
    <w:p>
      <w:pPr>
        <w:spacing w:after="381" w:afterLines="100" w:line="360" w:lineRule="auto"/>
        <w:ind w:firstLine="524" w:firstLineChars="200"/>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zh-CN"/>
        </w:rPr>
        <w:t>2.由于不可预计的情况，像政策原因、战争、自然灾害、人为灾害如洪水、火灾、罢工、流行性疾病等人力不可抗因素导致的工作中断，双方均不承担责任，</w:t>
      </w:r>
      <w:r>
        <w:rPr>
          <w:rFonts w:hint="eastAsia" w:ascii="仿宋" w:hAnsi="仿宋" w:eastAsia="仿宋" w:cs="仿宋"/>
          <w:bCs/>
          <w:color w:val="000000" w:themeColor="text1"/>
          <w:sz w:val="21"/>
          <w:szCs w:val="21"/>
          <w:lang w:val="zh-CN"/>
          <w14:textFill>
            <w14:solidFill>
              <w14:schemeClr w14:val="tx1"/>
            </w14:solidFill>
          </w14:textFill>
        </w:rPr>
        <w:t>待条件恢复后，由双方协商确定合同变更内容。</w:t>
      </w:r>
    </w:p>
    <w:p>
      <w:pPr>
        <w:kinsoku w:val="0"/>
        <w:wordWrap w:val="0"/>
        <w:topLinePunct/>
        <w:spacing w:line="360" w:lineRule="auto"/>
        <w:ind w:left="567" w:hanging="567"/>
        <w:rPr>
          <w:rFonts w:hint="eastAsia" w:ascii="仿宋" w:hAnsi="仿宋" w:eastAsia="仿宋" w:cs="仿宋"/>
          <w:b/>
          <w:color w:val="000000"/>
          <w:kern w:val="0"/>
          <w:sz w:val="24"/>
          <w:szCs w:val="24"/>
          <w:lang w:eastAsia="en-US" w:bidi="en-US"/>
        </w:rPr>
      </w:pPr>
      <w:r>
        <w:rPr>
          <w:rFonts w:hint="eastAsia" w:ascii="仿宋" w:hAnsi="仿宋" w:eastAsia="仿宋" w:cs="仿宋"/>
          <w:b/>
          <w:color w:val="000000"/>
          <w:kern w:val="0"/>
          <w:sz w:val="24"/>
          <w:szCs w:val="24"/>
          <w:lang w:bidi="en-US"/>
        </w:rPr>
        <w:t>八</w:t>
      </w:r>
      <w:r>
        <w:rPr>
          <w:rFonts w:hint="eastAsia" w:ascii="仿宋" w:hAnsi="仿宋" w:eastAsia="仿宋" w:cs="仿宋"/>
          <w:b/>
          <w:color w:val="000000"/>
          <w:kern w:val="0"/>
          <w:sz w:val="24"/>
          <w:szCs w:val="24"/>
          <w:lang w:eastAsia="en-US" w:bidi="en-US"/>
        </w:rPr>
        <w:t>. 违约责任：</w:t>
      </w:r>
    </w:p>
    <w:p>
      <w:pPr>
        <w:numPr>
          <w:ilvl w:val="0"/>
          <w:numId w:val="9"/>
        </w:numPr>
        <w:tabs>
          <w:tab w:val="left" w:pos="0"/>
        </w:tabs>
        <w:kinsoku w:val="0"/>
        <w:wordWrap w:val="0"/>
        <w:topLinePunct/>
        <w:spacing w:line="360" w:lineRule="auto"/>
        <w:ind w:left="10" w:firstLine="470"/>
        <w:rPr>
          <w:rFonts w:hint="eastAsia" w:ascii="仿宋" w:hAnsi="仿宋" w:eastAsia="仿宋" w:cs="仿宋"/>
          <w:sz w:val="21"/>
          <w:szCs w:val="21"/>
        </w:rPr>
      </w:pPr>
      <w:r>
        <w:rPr>
          <w:rFonts w:hint="eastAsia" w:ascii="仿宋" w:hAnsi="仿宋" w:eastAsia="仿宋" w:cs="仿宋"/>
          <w:sz w:val="21"/>
          <w:szCs w:val="21"/>
        </w:rPr>
        <w:t>乙方未能交付</w:t>
      </w:r>
      <w:r>
        <w:rPr>
          <w:rFonts w:hint="eastAsia" w:ascii="仿宋" w:hAnsi="仿宋" w:eastAsia="仿宋" w:cs="仿宋"/>
          <w:sz w:val="21"/>
          <w:szCs w:val="21"/>
          <w:lang w:eastAsia="zh-CN"/>
        </w:rPr>
        <w:t>产品</w:t>
      </w:r>
      <w:r>
        <w:rPr>
          <w:rFonts w:hint="eastAsia" w:ascii="仿宋" w:hAnsi="仿宋" w:eastAsia="仿宋" w:cs="仿宋"/>
          <w:sz w:val="21"/>
          <w:szCs w:val="21"/>
        </w:rPr>
        <w:t>，则向甲方支付合同总金额5%的违约金。</w:t>
      </w:r>
    </w:p>
    <w:p>
      <w:pPr>
        <w:numPr>
          <w:ilvl w:val="0"/>
          <w:numId w:val="9"/>
        </w:numPr>
        <w:tabs>
          <w:tab w:val="left" w:pos="0"/>
        </w:tabs>
        <w:kinsoku w:val="0"/>
        <w:wordWrap w:val="0"/>
        <w:topLinePunct/>
        <w:spacing w:line="360" w:lineRule="auto"/>
        <w:ind w:left="10" w:firstLine="470"/>
        <w:rPr>
          <w:rFonts w:hint="eastAsia" w:ascii="仿宋" w:hAnsi="仿宋" w:eastAsia="仿宋" w:cs="仿宋"/>
          <w:sz w:val="21"/>
          <w:szCs w:val="21"/>
        </w:rPr>
      </w:pPr>
      <w:r>
        <w:rPr>
          <w:rFonts w:hint="eastAsia" w:ascii="仿宋" w:hAnsi="仿宋" w:eastAsia="仿宋" w:cs="仿宋"/>
          <w:sz w:val="21"/>
          <w:szCs w:val="21"/>
        </w:rPr>
        <w:t>乙方交付不符合合同规定的，甲方有权拒收，乙方向甲方支付货款总金额5%的违约金。</w:t>
      </w:r>
    </w:p>
    <w:p>
      <w:pPr>
        <w:numPr>
          <w:ilvl w:val="0"/>
          <w:numId w:val="9"/>
        </w:numPr>
        <w:tabs>
          <w:tab w:val="left" w:pos="0"/>
        </w:tabs>
        <w:kinsoku w:val="0"/>
        <w:wordWrap w:val="0"/>
        <w:topLinePunct/>
        <w:spacing w:line="360" w:lineRule="auto"/>
        <w:ind w:left="10" w:firstLine="470"/>
        <w:rPr>
          <w:rFonts w:hint="eastAsia" w:ascii="仿宋" w:hAnsi="仿宋" w:eastAsia="仿宋" w:cs="仿宋"/>
          <w:sz w:val="21"/>
          <w:szCs w:val="21"/>
        </w:rPr>
      </w:pPr>
      <w:r>
        <w:rPr>
          <w:rFonts w:hint="eastAsia" w:ascii="仿宋" w:hAnsi="仿宋" w:eastAsia="仿宋" w:cs="仿宋"/>
          <w:sz w:val="21"/>
          <w:szCs w:val="21"/>
        </w:rPr>
        <w:t>甲方无正当理由拒收服务，拒付货款的，甲方向乙方偿付合同总金额5%的违约金。</w:t>
      </w:r>
    </w:p>
    <w:p>
      <w:pPr>
        <w:numPr>
          <w:ilvl w:val="0"/>
          <w:numId w:val="9"/>
        </w:numPr>
        <w:tabs>
          <w:tab w:val="left" w:pos="0"/>
        </w:tabs>
        <w:kinsoku w:val="0"/>
        <w:wordWrap w:val="0"/>
        <w:topLinePunct/>
        <w:spacing w:line="360" w:lineRule="auto"/>
        <w:ind w:left="10" w:firstLine="470"/>
        <w:rPr>
          <w:rFonts w:hint="eastAsia" w:ascii="仿宋" w:hAnsi="仿宋" w:eastAsia="仿宋" w:cs="仿宋"/>
          <w:sz w:val="21"/>
          <w:szCs w:val="21"/>
        </w:rPr>
      </w:pPr>
      <w:r>
        <w:rPr>
          <w:rFonts w:hint="eastAsia" w:ascii="仿宋" w:hAnsi="仿宋" w:eastAsia="仿宋" w:cs="仿宋"/>
          <w:sz w:val="21"/>
          <w:szCs w:val="21"/>
        </w:rPr>
        <w:t>乙方逾期交付服务，则每日按合同总额3‰向对方偿付违约金。逾期交付超过15天，甲方有权终止合同，则乙方向甲方偿付合同总金额7.5%的违约金。</w:t>
      </w:r>
    </w:p>
    <w:p>
      <w:pPr>
        <w:numPr>
          <w:ilvl w:val="0"/>
          <w:numId w:val="9"/>
        </w:numPr>
        <w:tabs>
          <w:tab w:val="left" w:pos="0"/>
        </w:tabs>
        <w:kinsoku w:val="0"/>
        <w:wordWrap w:val="0"/>
        <w:topLinePunct/>
        <w:spacing w:line="360" w:lineRule="auto"/>
        <w:ind w:left="10" w:firstLine="470"/>
        <w:rPr>
          <w:rFonts w:hint="eastAsia" w:ascii="仿宋" w:hAnsi="仿宋" w:eastAsia="仿宋" w:cs="仿宋"/>
          <w:sz w:val="24"/>
          <w:szCs w:val="24"/>
        </w:rPr>
      </w:pPr>
      <w:r>
        <w:rPr>
          <w:rFonts w:hint="eastAsia" w:ascii="仿宋" w:hAnsi="仿宋" w:eastAsia="仿宋" w:cs="仿宋"/>
          <w:sz w:val="21"/>
          <w:szCs w:val="21"/>
        </w:rPr>
        <w:t>甲方逾期付款，则每日按合同总额3‰向乙方偿付违约金。</w:t>
      </w:r>
    </w:p>
    <w:p>
      <w:pPr>
        <w:kinsoku w:val="0"/>
        <w:wordWrap w:val="0"/>
        <w:topLinePunct/>
        <w:spacing w:line="360" w:lineRule="auto"/>
        <w:ind w:left="567" w:hanging="567"/>
        <w:rPr>
          <w:rFonts w:hint="eastAsia" w:ascii="仿宋" w:hAnsi="仿宋" w:eastAsia="仿宋" w:cs="仿宋"/>
          <w:b/>
          <w:color w:val="000000"/>
          <w:kern w:val="0"/>
          <w:sz w:val="24"/>
          <w:szCs w:val="24"/>
          <w:lang w:bidi="en-US"/>
        </w:rPr>
      </w:pPr>
    </w:p>
    <w:p>
      <w:pPr>
        <w:kinsoku w:val="0"/>
        <w:wordWrap w:val="0"/>
        <w:topLinePunct/>
        <w:spacing w:line="360" w:lineRule="auto"/>
        <w:ind w:left="567" w:hanging="567"/>
        <w:rPr>
          <w:rFonts w:hint="eastAsia" w:ascii="仿宋" w:hAnsi="仿宋" w:eastAsia="仿宋" w:cs="仿宋"/>
          <w:b/>
          <w:color w:val="000000"/>
          <w:kern w:val="0"/>
          <w:sz w:val="24"/>
          <w:szCs w:val="24"/>
          <w:lang w:bidi="en-US"/>
        </w:rPr>
      </w:pPr>
      <w:r>
        <w:rPr>
          <w:rFonts w:hint="eastAsia" w:ascii="仿宋" w:hAnsi="仿宋" w:eastAsia="仿宋" w:cs="仿宋"/>
          <w:b/>
          <w:color w:val="000000"/>
          <w:kern w:val="0"/>
          <w:sz w:val="24"/>
          <w:szCs w:val="24"/>
          <w:lang w:bidi="en-US"/>
        </w:rPr>
        <w:t>九．售后服务</w:t>
      </w:r>
    </w:p>
    <w:p>
      <w:pPr>
        <w:tabs>
          <w:tab w:val="left" w:pos="0"/>
        </w:tabs>
        <w:kinsoku w:val="0"/>
        <w:wordWrap w:val="0"/>
        <w:topLinePunct/>
        <w:spacing w:line="360" w:lineRule="auto"/>
        <w:ind w:left="18" w:firstLine="524" w:firstLineChars="200"/>
        <w:rPr>
          <w:rFonts w:hint="eastAsia" w:ascii="仿宋" w:hAnsi="仿宋" w:eastAsia="仿宋" w:cs="仿宋"/>
          <w:sz w:val="21"/>
          <w:szCs w:val="21"/>
        </w:rPr>
      </w:pPr>
      <w:r>
        <w:rPr>
          <w:rFonts w:hint="eastAsia" w:ascii="仿宋" w:hAnsi="仿宋" w:eastAsia="仿宋" w:cs="仿宋"/>
          <w:sz w:val="21"/>
          <w:szCs w:val="21"/>
          <w:lang w:val="zh-CN"/>
        </w:rPr>
        <w:t>货物经验收交付使用后，按行业标准进行质保，</w:t>
      </w:r>
      <w:r>
        <w:rPr>
          <w:rFonts w:hint="eastAsia" w:ascii="仿宋" w:hAnsi="仿宋" w:eastAsia="仿宋" w:cs="仿宋"/>
          <w:sz w:val="21"/>
          <w:szCs w:val="21"/>
        </w:rPr>
        <w:t>我司承诺对所</w:t>
      </w:r>
      <w:r>
        <w:rPr>
          <w:rFonts w:hint="eastAsia" w:ascii="仿宋" w:hAnsi="仿宋" w:eastAsia="仿宋" w:cs="仿宋"/>
          <w:sz w:val="21"/>
          <w:szCs w:val="21"/>
          <w:lang w:val="zh-CN"/>
        </w:rPr>
        <w:t>供应的产品</w:t>
      </w:r>
      <w:r>
        <w:rPr>
          <w:rFonts w:hint="eastAsia" w:ascii="仿宋" w:hAnsi="仿宋" w:eastAsia="仿宋" w:cs="仿宋"/>
          <w:sz w:val="21"/>
          <w:szCs w:val="21"/>
        </w:rPr>
        <w:t>按照行业标准进行质保，质保期：1年</w:t>
      </w:r>
      <w:r>
        <w:rPr>
          <w:rFonts w:hint="eastAsia" w:ascii="仿宋" w:hAnsi="仿宋" w:eastAsia="仿宋" w:cs="仿宋"/>
          <w:sz w:val="21"/>
          <w:szCs w:val="21"/>
          <w:lang w:val="zh-CN"/>
        </w:rPr>
        <w:t>。</w:t>
      </w:r>
    </w:p>
    <w:p>
      <w:pPr>
        <w:pStyle w:val="12"/>
        <w:kinsoku w:val="0"/>
        <w:wordWrap w:val="0"/>
        <w:topLinePunct/>
        <w:autoSpaceDE/>
        <w:autoSpaceDN/>
        <w:spacing w:line="360" w:lineRule="auto"/>
        <w:ind w:firstLine="0" w:firstLineChars="0"/>
        <w:rPr>
          <w:rFonts w:hint="eastAsia" w:ascii="仿宋" w:hAnsi="仿宋" w:eastAsia="仿宋" w:cs="仿宋"/>
          <w:b/>
          <w:color w:val="000000"/>
          <w:sz w:val="24"/>
          <w:szCs w:val="24"/>
          <w:lang w:bidi="en-US"/>
        </w:rPr>
      </w:pPr>
      <w:r>
        <w:rPr>
          <w:rFonts w:hint="eastAsia" w:ascii="仿宋" w:hAnsi="仿宋" w:eastAsia="仿宋" w:cs="仿宋"/>
          <w:b/>
          <w:sz w:val="24"/>
          <w:szCs w:val="22"/>
        </w:rPr>
        <w:t>十</w:t>
      </w:r>
      <w:r>
        <w:rPr>
          <w:rFonts w:hint="eastAsia" w:ascii="仿宋" w:hAnsi="仿宋" w:eastAsia="仿宋" w:cs="仿宋"/>
          <w:b/>
          <w:color w:val="000000"/>
          <w:sz w:val="24"/>
          <w:szCs w:val="24"/>
          <w:lang w:bidi="en-US"/>
        </w:rPr>
        <w:t>．技术支持及培训</w:t>
      </w:r>
    </w:p>
    <w:p>
      <w:pPr>
        <w:spacing w:line="360" w:lineRule="auto"/>
        <w:ind w:firstLine="524" w:firstLineChars="200"/>
        <w:rPr>
          <w:rFonts w:hint="eastAsia" w:ascii="仿宋" w:hAnsi="仿宋" w:eastAsia="仿宋" w:cs="仿宋"/>
          <w:bCs/>
          <w:color w:val="000000" w:themeColor="text1"/>
          <w:kern w:val="0"/>
          <w:sz w:val="21"/>
          <w:szCs w:val="21"/>
          <w:lang w:val="zh-CN"/>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1.</w:t>
      </w:r>
      <w:r>
        <w:rPr>
          <w:rFonts w:hint="eastAsia" w:ascii="仿宋" w:hAnsi="仿宋" w:eastAsia="仿宋" w:cs="仿宋"/>
          <w:bCs/>
          <w:color w:val="000000" w:themeColor="text1"/>
          <w:kern w:val="0"/>
          <w:sz w:val="21"/>
          <w:szCs w:val="21"/>
          <w:lang w:val="zh-CN"/>
          <w14:textFill>
            <w14:solidFill>
              <w14:schemeClr w14:val="tx1"/>
            </w14:solidFill>
          </w14:textFill>
        </w:rPr>
        <w:t>乙方提供详细技术资料并免费按甲方要求进行技术培训。</w:t>
      </w:r>
    </w:p>
    <w:p>
      <w:pPr>
        <w:pStyle w:val="12"/>
        <w:kinsoku w:val="0"/>
        <w:wordWrap w:val="0"/>
        <w:topLinePunct/>
        <w:autoSpaceDE/>
        <w:autoSpaceDN/>
        <w:spacing w:line="360" w:lineRule="auto"/>
        <w:ind w:firstLine="524" w:firstLineChars="200"/>
        <w:rPr>
          <w:rFonts w:hint="eastAsia" w:ascii="仿宋" w:hAnsi="仿宋" w:eastAsia="仿宋" w:cs="仿宋"/>
          <w:b/>
          <w:sz w:val="21"/>
          <w:szCs w:val="21"/>
        </w:rPr>
      </w:pPr>
      <w:r>
        <w:rPr>
          <w:rFonts w:hint="eastAsia" w:ascii="仿宋" w:hAnsi="仿宋" w:eastAsia="仿宋" w:cs="仿宋"/>
          <w:bCs/>
          <w:color w:val="000000" w:themeColor="text1"/>
          <w:sz w:val="21"/>
          <w:szCs w:val="21"/>
          <w14:textFill>
            <w14:solidFill>
              <w14:schemeClr w14:val="tx1"/>
            </w14:solidFill>
          </w14:textFill>
        </w:rPr>
        <w:t>2.</w:t>
      </w:r>
      <w:r>
        <w:rPr>
          <w:rFonts w:hint="eastAsia" w:ascii="仿宋" w:hAnsi="仿宋" w:eastAsia="仿宋" w:cs="仿宋"/>
          <w:bCs/>
          <w:color w:val="000000" w:themeColor="text1"/>
          <w:sz w:val="21"/>
          <w:szCs w:val="21"/>
          <w:lang w:val="zh-CN"/>
          <w14:textFill>
            <w14:solidFill>
              <w14:schemeClr w14:val="tx1"/>
            </w14:solidFill>
          </w14:textFill>
        </w:rPr>
        <w:t>培训的内容及方案应由双方协商制定。乙方前来进行技术培训人员的费用包括在合同总价中。</w:t>
      </w:r>
    </w:p>
    <w:p>
      <w:pPr>
        <w:pStyle w:val="12"/>
        <w:kinsoku w:val="0"/>
        <w:wordWrap w:val="0"/>
        <w:topLinePunct/>
        <w:autoSpaceDE/>
        <w:autoSpaceDN/>
        <w:spacing w:line="360" w:lineRule="auto"/>
        <w:ind w:firstLine="0" w:firstLineChars="0"/>
        <w:rPr>
          <w:rFonts w:hint="eastAsia" w:ascii="仿宋" w:hAnsi="仿宋" w:eastAsia="仿宋" w:cs="仿宋"/>
          <w:b/>
          <w:color w:val="000000"/>
          <w:sz w:val="24"/>
          <w:szCs w:val="24"/>
          <w:lang w:bidi="en-US"/>
        </w:rPr>
      </w:pPr>
      <w:r>
        <w:rPr>
          <w:rFonts w:hint="eastAsia" w:ascii="仿宋" w:hAnsi="仿宋" w:eastAsia="仿宋" w:cs="仿宋"/>
          <w:b/>
          <w:color w:val="000000"/>
          <w:sz w:val="24"/>
          <w:szCs w:val="24"/>
          <w:lang w:bidi="en-US"/>
        </w:rPr>
        <w:t>十一. 合同的仲裁</w:t>
      </w:r>
    </w:p>
    <w:p>
      <w:pPr>
        <w:pStyle w:val="15"/>
        <w:kinsoku w:val="0"/>
        <w:wordWrap w:val="0"/>
        <w:spacing w:line="360" w:lineRule="auto"/>
        <w:ind w:left="498" w:leftChars="150" w:firstLine="332"/>
        <w:rPr>
          <w:rFonts w:hint="eastAsia" w:ascii="仿宋" w:hAnsi="仿宋" w:eastAsia="仿宋" w:cs="仿宋"/>
          <w:sz w:val="21"/>
          <w:szCs w:val="21"/>
        </w:rPr>
      </w:pPr>
      <w:r>
        <w:rPr>
          <w:rFonts w:hint="eastAsia" w:ascii="仿宋" w:hAnsi="仿宋" w:eastAsia="仿宋" w:cs="仿宋"/>
          <w:sz w:val="21"/>
          <w:szCs w:val="21"/>
        </w:rPr>
        <w:t>本合同发生争议，由双方协商或调解解决，协商或调解不成时向签订合同所在地人民法院起诉。</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甲方（盖章）：汕头大学医学院</w:t>
            </w:r>
          </w:p>
        </w:tc>
        <w:tc>
          <w:tcPr>
            <w:tcW w:w="4986"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地址：汕头市金平区新陵路22号</w:t>
            </w:r>
          </w:p>
        </w:tc>
        <w:tc>
          <w:tcPr>
            <w:tcW w:w="4986" w:type="dxa"/>
            <w:vAlign w:val="center"/>
          </w:tcPr>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法定代表人： 谭学瑞</w:t>
            </w:r>
          </w:p>
        </w:tc>
        <w:tc>
          <w:tcPr>
            <w:tcW w:w="4986"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委托代理人：</w:t>
            </w:r>
          </w:p>
        </w:tc>
        <w:tc>
          <w:tcPr>
            <w:tcW w:w="4986"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电话：0754-88900477</w:t>
            </w:r>
          </w:p>
        </w:tc>
        <w:tc>
          <w:tcPr>
            <w:tcW w:w="4986"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传真：0754-88900305</w:t>
            </w:r>
          </w:p>
        </w:tc>
        <w:tc>
          <w:tcPr>
            <w:tcW w:w="4986"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邮政编码：515041</w:t>
            </w:r>
          </w:p>
        </w:tc>
        <w:tc>
          <w:tcPr>
            <w:tcW w:w="4986"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开户银行：中行嘉泰支行</w:t>
            </w:r>
          </w:p>
        </w:tc>
        <w:tc>
          <w:tcPr>
            <w:tcW w:w="4986"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开户账号：7055 5774 4822</w:t>
            </w:r>
          </w:p>
        </w:tc>
        <w:tc>
          <w:tcPr>
            <w:tcW w:w="4986"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统一社会信用代码：12440000455861456K</w:t>
            </w:r>
          </w:p>
        </w:tc>
        <w:tc>
          <w:tcPr>
            <w:tcW w:w="4986"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签订日期：       年     月     日</w:t>
            </w:r>
          </w:p>
        </w:tc>
        <w:tc>
          <w:tcPr>
            <w:tcW w:w="4986"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签订日期：       年     月     日</w:t>
            </w:r>
          </w:p>
        </w:tc>
      </w:tr>
    </w:tbl>
    <w:p>
      <w:pPr>
        <w:rPr>
          <w:rFonts w:hint="eastAsia" w:ascii="仿宋" w:hAnsi="仿宋" w:eastAsia="仿宋" w:cs="仿宋"/>
          <w:sz w:val="21"/>
          <w:szCs w:val="21"/>
        </w:rPr>
      </w:pPr>
    </w:p>
    <w:p>
      <w:pPr>
        <w:pStyle w:val="11"/>
        <w:rPr>
          <w:rFonts w:hint="eastAsia" w:ascii="仿宋" w:hAnsi="仿宋" w:eastAsia="仿宋" w:cs="仿宋"/>
          <w:sz w:val="21"/>
          <w:szCs w:val="21"/>
        </w:rPr>
      </w:pPr>
      <w:r>
        <w:rPr>
          <w:rFonts w:hint="eastAsia" w:ascii="仿宋" w:hAnsi="仿宋" w:eastAsia="仿宋" w:cs="仿宋"/>
          <w:sz w:val="21"/>
          <w:szCs w:val="21"/>
        </w:rPr>
        <w:t>附技术条款响应表：</w:t>
      </w:r>
    </w:p>
    <w:p>
      <w:pPr>
        <w:kinsoku w:val="0"/>
        <w:wordWrap w:val="0"/>
        <w:topLinePunct/>
        <w:spacing w:line="360" w:lineRule="atLeast"/>
        <w:ind w:firstLine="186" w:firstLineChars="50"/>
        <w:rPr>
          <w:rFonts w:hint="eastAsia"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第四部分    投  标  书（格式）</w:t>
      </w:r>
    </w:p>
    <w:p>
      <w:pPr>
        <w:kinsoku w:val="0"/>
        <w:wordWrap w:val="0"/>
        <w:topLinePunct/>
        <w:spacing w:after="120" w:line="360" w:lineRule="atLeast"/>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spacing w:after="120" w:line="240" w:lineRule="atLeast"/>
        <w:ind w:firstLine="585"/>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号（招标编号）招标文件要求，</w:t>
      </w:r>
      <w:r>
        <w:rPr>
          <w:rFonts w:hint="eastAsia" w:ascii="仿宋" w:hAnsi="仿宋" w:eastAsia="仿宋" w:cs="仿宋"/>
          <w:sz w:val="24"/>
          <w:u w:val="single"/>
        </w:rPr>
        <w:t xml:space="preserve">                </w:t>
      </w:r>
      <w:r>
        <w:rPr>
          <w:rFonts w:hint="eastAsia" w:ascii="仿宋" w:hAnsi="仿宋" w:eastAsia="仿宋" w:cs="仿宋"/>
          <w:sz w:val="24"/>
        </w:rPr>
        <w:t>（全名及职衔）经正式授权并以投标人</w:t>
      </w:r>
      <w:r>
        <w:rPr>
          <w:rFonts w:hint="eastAsia" w:ascii="仿宋" w:hAnsi="仿宋" w:eastAsia="仿宋" w:cs="仿宋"/>
          <w:sz w:val="24"/>
          <w:u w:val="single"/>
        </w:rPr>
        <w:t xml:space="preserve">                             </w:t>
      </w:r>
      <w:r>
        <w:rPr>
          <w:rFonts w:hint="eastAsia" w:ascii="仿宋" w:hAnsi="仿宋" w:eastAsia="仿宋" w:cs="仿宋"/>
          <w:sz w:val="24"/>
        </w:rPr>
        <w:t>（投标人名称、地址）的名义投标。提交下述文件正本一份和副本一式五份。</w:t>
      </w:r>
    </w:p>
    <w:p>
      <w:pPr>
        <w:pStyle w:val="7"/>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投标书；</w:t>
      </w:r>
    </w:p>
    <w:p>
      <w:pPr>
        <w:pStyle w:val="7"/>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开标一览表；</w:t>
      </w:r>
    </w:p>
    <w:p>
      <w:pPr>
        <w:pStyle w:val="7"/>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设备配置一览表；</w:t>
      </w:r>
    </w:p>
    <w:p>
      <w:pPr>
        <w:pStyle w:val="7"/>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服务承诺书；</w:t>
      </w:r>
    </w:p>
    <w:p>
      <w:pPr>
        <w:pStyle w:val="7"/>
        <w:kinsoku w:val="0"/>
        <w:wordWrap w:val="0"/>
        <w:topLinePunct/>
        <w:autoSpaceDE/>
        <w:autoSpaceDN/>
        <w:spacing w:line="200" w:lineRule="atLeast"/>
        <w:ind w:left="1328" w:leftChars="0" w:firstLine="0" w:firstLineChars="0"/>
        <w:rPr>
          <w:rFonts w:hint="eastAsia" w:ascii="仿宋" w:hAnsi="仿宋" w:eastAsia="仿宋" w:cs="仿宋"/>
          <w:sz w:val="24"/>
        </w:rPr>
      </w:pP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签字代表在此声明并同意：</w:t>
      </w:r>
    </w:p>
    <w:p>
      <w:pPr>
        <w:kinsoku w:val="0"/>
        <w:wordWrap w:val="0"/>
        <w:topLinePunct/>
        <w:spacing w:line="360" w:lineRule="atLeast"/>
        <w:ind w:left="830" w:hanging="830"/>
        <w:rPr>
          <w:rFonts w:hint="eastAsia" w:ascii="仿宋" w:hAnsi="仿宋" w:eastAsia="仿宋" w:cs="仿宋"/>
          <w:sz w:val="24"/>
        </w:rPr>
      </w:pPr>
      <w:r>
        <w:rPr>
          <w:rFonts w:hint="eastAsia" w:ascii="仿宋" w:hAnsi="仿宋" w:eastAsia="仿宋" w:cs="仿宋"/>
          <w:sz w:val="24"/>
        </w:rPr>
        <w:t xml:space="preserve">   １.我们愿意遵守招标人招标文件中的各项规定，供应符合“技术规范”所要求的设备，投标总报价为：</w:t>
      </w:r>
      <w:r>
        <w:rPr>
          <w:rFonts w:hint="eastAsia" w:ascii="仿宋" w:hAnsi="仿宋" w:eastAsia="仿宋" w:cs="仿宋"/>
          <w:sz w:val="24"/>
          <w:u w:val="single"/>
        </w:rPr>
        <w:t xml:space="preserve">         </w:t>
      </w:r>
      <w:r>
        <w:rPr>
          <w:rFonts w:hint="eastAsia" w:ascii="仿宋" w:hAnsi="仿宋" w:eastAsia="仿宋" w:cs="仿宋"/>
          <w:sz w:val="24"/>
        </w:rPr>
        <w:t>元。</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２.我们同意本投标自投标截止日起30天内有效。如果我们的投标被接受，则直至合同生效时止，本投标始终有效。</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３.我们已经详细地阅读了全部招标文件及附件，包括澄清及参考文件（如果有的话），我们完全理解并同意放弃对这方面有不明及误解的权利。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４.我们同意提供招标人要求的有关投标的其他资料。</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５.我们理解，招标人并无义务必须接受最低报价的投标或其他任何投标。</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６.所有有关本次投标的函电请寄：</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职      位:</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投标方名称:</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投标方印章:</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电  话：           传  真：            E_mail:</w:t>
      </w:r>
    </w:p>
    <w:p>
      <w:pPr>
        <w:kinsoku w:val="0"/>
        <w:wordWrap w:val="0"/>
        <w:topLinePunct/>
        <w:spacing w:line="360" w:lineRule="exa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投标书附件1：</w:t>
      </w:r>
    </w:p>
    <w:p>
      <w:pPr>
        <w:kinsoku w:val="0"/>
        <w:wordWrap w:val="0"/>
        <w:topLinePunct/>
        <w:spacing w:line="360" w:lineRule="exact"/>
        <w:jc w:val="center"/>
        <w:rPr>
          <w:rFonts w:hint="eastAsia" w:ascii="仿宋" w:hAnsi="仿宋" w:eastAsia="仿宋" w:cs="仿宋"/>
          <w:b/>
          <w:sz w:val="32"/>
        </w:rPr>
      </w:pPr>
    </w:p>
    <w:p>
      <w:pPr>
        <w:kinsoku w:val="0"/>
        <w:wordWrap w:val="0"/>
        <w:topLinePunct/>
        <w:spacing w:line="360" w:lineRule="exact"/>
        <w:jc w:val="center"/>
        <w:rPr>
          <w:rFonts w:hint="eastAsia" w:ascii="仿宋" w:hAnsi="仿宋" w:eastAsia="仿宋" w:cs="仿宋"/>
          <w:b/>
          <w:sz w:val="32"/>
        </w:rPr>
      </w:pPr>
    </w:p>
    <w:p>
      <w:pPr>
        <w:kinsoku w:val="0"/>
        <w:wordWrap w:val="0"/>
        <w:topLinePunct/>
        <w:spacing w:line="360" w:lineRule="exact"/>
        <w:jc w:val="center"/>
        <w:rPr>
          <w:rFonts w:hint="eastAsia" w:ascii="仿宋" w:hAnsi="仿宋" w:eastAsia="仿宋" w:cs="仿宋"/>
          <w:b/>
          <w:sz w:val="32"/>
        </w:rPr>
      </w:pPr>
      <w:r>
        <w:rPr>
          <w:rFonts w:hint="eastAsia" w:ascii="仿宋" w:hAnsi="仿宋" w:eastAsia="仿宋" w:cs="仿宋"/>
          <w:b/>
          <w:sz w:val="32"/>
        </w:rPr>
        <w:t>开标一览表</w:t>
      </w: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u w:val="single"/>
        </w:rPr>
      </w:pPr>
      <w:r>
        <w:rPr>
          <w:rFonts w:hint="eastAsia" w:ascii="仿宋" w:hAnsi="仿宋" w:eastAsia="仿宋" w:cs="仿宋"/>
          <w:sz w:val="24"/>
        </w:rPr>
        <w:t>投标方名称：</w:t>
      </w:r>
      <w:r>
        <w:rPr>
          <w:rFonts w:hint="eastAsia" w:ascii="仿宋" w:hAnsi="仿宋" w:eastAsia="仿宋" w:cs="仿宋"/>
          <w:sz w:val="24"/>
          <w:u w:val="single"/>
        </w:rPr>
        <w:t xml:space="preserve">                     </w:t>
      </w:r>
      <w:r>
        <w:rPr>
          <w:rFonts w:hint="eastAsia" w:ascii="仿宋" w:hAnsi="仿宋" w:eastAsia="仿宋" w:cs="仿宋"/>
          <w:sz w:val="24"/>
        </w:rPr>
        <w:t>，招标编号：</w:t>
      </w:r>
      <w:r>
        <w:rPr>
          <w:rFonts w:hint="eastAsia" w:ascii="仿宋" w:hAnsi="仿宋" w:eastAsia="仿宋" w:cs="仿宋"/>
          <w:sz w:val="24"/>
          <w:u w:val="single"/>
        </w:rPr>
        <w:t xml:space="preserve">         </w:t>
      </w:r>
    </w:p>
    <w:p>
      <w:pPr>
        <w:kinsoku w:val="0"/>
        <w:wordWrap w:val="0"/>
        <w:topLinePunct/>
        <w:spacing w:line="360" w:lineRule="exact"/>
        <w:rPr>
          <w:rFonts w:hint="eastAsia" w:ascii="仿宋" w:hAnsi="仿宋" w:eastAsia="仿宋" w:cs="仿宋"/>
          <w:sz w:val="21"/>
        </w:rPr>
      </w:pPr>
      <w:r>
        <w:rPr>
          <w:rFonts w:hint="eastAsia" w:ascii="仿宋" w:hAnsi="仿宋" w:eastAsia="仿宋" w:cs="仿宋"/>
          <w:sz w:val="21"/>
        </w:rPr>
        <w:t xml:space="preserve">                                              金额单位：元  人民币</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序号</w:t>
            </w:r>
          </w:p>
        </w:tc>
        <w:tc>
          <w:tcPr>
            <w:tcW w:w="3652"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项目名称</w:t>
            </w:r>
          </w:p>
        </w:tc>
        <w:tc>
          <w:tcPr>
            <w:tcW w:w="1992"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投标总报价</w:t>
            </w:r>
          </w:p>
        </w:tc>
        <w:tc>
          <w:tcPr>
            <w:tcW w:w="2656"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一</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二</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三</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四</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五</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六</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七</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八</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bl>
    <w:p>
      <w:pPr>
        <w:kinsoku w:val="0"/>
        <w:wordWrap w:val="0"/>
        <w:topLinePunct/>
        <w:spacing w:line="360" w:lineRule="exact"/>
        <w:rPr>
          <w:rFonts w:hint="eastAsia" w:ascii="仿宋" w:hAnsi="仿宋" w:eastAsia="仿宋" w:cs="仿宋"/>
          <w:sz w:val="24"/>
        </w:rPr>
      </w:pPr>
    </w:p>
    <w:p>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pPr>
        <w:kinsoku w:val="0"/>
        <w:wordWrap w:val="0"/>
        <w:topLinePunct/>
        <w:rPr>
          <w:rFonts w:hint="eastAsia" w:ascii="仿宋" w:hAnsi="仿宋" w:eastAsia="仿宋" w:cs="仿宋"/>
        </w:rPr>
      </w:pPr>
    </w:p>
    <w:p>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服务承诺书（格式）</w:t>
      </w:r>
    </w:p>
    <w:p>
      <w:pPr>
        <w:kinsoku w:val="0"/>
        <w:wordWrap w:val="0"/>
        <w:topLinePunct/>
        <w:ind w:left="851" w:hanging="851"/>
        <w:jc w:val="center"/>
        <w:rPr>
          <w:rFonts w:hint="eastAsia" w:ascii="仿宋" w:hAnsi="仿宋" w:eastAsia="仿宋" w:cs="仿宋"/>
        </w:rPr>
      </w:pPr>
    </w:p>
    <w:p>
      <w:pPr>
        <w:kinsoku w:val="0"/>
        <w:wordWrap w:val="0"/>
        <w:topLinePunct/>
        <w:ind w:left="851" w:hanging="851"/>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ind w:firstLine="664"/>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号（招标编号）招标书，我们同意招标文件中有关服务的要求，对所投的技术服务承诺如下服务：</w:t>
      </w: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r>
        <w:rPr>
          <w:rFonts w:hint="eastAsia" w:ascii="仿宋" w:hAnsi="仿宋" w:eastAsia="仿宋" w:cs="仿宋"/>
          <w:sz w:val="24"/>
        </w:rPr>
        <w:t>特此承诺！</w:t>
      </w:r>
    </w:p>
    <w:p>
      <w:pPr>
        <w:kinsoku w:val="0"/>
        <w:wordWrap w:val="0"/>
        <w:topLinePunct/>
        <w:ind w:firstLine="664"/>
        <w:rPr>
          <w:rFonts w:hint="eastAsia" w:ascii="仿宋" w:hAnsi="仿宋" w:eastAsia="仿宋" w:cs="仿宋"/>
          <w:sz w:val="24"/>
        </w:rPr>
      </w:pP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承诺方授权代表签字：</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职      位:</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承诺方名称:</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承诺方印章:</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地  址：</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邮  编：</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电  话：</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传  真：</w:t>
      </w: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ind w:left="851" w:hanging="851"/>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pPr>
        <w:kinsoku w:val="0"/>
        <w:wordWrap w:val="0"/>
        <w:topLinePunct/>
        <w:ind w:left="851" w:hanging="851"/>
        <w:rPr>
          <w:rFonts w:hint="eastAsia" w:ascii="仿宋" w:hAnsi="仿宋" w:eastAsia="仿宋" w:cs="仿宋"/>
          <w:sz w:val="24"/>
        </w:rPr>
      </w:pPr>
    </w:p>
    <w:p>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关于资格文件声明的函</w:t>
      </w:r>
    </w:p>
    <w:p>
      <w:pPr>
        <w:kinsoku w:val="0"/>
        <w:wordWrap w:val="0"/>
        <w:topLinePunct/>
        <w:ind w:left="851" w:hanging="851"/>
        <w:rPr>
          <w:rFonts w:hint="eastAsia" w:ascii="仿宋" w:hAnsi="仿宋" w:eastAsia="仿宋" w:cs="仿宋"/>
          <w:sz w:val="24"/>
        </w:rPr>
      </w:pPr>
    </w:p>
    <w:p>
      <w:pPr>
        <w:kinsoku w:val="0"/>
        <w:wordWrap w:val="0"/>
        <w:topLinePunct/>
        <w:spacing w:after="180"/>
        <w:ind w:left="850" w:hanging="266"/>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spacing w:after="180"/>
        <w:ind w:firstLine="585"/>
        <w:rPr>
          <w:rFonts w:hint="eastAsia"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日设</w:t>
      </w:r>
      <w:r>
        <w:rPr>
          <w:rFonts w:hint="eastAsia" w:ascii="仿宋" w:hAnsi="仿宋" w:eastAsia="仿宋" w:cs="仿宋"/>
          <w:sz w:val="24"/>
          <w:u w:val="single"/>
        </w:rPr>
        <w:t xml:space="preserve">           </w:t>
      </w:r>
      <w:r>
        <w:rPr>
          <w:rFonts w:hint="eastAsia" w:ascii="仿宋" w:hAnsi="仿宋" w:eastAsia="仿宋" w:cs="仿宋"/>
          <w:sz w:val="24"/>
        </w:rPr>
        <w:t>号招标文件的投标邀请，本签字人愿意参加投标，并证明提交的资格文件和说明是准确的和真实的。</w:t>
      </w: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r>
        <w:rPr>
          <w:rFonts w:hint="eastAsia" w:ascii="仿宋" w:hAnsi="仿宋" w:eastAsia="仿宋" w:cs="仿宋"/>
          <w:sz w:val="24"/>
        </w:rPr>
        <w:t>单位名称和地址：              授权签署本资格文件人：</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 xml:space="preserve">     签  字：</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签字人姓名、职务（印刷体）</w:t>
      </w:r>
    </w:p>
    <w:p>
      <w:pPr>
        <w:kinsoku w:val="0"/>
        <w:wordWrap w:val="0"/>
        <w:topLinePunct/>
        <w:spacing w:after="180"/>
        <w:rPr>
          <w:rFonts w:hint="eastAsia"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邮  编：</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r>
        <w:rPr>
          <w:rFonts w:hint="eastAsia" w:ascii="仿宋" w:hAnsi="仿宋" w:eastAsia="仿宋" w:cs="仿宋"/>
          <w:sz w:val="24"/>
        </w:rPr>
        <w:t>投标书附件4：</w:t>
      </w:r>
    </w:p>
    <w:p>
      <w:pPr>
        <w:kinsoku w:val="0"/>
        <w:wordWrap w:val="0"/>
        <w:topLinePunct/>
        <w:spacing w:after="180"/>
        <w:rPr>
          <w:rFonts w:hint="eastAsia" w:ascii="仿宋" w:hAnsi="仿宋" w:eastAsia="仿宋" w:cs="仿宋"/>
          <w:sz w:val="24"/>
        </w:rPr>
      </w:pPr>
    </w:p>
    <w:p>
      <w:pPr>
        <w:kinsoku w:val="0"/>
        <w:wordWrap w:val="0"/>
        <w:topLinePunct/>
        <w:spacing w:after="180"/>
        <w:jc w:val="center"/>
        <w:rPr>
          <w:rFonts w:hint="eastAsia" w:ascii="仿宋" w:hAnsi="仿宋" w:eastAsia="仿宋" w:cs="仿宋"/>
          <w:b/>
          <w:sz w:val="32"/>
        </w:rPr>
      </w:pPr>
      <w:r>
        <w:rPr>
          <w:rFonts w:hint="eastAsia" w:ascii="仿宋" w:hAnsi="仿宋" w:eastAsia="仿宋" w:cs="仿宋"/>
          <w:b/>
          <w:sz w:val="32"/>
        </w:rPr>
        <w:t>资 格 文 件</w:t>
      </w:r>
    </w:p>
    <w:p>
      <w:pPr>
        <w:kinsoku w:val="0"/>
        <w:wordWrap w:val="0"/>
        <w:topLinePunct/>
        <w:spacing w:after="180"/>
        <w:rPr>
          <w:rFonts w:hint="eastAsia" w:ascii="仿宋" w:hAnsi="仿宋" w:eastAsia="仿宋" w:cs="仿宋"/>
          <w:sz w:val="24"/>
        </w:rPr>
      </w:pP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投标人应按下列要求提交资格文件：</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1. 投标人全称和注册国。</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2. 营业执照和工商局签发的销售许可证（复印件）。</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3. 开户银行名称和帐号。</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spacing w:after="180"/>
        <w:ind w:left="332" w:leftChars="100"/>
        <w:rPr>
          <w:rFonts w:hint="eastAsia" w:ascii="仿宋" w:hAnsi="仿宋" w:eastAsia="仿宋" w:cs="仿宋"/>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15</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5"/>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8">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9">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8"/>
  </w:num>
  <w:num w:numId="4">
    <w:abstractNumId w:val="4"/>
  </w:num>
  <w:num w:numId="5">
    <w:abstractNumId w:val="0"/>
  </w:num>
  <w:num w:numId="6">
    <w:abstractNumId w:val="6"/>
  </w:num>
  <w:num w:numId="7">
    <w:abstractNumId w:val="7"/>
  </w:num>
  <w:num w:numId="8">
    <w:abstractNumId w:val="1"/>
  </w:num>
  <w:num w:numId="9">
    <w:abstractNumId w:val="9"/>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2E84"/>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5975"/>
    <w:rsid w:val="000C7F51"/>
    <w:rsid w:val="000D41A5"/>
    <w:rsid w:val="000D470E"/>
    <w:rsid w:val="000D554F"/>
    <w:rsid w:val="000E0A87"/>
    <w:rsid w:val="000E18AC"/>
    <w:rsid w:val="000F1FE5"/>
    <w:rsid w:val="000F29B1"/>
    <w:rsid w:val="000F383B"/>
    <w:rsid w:val="00100CEC"/>
    <w:rsid w:val="0010379C"/>
    <w:rsid w:val="001066A2"/>
    <w:rsid w:val="00110AB1"/>
    <w:rsid w:val="001127F5"/>
    <w:rsid w:val="00112B75"/>
    <w:rsid w:val="001218F4"/>
    <w:rsid w:val="00121C8E"/>
    <w:rsid w:val="001242FE"/>
    <w:rsid w:val="00133325"/>
    <w:rsid w:val="001333F0"/>
    <w:rsid w:val="001342EA"/>
    <w:rsid w:val="001369AB"/>
    <w:rsid w:val="0014112B"/>
    <w:rsid w:val="00141FFF"/>
    <w:rsid w:val="001443B7"/>
    <w:rsid w:val="00152D5E"/>
    <w:rsid w:val="00164C72"/>
    <w:rsid w:val="001656D0"/>
    <w:rsid w:val="0017027B"/>
    <w:rsid w:val="001706C2"/>
    <w:rsid w:val="001716C2"/>
    <w:rsid w:val="001757AA"/>
    <w:rsid w:val="00181AD7"/>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27E9"/>
    <w:rsid w:val="001E29D3"/>
    <w:rsid w:val="001E4034"/>
    <w:rsid w:val="001E5CF1"/>
    <w:rsid w:val="001E610D"/>
    <w:rsid w:val="001E6289"/>
    <w:rsid w:val="001F0C7A"/>
    <w:rsid w:val="001F6C2C"/>
    <w:rsid w:val="001F7EAA"/>
    <w:rsid w:val="0020285D"/>
    <w:rsid w:val="002077D4"/>
    <w:rsid w:val="00213925"/>
    <w:rsid w:val="00213E67"/>
    <w:rsid w:val="00221E77"/>
    <w:rsid w:val="00224A9B"/>
    <w:rsid w:val="00226502"/>
    <w:rsid w:val="002545FB"/>
    <w:rsid w:val="0025483C"/>
    <w:rsid w:val="00262EA9"/>
    <w:rsid w:val="002643A4"/>
    <w:rsid w:val="002719DF"/>
    <w:rsid w:val="00273904"/>
    <w:rsid w:val="00277403"/>
    <w:rsid w:val="00277EDE"/>
    <w:rsid w:val="002805D1"/>
    <w:rsid w:val="002824BB"/>
    <w:rsid w:val="00282CB3"/>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C2B"/>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6071"/>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522F"/>
    <w:rsid w:val="003B7E37"/>
    <w:rsid w:val="003C0A6C"/>
    <w:rsid w:val="003C0DF8"/>
    <w:rsid w:val="003C7190"/>
    <w:rsid w:val="003D0CE8"/>
    <w:rsid w:val="003D212B"/>
    <w:rsid w:val="003E0479"/>
    <w:rsid w:val="003E101C"/>
    <w:rsid w:val="003E4A17"/>
    <w:rsid w:val="003E4B96"/>
    <w:rsid w:val="003E73BA"/>
    <w:rsid w:val="003F19B6"/>
    <w:rsid w:val="003F1F33"/>
    <w:rsid w:val="003F5C69"/>
    <w:rsid w:val="003F632A"/>
    <w:rsid w:val="003F675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157C"/>
    <w:rsid w:val="00464B10"/>
    <w:rsid w:val="00474F8D"/>
    <w:rsid w:val="00483252"/>
    <w:rsid w:val="00483D43"/>
    <w:rsid w:val="00485CF4"/>
    <w:rsid w:val="00487E57"/>
    <w:rsid w:val="0049387D"/>
    <w:rsid w:val="00493E3B"/>
    <w:rsid w:val="004966EF"/>
    <w:rsid w:val="00497654"/>
    <w:rsid w:val="00497859"/>
    <w:rsid w:val="004A041F"/>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60E53"/>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40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39F8"/>
    <w:rsid w:val="006704AF"/>
    <w:rsid w:val="00670B7C"/>
    <w:rsid w:val="00670DE8"/>
    <w:rsid w:val="006711BB"/>
    <w:rsid w:val="00671625"/>
    <w:rsid w:val="00675CF1"/>
    <w:rsid w:val="006763EE"/>
    <w:rsid w:val="006804DF"/>
    <w:rsid w:val="006A04CD"/>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2AAF"/>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14BF"/>
    <w:rsid w:val="007B3EAD"/>
    <w:rsid w:val="007B6849"/>
    <w:rsid w:val="007C032B"/>
    <w:rsid w:val="007C12C5"/>
    <w:rsid w:val="007C4D09"/>
    <w:rsid w:val="007C7791"/>
    <w:rsid w:val="007C7B5F"/>
    <w:rsid w:val="007D1D44"/>
    <w:rsid w:val="007D6608"/>
    <w:rsid w:val="007D6E55"/>
    <w:rsid w:val="007D7AA4"/>
    <w:rsid w:val="007E0C40"/>
    <w:rsid w:val="007E0EE4"/>
    <w:rsid w:val="007E3ADF"/>
    <w:rsid w:val="007E49E9"/>
    <w:rsid w:val="007E6054"/>
    <w:rsid w:val="007E6345"/>
    <w:rsid w:val="007E782D"/>
    <w:rsid w:val="007F07C7"/>
    <w:rsid w:val="007F5DDD"/>
    <w:rsid w:val="007F5F99"/>
    <w:rsid w:val="00800E0C"/>
    <w:rsid w:val="00801DD9"/>
    <w:rsid w:val="008050A3"/>
    <w:rsid w:val="008104AF"/>
    <w:rsid w:val="00812D6A"/>
    <w:rsid w:val="00814906"/>
    <w:rsid w:val="008149BE"/>
    <w:rsid w:val="0081701A"/>
    <w:rsid w:val="00822FC8"/>
    <w:rsid w:val="00823EE5"/>
    <w:rsid w:val="00824CD0"/>
    <w:rsid w:val="0082596E"/>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124B"/>
    <w:rsid w:val="008B3399"/>
    <w:rsid w:val="008C1D5E"/>
    <w:rsid w:val="008C40DC"/>
    <w:rsid w:val="008C5AAA"/>
    <w:rsid w:val="008C797F"/>
    <w:rsid w:val="008D297D"/>
    <w:rsid w:val="008D2C4D"/>
    <w:rsid w:val="008D3D23"/>
    <w:rsid w:val="008E3F55"/>
    <w:rsid w:val="008F5468"/>
    <w:rsid w:val="0090057C"/>
    <w:rsid w:val="0090162D"/>
    <w:rsid w:val="0090206E"/>
    <w:rsid w:val="00907A41"/>
    <w:rsid w:val="009125C9"/>
    <w:rsid w:val="00912E99"/>
    <w:rsid w:val="00913781"/>
    <w:rsid w:val="00915CEB"/>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01D1"/>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D74F7"/>
    <w:rsid w:val="009E1912"/>
    <w:rsid w:val="009E38B2"/>
    <w:rsid w:val="009E4853"/>
    <w:rsid w:val="009F4023"/>
    <w:rsid w:val="009F471B"/>
    <w:rsid w:val="009F7F9F"/>
    <w:rsid w:val="00A022D7"/>
    <w:rsid w:val="00A03D8C"/>
    <w:rsid w:val="00A0433B"/>
    <w:rsid w:val="00A054DC"/>
    <w:rsid w:val="00A071D5"/>
    <w:rsid w:val="00A16B56"/>
    <w:rsid w:val="00A209B6"/>
    <w:rsid w:val="00A21453"/>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4DE"/>
    <w:rsid w:val="00A77F6D"/>
    <w:rsid w:val="00A80062"/>
    <w:rsid w:val="00A80C3E"/>
    <w:rsid w:val="00A8109B"/>
    <w:rsid w:val="00A816BC"/>
    <w:rsid w:val="00A8197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5D27"/>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53CF"/>
    <w:rsid w:val="00B07CBA"/>
    <w:rsid w:val="00B1257C"/>
    <w:rsid w:val="00B1259F"/>
    <w:rsid w:val="00B132F8"/>
    <w:rsid w:val="00B17088"/>
    <w:rsid w:val="00B17C2E"/>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0EC"/>
    <w:rsid w:val="00B61194"/>
    <w:rsid w:val="00B6156F"/>
    <w:rsid w:val="00B67889"/>
    <w:rsid w:val="00B72ADD"/>
    <w:rsid w:val="00B77C24"/>
    <w:rsid w:val="00B87660"/>
    <w:rsid w:val="00B92C98"/>
    <w:rsid w:val="00BA1FA7"/>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BF522D"/>
    <w:rsid w:val="00C03506"/>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1A05"/>
    <w:rsid w:val="00CC52E4"/>
    <w:rsid w:val="00CC5394"/>
    <w:rsid w:val="00CC7A80"/>
    <w:rsid w:val="00CD177D"/>
    <w:rsid w:val="00CD2F19"/>
    <w:rsid w:val="00CD3221"/>
    <w:rsid w:val="00CD659D"/>
    <w:rsid w:val="00CD78CF"/>
    <w:rsid w:val="00CE10A8"/>
    <w:rsid w:val="00CE17B8"/>
    <w:rsid w:val="00CE1854"/>
    <w:rsid w:val="00CE1921"/>
    <w:rsid w:val="00CE2E27"/>
    <w:rsid w:val="00CE31C5"/>
    <w:rsid w:val="00CE46C2"/>
    <w:rsid w:val="00CE72AC"/>
    <w:rsid w:val="00CE7DC1"/>
    <w:rsid w:val="00CF2197"/>
    <w:rsid w:val="00CF396D"/>
    <w:rsid w:val="00D02106"/>
    <w:rsid w:val="00D03655"/>
    <w:rsid w:val="00D03F79"/>
    <w:rsid w:val="00D11A94"/>
    <w:rsid w:val="00D12092"/>
    <w:rsid w:val="00D12521"/>
    <w:rsid w:val="00D17650"/>
    <w:rsid w:val="00D26318"/>
    <w:rsid w:val="00D2662C"/>
    <w:rsid w:val="00D27C71"/>
    <w:rsid w:val="00D30110"/>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1B1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1A59"/>
    <w:rsid w:val="00ED3BF1"/>
    <w:rsid w:val="00ED50DD"/>
    <w:rsid w:val="00ED5DA5"/>
    <w:rsid w:val="00EE4D82"/>
    <w:rsid w:val="00EF0C99"/>
    <w:rsid w:val="00F030AC"/>
    <w:rsid w:val="00F043A6"/>
    <w:rsid w:val="00F04673"/>
    <w:rsid w:val="00F17BE0"/>
    <w:rsid w:val="00F2043C"/>
    <w:rsid w:val="00F22086"/>
    <w:rsid w:val="00F22587"/>
    <w:rsid w:val="00F23BA2"/>
    <w:rsid w:val="00F24623"/>
    <w:rsid w:val="00F24E2B"/>
    <w:rsid w:val="00F3037A"/>
    <w:rsid w:val="00F37D6D"/>
    <w:rsid w:val="00F45776"/>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7365"/>
    <w:rsid w:val="00FB1FA4"/>
    <w:rsid w:val="00FB2239"/>
    <w:rsid w:val="00FB2C8C"/>
    <w:rsid w:val="00FB4617"/>
    <w:rsid w:val="00FB598E"/>
    <w:rsid w:val="00FD56F9"/>
    <w:rsid w:val="00FD686F"/>
    <w:rsid w:val="00FE4459"/>
    <w:rsid w:val="00FE50F6"/>
    <w:rsid w:val="00FE7DC3"/>
    <w:rsid w:val="00FE7E5D"/>
    <w:rsid w:val="00FF10DB"/>
    <w:rsid w:val="00FF1FB7"/>
    <w:rsid w:val="00FF299B"/>
    <w:rsid w:val="00FF717A"/>
    <w:rsid w:val="04FE4606"/>
    <w:rsid w:val="0A1D0E2A"/>
    <w:rsid w:val="18D90DDD"/>
    <w:rsid w:val="19A32D57"/>
    <w:rsid w:val="212D6B7C"/>
    <w:rsid w:val="23B035F1"/>
    <w:rsid w:val="29C65353"/>
    <w:rsid w:val="2BA271EA"/>
    <w:rsid w:val="33CD400D"/>
    <w:rsid w:val="36A857BA"/>
    <w:rsid w:val="3C7E7C5A"/>
    <w:rsid w:val="3CF76478"/>
    <w:rsid w:val="44A1597D"/>
    <w:rsid w:val="471637BF"/>
    <w:rsid w:val="498774ED"/>
    <w:rsid w:val="4B607184"/>
    <w:rsid w:val="4D0E02B1"/>
    <w:rsid w:val="535E1403"/>
    <w:rsid w:val="548E7BF1"/>
    <w:rsid w:val="646C191D"/>
    <w:rsid w:val="682827B6"/>
    <w:rsid w:val="69102770"/>
    <w:rsid w:val="6FAD2AD5"/>
    <w:rsid w:val="70100BA5"/>
    <w:rsid w:val="71337F96"/>
    <w:rsid w:val="714F62CF"/>
    <w:rsid w:val="721D2F3B"/>
    <w:rsid w:val="75255FC0"/>
    <w:rsid w:val="783255D6"/>
    <w:rsid w:val="7E152A8F"/>
    <w:rsid w:val="7E9F26E2"/>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link w:val="100"/>
    <w:autoRedefine/>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4"/>
    <w:autoRedefine/>
    <w:qFormat/>
    <w:uiPriority w:val="0"/>
    <w:pPr>
      <w:keepNext/>
      <w:numPr>
        <w:ilvl w:val="0"/>
        <w:numId w:val="1"/>
      </w:numPr>
      <w:outlineLvl w:val="1"/>
    </w:pPr>
    <w:rPr>
      <w:b/>
      <w:bCs/>
    </w:rPr>
  </w:style>
  <w:style w:type="paragraph" w:styleId="5">
    <w:name w:val="heading 3"/>
    <w:basedOn w:val="1"/>
    <w:next w:val="1"/>
    <w:autoRedefine/>
    <w:qFormat/>
    <w:uiPriority w:val="0"/>
    <w:pPr>
      <w:keepNext/>
      <w:numPr>
        <w:ilvl w:val="1"/>
        <w:numId w:val="2"/>
      </w:numPr>
      <w:outlineLvl w:val="2"/>
    </w:pPr>
    <w:rPr>
      <w:b/>
      <w:bCs/>
    </w:rPr>
  </w:style>
  <w:style w:type="paragraph" w:styleId="6">
    <w:name w:val="heading 4"/>
    <w:basedOn w:val="1"/>
    <w:next w:val="1"/>
    <w:qFormat/>
    <w:uiPriority w:val="0"/>
    <w:pPr>
      <w:keepNext/>
      <w:outlineLvl w:val="3"/>
    </w:pPr>
    <w:rPr>
      <w:rFonts w:ascii="宋体" w:hAnsi="宋体" w:eastAsia="宋体"/>
      <w:b/>
      <w:bCs/>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widowControl/>
      <w:ind w:left="720"/>
      <w:jc w:val="left"/>
    </w:pPr>
  </w:style>
  <w:style w:type="paragraph" w:styleId="7">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8">
    <w:name w:val="Document Map"/>
    <w:basedOn w:val="1"/>
    <w:semiHidden/>
    <w:qFormat/>
    <w:uiPriority w:val="0"/>
    <w:pPr>
      <w:shd w:val="clear" w:color="auto" w:fill="000080"/>
    </w:pPr>
  </w:style>
  <w:style w:type="paragraph" w:styleId="9">
    <w:name w:val="annotation text"/>
    <w:basedOn w:val="1"/>
    <w:link w:val="104"/>
    <w:semiHidden/>
    <w:qFormat/>
    <w:uiPriority w:val="0"/>
    <w:pPr>
      <w:jc w:val="left"/>
    </w:pPr>
  </w:style>
  <w:style w:type="paragraph" w:styleId="10">
    <w:name w:val="Body Text 3"/>
    <w:basedOn w:val="1"/>
    <w:qFormat/>
    <w:uiPriority w:val="0"/>
    <w:rPr>
      <w:rFonts w:eastAsia="楷体_GB2312"/>
      <w:sz w:val="24"/>
      <w:szCs w:val="27"/>
    </w:rPr>
  </w:style>
  <w:style w:type="paragraph" w:styleId="11">
    <w:name w:val="Body Text"/>
    <w:basedOn w:val="1"/>
    <w:next w:val="1"/>
    <w:autoRedefine/>
    <w:qFormat/>
    <w:uiPriority w:val="0"/>
    <w:pPr>
      <w:autoSpaceDE w:val="0"/>
      <w:autoSpaceDN w:val="0"/>
      <w:adjustRightInd w:val="0"/>
      <w:spacing w:after="120" w:line="315" w:lineRule="atLeast"/>
      <w:jc w:val="left"/>
    </w:pPr>
    <w:rPr>
      <w:rFonts w:ascii="昆仑楷体" w:eastAsia="昆仑楷体"/>
      <w:kern w:val="0"/>
      <w:sz w:val="30"/>
    </w:rPr>
  </w:style>
  <w:style w:type="paragraph" w:styleId="12">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4">
    <w:name w:val="Plain Text"/>
    <w:basedOn w:val="1"/>
    <w:link w:val="102"/>
    <w:qFormat/>
    <w:uiPriority w:val="0"/>
    <w:rPr>
      <w:rFonts w:ascii="宋体" w:hAnsi="Courier New" w:eastAsia="宋体"/>
      <w:kern w:val="0"/>
      <w:sz w:val="24"/>
    </w:rPr>
  </w:style>
  <w:style w:type="paragraph" w:styleId="15">
    <w:name w:val="Body Text Indent 2"/>
    <w:basedOn w:val="1"/>
    <w:qFormat/>
    <w:uiPriority w:val="0"/>
    <w:pPr>
      <w:topLinePunct/>
      <w:spacing w:line="500" w:lineRule="exact"/>
      <w:ind w:firstLine="664"/>
    </w:pPr>
    <w:rPr>
      <w:rFonts w:ascii="仿宋_GB2312" w:hAnsi="宋体"/>
      <w:sz w:val="24"/>
    </w:rPr>
  </w:style>
  <w:style w:type="paragraph" w:styleId="16">
    <w:name w:val="Balloon Text"/>
    <w:basedOn w:val="1"/>
    <w:link w:val="106"/>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rFonts w:eastAsia="宋体"/>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autoRedefine/>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20">
    <w:name w:val="Body Text Indent 3"/>
    <w:basedOn w:val="1"/>
    <w:autoRedefine/>
    <w:qFormat/>
    <w:uiPriority w:val="0"/>
    <w:pPr>
      <w:ind w:firstLine="777"/>
    </w:pPr>
    <w:rPr>
      <w:rFonts w:ascii="楷体_GB2312" w:hAnsi="Arial Narrow" w:eastAsia="楷体_GB2312"/>
    </w:rPr>
  </w:style>
  <w:style w:type="paragraph" w:styleId="21">
    <w:name w:val="Body Text 2"/>
    <w:basedOn w:val="1"/>
    <w:autoRedefine/>
    <w:qFormat/>
    <w:uiPriority w:val="0"/>
    <w:rPr>
      <w:rFonts w:ascii="Arial Narrow" w:hAnsi="Arial Narrow" w:eastAsia="楷体_GB2312"/>
      <w:sz w:val="21"/>
    </w:r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3">
    <w:name w:val="Normal (Web)"/>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4">
    <w:name w:val="annotation subject"/>
    <w:basedOn w:val="9"/>
    <w:next w:val="9"/>
    <w:link w:val="105"/>
    <w:autoRedefine/>
    <w:qFormat/>
    <w:uiPriority w:val="0"/>
    <w:rPr>
      <w:b/>
      <w:bCs/>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u w:val="single"/>
    </w:rPr>
  </w:style>
  <w:style w:type="character" w:styleId="31">
    <w:name w:val="Emphasis"/>
    <w:basedOn w:val="27"/>
    <w:autoRedefine/>
    <w:qFormat/>
    <w:uiPriority w:val="0"/>
    <w:rPr>
      <w:color w:val="CC0033"/>
    </w:rPr>
  </w:style>
  <w:style w:type="character" w:styleId="32">
    <w:name w:val="Hyperlink"/>
    <w:basedOn w:val="27"/>
    <w:autoRedefine/>
    <w:qFormat/>
    <w:uiPriority w:val="0"/>
    <w:rPr>
      <w:color w:val="0000FF"/>
      <w:u w:val="single"/>
    </w:rPr>
  </w:style>
  <w:style w:type="character" w:styleId="33">
    <w:name w:val="annotation reference"/>
    <w:basedOn w:val="27"/>
    <w:autoRedefine/>
    <w:semiHidden/>
    <w:qFormat/>
    <w:uiPriority w:val="0"/>
    <w:rPr>
      <w:sz w:val="21"/>
    </w:rPr>
  </w:style>
  <w:style w:type="paragraph" w:customStyle="1" w:styleId="34">
    <w:name w:val="表格文字"/>
    <w:basedOn w:val="1"/>
    <w:autoRedefine/>
    <w:qFormat/>
    <w:uiPriority w:val="0"/>
    <w:pPr>
      <w:spacing w:before="25" w:after="25"/>
      <w:jc w:val="left"/>
    </w:pPr>
    <w:rPr>
      <w:bCs/>
      <w:spacing w:val="10"/>
      <w:kern w:val="0"/>
      <w:sz w:val="24"/>
    </w:rPr>
  </w:style>
  <w:style w:type="character" w:customStyle="1" w:styleId="35">
    <w:name w:val="font141"/>
    <w:basedOn w:val="27"/>
    <w:autoRedefine/>
    <w:qFormat/>
    <w:uiPriority w:val="0"/>
  </w:style>
  <w:style w:type="character" w:customStyle="1" w:styleId="36">
    <w:name w:val="style31"/>
    <w:basedOn w:val="27"/>
    <w:autoRedefine/>
    <w:qFormat/>
    <w:uiPriority w:val="0"/>
    <w:rPr>
      <w:b/>
      <w:bCs/>
      <w:color w:val="A16601"/>
    </w:rPr>
  </w:style>
  <w:style w:type="character" w:customStyle="1" w:styleId="37">
    <w:name w:val="dct-tt"/>
    <w:basedOn w:val="27"/>
    <w:autoRedefine/>
    <w:qFormat/>
    <w:uiPriority w:val="0"/>
    <w:rPr>
      <w:rFonts w:hint="default" w:ascii="Arial" w:hAnsi="Arial" w:cs="Arial"/>
    </w:rPr>
  </w:style>
  <w:style w:type="character" w:customStyle="1" w:styleId="38">
    <w:name w:val="style36"/>
    <w:basedOn w:val="27"/>
    <w:autoRedefine/>
    <w:qFormat/>
    <w:uiPriority w:val="0"/>
  </w:style>
  <w:style w:type="character" w:customStyle="1" w:styleId="39">
    <w:name w:val="search_highlight2"/>
    <w:basedOn w:val="27"/>
    <w:autoRedefine/>
    <w:qFormat/>
    <w:uiPriority w:val="0"/>
    <w:rPr>
      <w:rFonts w:hint="default" w:ascii="Arial" w:hAnsi="Arial" w:cs="Arial"/>
      <w:shd w:val="clear" w:color="auto" w:fill="FFFFB0"/>
    </w:rPr>
  </w:style>
  <w:style w:type="character" w:customStyle="1" w:styleId="40">
    <w:name w:val="style4"/>
    <w:basedOn w:val="27"/>
    <w:autoRedefine/>
    <w:qFormat/>
    <w:uiPriority w:val="0"/>
  </w:style>
  <w:style w:type="character" w:customStyle="1" w:styleId="41">
    <w:name w:val="f141"/>
    <w:basedOn w:val="27"/>
    <w:autoRedefine/>
    <w:qFormat/>
    <w:uiPriority w:val="0"/>
    <w:rPr>
      <w:b/>
      <w:bCs/>
      <w:sz w:val="21"/>
      <w:szCs w:val="21"/>
    </w:rPr>
  </w:style>
  <w:style w:type="character" w:customStyle="1" w:styleId="42">
    <w:name w:val="hei12b"/>
    <w:basedOn w:val="27"/>
    <w:autoRedefine/>
    <w:qFormat/>
    <w:uiPriority w:val="0"/>
  </w:style>
  <w:style w:type="paragraph" w:customStyle="1" w:styleId="43">
    <w:name w:val="xl38"/>
    <w:basedOn w:val="1"/>
    <w:autoRedefine/>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4">
    <w:name w:val="xl60"/>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5">
    <w:name w:val="xl49"/>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6">
    <w:name w:val="xl55"/>
    <w:basedOn w:val="1"/>
    <w:autoRedefine/>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7">
    <w:name w:val="xl50"/>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9">
    <w:name w:val="Char 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5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1">
    <w:name w:val="xl45"/>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36"/>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53">
    <w:name w:val="xl46"/>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4">
    <w:name w:val="xl6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5">
    <w:name w:val="xl6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6">
    <w:name w:val="xl42"/>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47"/>
    <w:basedOn w:val="1"/>
    <w:autoRedefine/>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58"/>
    <w:basedOn w:val="1"/>
    <w:autoRedefine/>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9">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60">
    <w:name w:val="xl39"/>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61">
    <w:name w:val="xl43"/>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62">
    <w:name w:val="xl65"/>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3">
    <w:name w:val="font8"/>
    <w:basedOn w:val="1"/>
    <w:autoRedefine/>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4">
    <w:name w:val="xl40"/>
    <w:basedOn w:val="1"/>
    <w:autoRedefine/>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5">
    <w:name w:val="Char Char Char Char"/>
    <w:basedOn w:val="1"/>
    <w:autoRedefine/>
    <w:qFormat/>
    <w:uiPriority w:val="0"/>
    <w:rPr>
      <w:rFonts w:eastAsia="宋体"/>
      <w:sz w:val="21"/>
    </w:rPr>
  </w:style>
  <w:style w:type="paragraph" w:customStyle="1" w:styleId="66">
    <w:name w:val="xl61"/>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font6"/>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68">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9">
    <w:name w:val="xl34"/>
    <w:basedOn w:val="1"/>
    <w:autoRedefine/>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70">
    <w:name w:val="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71">
    <w:name w:val="xl6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2">
    <w:name w:val="xl53"/>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3">
    <w:name w:val="font9"/>
    <w:basedOn w:val="1"/>
    <w:autoRedefine/>
    <w:qFormat/>
    <w:uiPriority w:val="0"/>
    <w:pPr>
      <w:widowControl/>
      <w:spacing w:before="100" w:beforeAutospacing="1" w:after="100" w:afterAutospacing="1"/>
      <w:jc w:val="left"/>
    </w:pPr>
    <w:rPr>
      <w:rFonts w:eastAsia="宋体"/>
      <w:color w:val="FF0000"/>
      <w:kern w:val="0"/>
      <w:sz w:val="20"/>
    </w:rPr>
  </w:style>
  <w:style w:type="paragraph" w:customStyle="1" w:styleId="74">
    <w:name w:val="xl37"/>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5">
    <w:name w:val="xl66"/>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6">
    <w:name w:val="font10"/>
    <w:basedOn w:val="1"/>
    <w:autoRedefine/>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7">
    <w:name w:val="列出段落1"/>
    <w:basedOn w:val="1"/>
    <w:autoRedefine/>
    <w:qFormat/>
    <w:uiPriority w:val="0"/>
    <w:pPr>
      <w:suppressAutoHyphens/>
      <w:ind w:left="720"/>
      <w:jc w:val="left"/>
    </w:pPr>
    <w:rPr>
      <w:rFonts w:eastAsia="Times New Roman"/>
      <w:kern w:val="0"/>
      <w:sz w:val="24"/>
      <w:szCs w:val="24"/>
      <w:lang w:eastAsia="ar-SA"/>
    </w:rPr>
  </w:style>
  <w:style w:type="paragraph" w:customStyle="1" w:styleId="78">
    <w:name w:val="xl44"/>
    <w:basedOn w:val="1"/>
    <w:autoRedefine/>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0">
    <w:name w:val="xl64"/>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81">
    <w:name w:val="xl52"/>
    <w:basedOn w:val="1"/>
    <w:autoRedefine/>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2">
    <w:name w:val="Standard"/>
    <w:autoRedefine/>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3">
    <w:name w:val="font7"/>
    <w:basedOn w:val="1"/>
    <w:autoRedefine/>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4">
    <w:name w:val="xl56"/>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5">
    <w:name w:val="UP标题3"/>
    <w:basedOn w:val="1"/>
    <w:autoRedefine/>
    <w:qFormat/>
    <w:uiPriority w:val="0"/>
    <w:pPr>
      <w:spacing w:line="360" w:lineRule="auto"/>
      <w:ind w:firstLine="149" w:firstLineChars="149"/>
    </w:pPr>
    <w:rPr>
      <w:rFonts w:ascii="黑体" w:hAnsi="Calibri" w:eastAsia="黑体" w:cs="宋体"/>
      <w:szCs w:val="28"/>
    </w:rPr>
  </w:style>
  <w:style w:type="paragraph" w:customStyle="1" w:styleId="86">
    <w:name w:val="xl54"/>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7">
    <w:name w:val="xl51"/>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48"/>
    <w:basedOn w:val="1"/>
    <w:autoRedefine/>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9">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90">
    <w:name w:val="xl68"/>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1">
    <w:name w:val="列表段落1"/>
    <w:basedOn w:val="1"/>
    <w:autoRedefine/>
    <w:qFormat/>
    <w:uiPriority w:val="34"/>
    <w:pPr>
      <w:ind w:firstLine="420" w:firstLineChars="200"/>
    </w:pPr>
    <w:rPr>
      <w:rFonts w:eastAsia="Times New Roman"/>
      <w:sz w:val="21"/>
      <w:szCs w:val="24"/>
    </w:rPr>
  </w:style>
  <w:style w:type="paragraph" w:customStyle="1" w:styleId="92">
    <w:name w:val="font5"/>
    <w:basedOn w:val="1"/>
    <w:autoRedefine/>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3">
    <w:name w:val="xl41"/>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9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5">
    <w:name w:val="xl32"/>
    <w:basedOn w:val="1"/>
    <w:autoRedefine/>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6">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7">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8">
    <w:name w:val="xl57"/>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9">
    <w:name w:val="xl59"/>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100">
    <w:name w:val="标题 1 字符"/>
    <w:basedOn w:val="27"/>
    <w:link w:val="2"/>
    <w:autoRedefine/>
    <w:qFormat/>
    <w:uiPriority w:val="0"/>
    <w:rPr>
      <w:rFonts w:ascii="黑体" w:eastAsia="黑体"/>
      <w:sz w:val="60"/>
    </w:rPr>
  </w:style>
  <w:style w:type="character" w:customStyle="1" w:styleId="101">
    <w:name w:val="纯文本 Char"/>
    <w:autoRedefine/>
    <w:qFormat/>
    <w:uiPriority w:val="0"/>
    <w:rPr>
      <w:rFonts w:ascii="宋体" w:hAnsi="Courier New"/>
      <w:sz w:val="24"/>
    </w:rPr>
  </w:style>
  <w:style w:type="character" w:customStyle="1" w:styleId="102">
    <w:name w:val="纯文本 字符"/>
    <w:basedOn w:val="27"/>
    <w:link w:val="14"/>
    <w:autoRedefine/>
    <w:qFormat/>
    <w:uiPriority w:val="0"/>
    <w:rPr>
      <w:rFonts w:ascii="宋体" w:hAnsi="Courier New" w:cs="Courier New"/>
      <w:kern w:val="2"/>
      <w:sz w:val="21"/>
      <w:szCs w:val="21"/>
    </w:rPr>
  </w:style>
  <w:style w:type="paragraph" w:customStyle="1" w:styleId="103">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character" w:customStyle="1" w:styleId="104">
    <w:name w:val="批注文字 字符"/>
    <w:basedOn w:val="27"/>
    <w:link w:val="9"/>
    <w:autoRedefine/>
    <w:semiHidden/>
    <w:qFormat/>
    <w:uiPriority w:val="0"/>
    <w:rPr>
      <w:rFonts w:eastAsia="仿宋_GB2312"/>
      <w:kern w:val="2"/>
      <w:sz w:val="28"/>
    </w:rPr>
  </w:style>
  <w:style w:type="character" w:customStyle="1" w:styleId="105">
    <w:name w:val="批注主题 字符"/>
    <w:basedOn w:val="104"/>
    <w:link w:val="24"/>
    <w:autoRedefine/>
    <w:qFormat/>
    <w:uiPriority w:val="0"/>
    <w:rPr>
      <w:rFonts w:eastAsia="仿宋_GB2312"/>
      <w:b/>
      <w:bCs/>
      <w:kern w:val="2"/>
      <w:sz w:val="28"/>
    </w:rPr>
  </w:style>
  <w:style w:type="character" w:customStyle="1" w:styleId="106">
    <w:name w:val="批注框文本 字符"/>
    <w:basedOn w:val="27"/>
    <w:link w:val="16"/>
    <w:autoRedefine/>
    <w:qFormat/>
    <w:uiPriority w:val="0"/>
    <w:rPr>
      <w:rFonts w:eastAsia="仿宋_GB2312"/>
      <w:kern w:val="2"/>
      <w:sz w:val="18"/>
      <w:szCs w:val="18"/>
    </w:rPr>
  </w:style>
  <w:style w:type="character" w:customStyle="1" w:styleId="107">
    <w:name w:val="font11"/>
    <w:basedOn w:val="27"/>
    <w:autoRedefine/>
    <w:qFormat/>
    <w:uiPriority w:val="0"/>
    <w:rPr>
      <w:rFonts w:hint="eastAsia" w:ascii="宋体" w:hAnsi="宋体" w:eastAsia="宋体" w:cs="宋体"/>
      <w:color w:val="000000"/>
      <w:sz w:val="22"/>
      <w:szCs w:val="22"/>
      <w:u w:val="none"/>
    </w:rPr>
  </w:style>
  <w:style w:type="character" w:customStyle="1" w:styleId="108">
    <w:name w:val="font01"/>
    <w:basedOn w:val="27"/>
    <w:autoRedefine/>
    <w:qFormat/>
    <w:uiPriority w:val="0"/>
    <w:rPr>
      <w:rFonts w:hint="default" w:ascii="Calibri" w:hAnsi="Calibri" w:cs="Calibri"/>
      <w:color w:val="000000"/>
      <w:sz w:val="22"/>
      <w:szCs w:val="22"/>
      <w:u w:val="none"/>
    </w:rPr>
  </w:style>
  <w:style w:type="paragraph" w:customStyle="1" w:styleId="109">
    <w:name w:val="_Style 3"/>
    <w:next w:val="20"/>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列表段落2"/>
    <w:basedOn w:val="1"/>
    <w:autoRedefine/>
    <w:qFormat/>
    <w:uiPriority w:val="34"/>
    <w:pPr>
      <w:ind w:firstLine="420" w:firstLineChars="200"/>
    </w:pPr>
  </w:style>
  <w:style w:type="paragraph" w:customStyle="1" w:styleId="111">
    <w:name w:val="Body text|3"/>
    <w:basedOn w:val="1"/>
    <w:autoRedefine/>
    <w:qFormat/>
    <w:uiPriority w:val="0"/>
    <w:pPr>
      <w:spacing w:after="240"/>
      <w:ind w:left="1560"/>
    </w:pPr>
    <w:rPr>
      <w:rFonts w:ascii="宋体" w:hAnsi="宋体" w:eastAsia="宋体" w:cs="宋体"/>
      <w:sz w:val="26"/>
      <w:szCs w:val="26"/>
      <w:lang w:val="zh-TW" w:eastAsia="zh-TW" w:bidi="zh-TW"/>
    </w:rPr>
  </w:style>
  <w:style w:type="paragraph" w:customStyle="1" w:styleId="112">
    <w:name w:val="Table Paragraph"/>
    <w:basedOn w:val="1"/>
    <w:autoRedefine/>
    <w:qFormat/>
    <w:uiPriority w:val="1"/>
    <w:rPr>
      <w:rFonts w:ascii="宋体" w:hAnsi="宋体" w:eastAsia="宋体" w:cs="宋体"/>
      <w:lang w:val="zh-CN" w:bidi="zh-CN"/>
    </w:rPr>
  </w:style>
  <w:style w:type="paragraph" w:customStyle="1" w:styleId="113">
    <w:name w:val="Revision"/>
    <w:autoRedefine/>
    <w:hidden/>
    <w:unhideWhenUsed/>
    <w:qFormat/>
    <w:uiPriority w:val="99"/>
    <w:rPr>
      <w:rFonts w:ascii="Times New Roman" w:hAnsi="Times New Roman" w:eastAsia="仿宋_GB2312"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20</Pages>
  <Words>1670</Words>
  <Characters>9521</Characters>
  <Lines>79</Lines>
  <Paragraphs>22</Paragraphs>
  <TotalTime>117</TotalTime>
  <ScaleCrop>false</ScaleCrop>
  <LinksUpToDate>false</LinksUpToDate>
  <CharactersWithSpaces>11169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2024-04-14T09:08:00Z</dcterms:created>
  <dc:creator>许慰玲</dc:creator>
  <cp:lastModifiedBy>微笑</cp:lastModifiedBy>
  <cp:lastPrinted>2022-09-19T01:35:00Z</cp:lastPrinted>
  <dcterms:modified xsi:type="dcterms:W3CDTF">2024-04-18T07:09:25Z</dcterms:modified>
  <dc:title>广东省政府采购中心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A9FD77AE122C4FD9B888A60BBF382BF3_13</vt:lpwstr>
  </property>
</Properties>
</file>