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spacing w:after="146" w:afterLines="61"/>
        <w:jc w:val="center"/>
        <w:rPr>
          <w:rFonts w:ascii="宋体" w:hAnsi="宋体"/>
          <w:b/>
          <w:sz w:val="28"/>
          <w:szCs w:val="28"/>
        </w:rPr>
      </w:pPr>
      <w:bookmarkStart w:id="0" w:name="OLE_LINK2"/>
      <w:r>
        <w:rPr>
          <w:rFonts w:hint="eastAsia" w:ascii="宋体" w:hAnsi="宋体" w:cs="Arial"/>
          <w:b/>
          <w:bCs/>
          <w:color w:val="000000"/>
          <w:kern w:val="0"/>
          <w:sz w:val="28"/>
          <w:szCs w:val="28"/>
        </w:rPr>
        <w:t>汕头大学医学院博士后、人才引进宿舍电器配套项目</w:t>
      </w:r>
      <w:r>
        <w:rPr>
          <w:rFonts w:ascii="宋体" w:hAnsi="宋体" w:cs="Arial"/>
          <w:b/>
          <w:bCs/>
          <w:color w:val="000000"/>
          <w:kern w:val="0"/>
          <w:sz w:val="28"/>
          <w:szCs w:val="28"/>
        </w:rPr>
        <w:t>招标</w:t>
      </w:r>
      <w:r>
        <w:rPr>
          <w:rFonts w:hint="eastAsia" w:ascii="宋体" w:hAnsi="宋体"/>
          <w:b/>
          <w:sz w:val="28"/>
          <w:szCs w:val="28"/>
        </w:rPr>
        <w:t>书</w:t>
      </w:r>
    </w:p>
    <w:bookmarkEnd w:id="0"/>
    <w:p>
      <w:pPr>
        <w:pStyle w:val="4"/>
        <w:spacing w:line="360" w:lineRule="auto"/>
        <w:ind w:firstLine="480" w:firstLineChars="200"/>
      </w:pPr>
      <w:r>
        <w:rPr>
          <w:rFonts w:hint="eastAsia"/>
        </w:rPr>
        <w:t>汕头大学医学院博士后、人才引进宿舍电器配套项目，现对外公开招投标，确定采购商家并按有关规定负责采购电器。为明确招投标内容及职责，特编制本招标书。</w:t>
      </w:r>
    </w:p>
    <w:p>
      <w:pPr>
        <w:numPr>
          <w:ilvl w:val="0"/>
          <w:numId w:val="1"/>
        </w:numPr>
        <w:spacing w:line="360" w:lineRule="auto"/>
        <w:ind w:left="1638" w:hanging="1111"/>
        <w:rPr>
          <w:rFonts w:ascii="宋体" w:hAnsi="宋体"/>
          <w:b/>
          <w:sz w:val="24"/>
        </w:rPr>
      </w:pPr>
      <w:r>
        <w:rPr>
          <w:rFonts w:hint="eastAsia" w:ascii="宋体" w:hAnsi="宋体"/>
          <w:b/>
          <w:sz w:val="24"/>
        </w:rPr>
        <w:t>招标项目情况</w:t>
      </w:r>
    </w:p>
    <w:p>
      <w:pPr>
        <w:numPr>
          <w:ilvl w:val="-1"/>
          <w:numId w:val="0"/>
        </w:numPr>
        <w:spacing w:line="360" w:lineRule="auto"/>
        <w:ind w:left="527" w:firstLine="0"/>
        <w:rPr>
          <w:sz w:val="24"/>
        </w:rPr>
      </w:pPr>
      <w:r>
        <w:rPr>
          <w:rFonts w:hint="eastAsia" w:ascii="宋体" w:hAnsi="宋体"/>
          <w:sz w:val="24"/>
        </w:rPr>
        <w:t>工程概况</w:t>
      </w:r>
    </w:p>
    <w:tbl>
      <w:tblPr>
        <w:tblStyle w:val="13"/>
        <w:tblW w:w="9918" w:type="dxa"/>
        <w:jc w:val="center"/>
        <w:tblLayout w:type="fixed"/>
        <w:tblCellMar>
          <w:top w:w="0" w:type="dxa"/>
          <w:left w:w="108" w:type="dxa"/>
          <w:bottom w:w="0" w:type="dxa"/>
          <w:right w:w="108" w:type="dxa"/>
        </w:tblCellMar>
      </w:tblPr>
      <w:tblGrid>
        <w:gridCol w:w="1395"/>
        <w:gridCol w:w="8523"/>
      </w:tblGrid>
      <w:tr>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工程名称：</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汕头大学医学院博士后、人才引进宿舍电器配套项目</w:t>
            </w:r>
          </w:p>
        </w:tc>
      </w:tr>
      <w:tr>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工程地点：</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汕头大学医学院内各宿舍、汕大花园宿舍</w:t>
            </w:r>
          </w:p>
        </w:tc>
      </w:tr>
      <w:tr>
        <w:tblPrEx>
          <w:tblCellMar>
            <w:top w:w="0" w:type="dxa"/>
            <w:left w:w="108" w:type="dxa"/>
            <w:bottom w:w="0" w:type="dxa"/>
            <w:right w:w="108" w:type="dxa"/>
          </w:tblCellMar>
        </w:tblPrEx>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24"/>
              </w:rPr>
            </w:pPr>
            <w:r>
              <w:rPr>
                <w:rFonts w:hint="eastAsia" w:ascii="宋体" w:hAnsi="宋体"/>
                <w:sz w:val="24"/>
              </w:rPr>
              <w:t>工期要求：</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工期为</w:t>
            </w:r>
            <w:r>
              <w:t>20</w:t>
            </w:r>
            <w:r>
              <w:rPr>
                <w:rFonts w:hint="eastAsia"/>
              </w:rPr>
              <w:t>个日历天，即从合同签订之日起至工程竣工（包括竣工验收时间）。</w:t>
            </w:r>
          </w:p>
        </w:tc>
      </w:tr>
    </w:tbl>
    <w:p>
      <w:pPr>
        <w:numPr>
          <w:ilvl w:val="0"/>
          <w:numId w:val="1"/>
        </w:numPr>
        <w:spacing w:line="360" w:lineRule="auto"/>
        <w:ind w:left="1638" w:hanging="1111"/>
        <w:rPr>
          <w:rFonts w:ascii="宋体" w:hAnsi="宋体"/>
          <w:b/>
          <w:sz w:val="24"/>
        </w:rPr>
      </w:pPr>
      <w:r>
        <w:rPr>
          <w:rFonts w:hint="eastAsia" w:ascii="宋体" w:hAnsi="宋体"/>
          <w:b/>
          <w:sz w:val="24"/>
        </w:rPr>
        <w:t>投标日程安排</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3296"/>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31"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内容</w:t>
            </w:r>
          </w:p>
        </w:tc>
        <w:tc>
          <w:tcPr>
            <w:tcW w:w="3296"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时间</w:t>
            </w:r>
          </w:p>
        </w:tc>
        <w:tc>
          <w:tcPr>
            <w:tcW w:w="3591"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31"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回标截止日期</w:t>
            </w:r>
          </w:p>
        </w:tc>
        <w:tc>
          <w:tcPr>
            <w:tcW w:w="3296" w:type="dxa"/>
          </w:tcPr>
          <w:p>
            <w:pPr>
              <w:tabs>
                <w:tab w:val="left" w:pos="1080"/>
              </w:tabs>
              <w:adjustRightInd w:val="0"/>
              <w:snapToGrid w:val="0"/>
              <w:spacing w:line="360" w:lineRule="auto"/>
              <w:jc w:val="center"/>
              <w:rPr>
                <w:rFonts w:ascii="宋体" w:hAnsi="宋体"/>
                <w:sz w:val="24"/>
              </w:rPr>
            </w:pPr>
            <w:r>
              <w:rPr>
                <w:rFonts w:hint="eastAsia" w:ascii="宋体" w:hAnsi="宋体"/>
                <w:sz w:val="24"/>
              </w:rPr>
              <w:t>2021年</w:t>
            </w:r>
            <w:r>
              <w:rPr>
                <w:rFonts w:ascii="宋体" w:hAnsi="宋体"/>
                <w:sz w:val="24"/>
              </w:rPr>
              <w:t>8</w:t>
            </w:r>
            <w:r>
              <w:rPr>
                <w:rFonts w:hint="eastAsia" w:ascii="宋体" w:hAnsi="宋体"/>
                <w:sz w:val="24"/>
              </w:rPr>
              <w:t>月</w:t>
            </w:r>
            <w:r>
              <w:rPr>
                <w:rFonts w:ascii="宋体" w:hAnsi="宋体"/>
                <w:sz w:val="24"/>
              </w:rPr>
              <w:t>30</w:t>
            </w:r>
            <w:r>
              <w:rPr>
                <w:rFonts w:hint="eastAsia" w:ascii="宋体" w:hAnsi="宋体"/>
                <w:sz w:val="24"/>
              </w:rPr>
              <w:t>日下午17:00</w:t>
            </w:r>
          </w:p>
        </w:tc>
        <w:tc>
          <w:tcPr>
            <w:tcW w:w="3591" w:type="dxa"/>
          </w:tcPr>
          <w:p>
            <w:pPr>
              <w:tabs>
                <w:tab w:val="left" w:pos="1080"/>
              </w:tabs>
              <w:adjustRightInd w:val="0"/>
              <w:snapToGrid w:val="0"/>
              <w:spacing w:line="360" w:lineRule="auto"/>
              <w:jc w:val="center"/>
              <w:rPr>
                <w:rFonts w:ascii="宋体" w:hAnsi="宋体"/>
                <w:sz w:val="24"/>
              </w:rPr>
            </w:pPr>
            <w:r>
              <w:rPr>
                <w:rFonts w:hint="eastAsia" w:ascii="宋体" w:hAnsi="宋体"/>
                <w:sz w:val="24"/>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8" w:type="dxa"/>
            <w:gridSpan w:val="3"/>
            <w:vAlign w:val="center"/>
          </w:tcPr>
          <w:p>
            <w:pPr>
              <w:tabs>
                <w:tab w:val="left" w:pos="1080"/>
              </w:tabs>
              <w:adjustRightInd w:val="0"/>
              <w:snapToGrid w:val="0"/>
              <w:spacing w:line="360" w:lineRule="auto"/>
              <w:rPr>
                <w:rFonts w:ascii="宋体" w:hAnsi="宋体"/>
              </w:rPr>
            </w:pPr>
            <w:r>
              <w:rPr>
                <w:rFonts w:hint="eastAsia" w:ascii="宋体" w:hAnsi="宋体"/>
              </w:rPr>
              <w:t>注意：投标单位领取招标文件时必须留下公司地址、联系人、电话、传真、电子邮箱等，以便答疑结果书面传真发送和联系。</w:t>
            </w:r>
          </w:p>
        </w:tc>
      </w:tr>
    </w:tbl>
    <w:p>
      <w:pPr>
        <w:pStyle w:val="4"/>
        <w:spacing w:line="360" w:lineRule="auto"/>
      </w:pPr>
      <w:r>
        <w:rPr>
          <w:rFonts w:hint="eastAsia"/>
        </w:rPr>
        <w:t>回标文件应予封存并盖章。</w:t>
      </w:r>
    </w:p>
    <w:p>
      <w:pPr>
        <w:numPr>
          <w:ilvl w:val="0"/>
          <w:numId w:val="1"/>
        </w:numPr>
        <w:spacing w:line="360" w:lineRule="auto"/>
        <w:ind w:left="1638" w:hanging="1111"/>
        <w:rPr>
          <w:rFonts w:ascii="宋体" w:hAnsi="宋体"/>
          <w:b/>
          <w:sz w:val="24"/>
        </w:rPr>
      </w:pPr>
      <w:bookmarkStart w:id="1" w:name="_Hlk80431259"/>
      <w:r>
        <w:rPr>
          <w:rFonts w:hint="eastAsia" w:ascii="宋体" w:hAnsi="宋体"/>
          <w:b/>
          <w:sz w:val="24"/>
        </w:rPr>
        <w:t>工程内容和投标报价</w:t>
      </w:r>
    </w:p>
    <w:bookmarkEnd w:id="1"/>
    <w:p>
      <w:pPr>
        <w:numPr>
          <w:ilvl w:val="2"/>
          <w:numId w:val="1"/>
        </w:numPr>
        <w:tabs>
          <w:tab w:val="left" w:pos="861"/>
          <w:tab w:val="left" w:pos="1080"/>
        </w:tabs>
        <w:spacing w:line="360" w:lineRule="auto"/>
        <w:ind w:left="0" w:firstLine="360"/>
        <w:rPr>
          <w:rFonts w:ascii="宋体" w:hAnsi="宋体"/>
          <w:b/>
          <w:bCs/>
          <w:sz w:val="24"/>
        </w:rPr>
      </w:pPr>
      <w:bookmarkStart w:id="2" w:name="_Hlk80430901"/>
      <w:r>
        <w:rPr>
          <w:rFonts w:hint="eastAsia" w:ascii="宋体" w:hAnsi="宋体"/>
          <w:b/>
          <w:bCs/>
          <w:sz w:val="24"/>
        </w:rPr>
        <w:t xml:space="preserve">工程内容：因旧宿舍场地复杂，需按甲方（招标方，下同）要求勘查现场后填写投标报价表。 </w:t>
      </w:r>
    </w:p>
    <w:p>
      <w:pPr>
        <w:numPr>
          <w:ilvl w:val="2"/>
          <w:numId w:val="1"/>
        </w:numPr>
        <w:tabs>
          <w:tab w:val="left" w:pos="861"/>
          <w:tab w:val="left" w:pos="1080"/>
        </w:tabs>
        <w:spacing w:line="360" w:lineRule="auto"/>
        <w:ind w:left="0" w:firstLine="360"/>
        <w:rPr>
          <w:b/>
          <w:bCs/>
          <w:sz w:val="24"/>
        </w:rPr>
      </w:pPr>
      <w:r>
        <w:rPr>
          <w:rFonts w:hint="eastAsia" w:ascii="宋体" w:hAnsi="宋体"/>
          <w:b/>
          <w:bCs/>
          <w:sz w:val="24"/>
        </w:rPr>
        <w:t>投标报价：</w:t>
      </w:r>
      <w:r>
        <w:rPr>
          <w:rFonts w:hint="eastAsia"/>
          <w:b/>
          <w:bCs/>
          <w:sz w:val="24"/>
        </w:rPr>
        <w:t>招标公告预算价为</w:t>
      </w:r>
      <w:r>
        <w:rPr>
          <w:rFonts w:ascii="Arial" w:hAnsi="Arial" w:cs="Arial"/>
          <w:b/>
          <w:bCs/>
          <w:sz w:val="24"/>
        </w:rPr>
        <w:t>招标控制价</w:t>
      </w:r>
      <w:r>
        <w:rPr>
          <w:rFonts w:hint="eastAsia"/>
          <w:b/>
          <w:bCs/>
          <w:sz w:val="24"/>
        </w:rPr>
        <w:t>；</w:t>
      </w:r>
      <w:r>
        <w:rPr>
          <w:rFonts w:hint="eastAsia" w:ascii="宋体" w:hAnsi="宋体"/>
          <w:b/>
          <w:bCs/>
          <w:sz w:val="24"/>
        </w:rPr>
        <w:t>根据提供</w:t>
      </w:r>
      <w:r>
        <w:rPr>
          <w:rFonts w:ascii="宋体" w:hAnsi="宋体"/>
          <w:b/>
          <w:bCs/>
          <w:sz w:val="24"/>
        </w:rPr>
        <w:t>报价表格式按</w:t>
      </w:r>
      <w:r>
        <w:rPr>
          <w:rFonts w:hint="eastAsia" w:ascii="宋体" w:hAnsi="宋体"/>
          <w:b/>
          <w:bCs/>
          <w:sz w:val="24"/>
        </w:rPr>
        <w:t>市场价自行填写投标报价表</w:t>
      </w:r>
      <w:r>
        <w:rPr>
          <w:rFonts w:ascii="宋体" w:hAnsi="宋体"/>
          <w:b/>
          <w:bCs/>
          <w:sz w:val="24"/>
        </w:rPr>
        <w:t>（见附件</w:t>
      </w:r>
      <w:r>
        <w:rPr>
          <w:rFonts w:hint="eastAsia" w:ascii="宋体" w:hAnsi="宋体"/>
          <w:b/>
          <w:bCs/>
          <w:sz w:val="24"/>
        </w:rPr>
        <w:t>一</w:t>
      </w:r>
      <w:r>
        <w:rPr>
          <w:rFonts w:ascii="宋体" w:hAnsi="宋体"/>
          <w:b/>
          <w:bCs/>
          <w:sz w:val="24"/>
        </w:rPr>
        <w:t>）</w:t>
      </w:r>
      <w:r>
        <w:rPr>
          <w:rFonts w:hint="eastAsia" w:ascii="宋体" w:hAnsi="宋体"/>
          <w:b/>
          <w:bCs/>
          <w:sz w:val="24"/>
        </w:rPr>
        <w:t>，</w:t>
      </w:r>
      <w:bookmarkStart w:id="3" w:name="_Hlk80439534"/>
      <w:r>
        <w:rPr>
          <w:rFonts w:hint="eastAsia" w:ascii="宋体" w:hAnsi="宋体"/>
          <w:b/>
          <w:bCs/>
          <w:sz w:val="24"/>
        </w:rPr>
        <w:t>提供电器的具体品牌型号及相关技术资料</w:t>
      </w:r>
      <w:bookmarkEnd w:id="3"/>
      <w:r>
        <w:rPr>
          <w:rFonts w:hint="eastAsia" w:ascii="宋体" w:hAnsi="宋体"/>
          <w:b/>
          <w:bCs/>
          <w:sz w:val="24"/>
        </w:rPr>
        <w:t>。投标报价应包括税管费、安装费、材料费</w:t>
      </w:r>
      <w:r>
        <w:rPr>
          <w:rFonts w:ascii="宋体" w:hAnsi="宋体"/>
          <w:b/>
          <w:bCs/>
          <w:sz w:val="24"/>
        </w:rPr>
        <w:t>、</w:t>
      </w:r>
      <w:r>
        <w:rPr>
          <w:rFonts w:hint="eastAsia" w:ascii="宋体" w:hAnsi="宋体"/>
          <w:b/>
          <w:bCs/>
          <w:sz w:val="24"/>
        </w:rPr>
        <w:t>运费等费用（空调、热水器报价需包含辅材费用，具体请于现场勘查后自行预算）。同时，中标单位应负计算上漏项及算术错误责任。</w:t>
      </w:r>
    </w:p>
    <w:bookmarkEnd w:id="2"/>
    <w:p>
      <w:pPr>
        <w:numPr>
          <w:ilvl w:val="0"/>
          <w:numId w:val="1"/>
        </w:numPr>
        <w:spacing w:line="360" w:lineRule="auto"/>
        <w:ind w:left="1638" w:hanging="1111"/>
        <w:rPr>
          <w:rFonts w:ascii="宋体" w:hAnsi="宋体"/>
          <w:b/>
          <w:sz w:val="24"/>
        </w:rPr>
      </w:pPr>
      <w:r>
        <w:rPr>
          <w:rFonts w:hint="eastAsia" w:ascii="宋体" w:hAnsi="宋体"/>
          <w:b/>
          <w:sz w:val="24"/>
        </w:rPr>
        <w:t>工程材料供应</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所有材料（包括成品、配件）由中标单位自行采购。投标所采用的材料（包括成品、配件）价格均应为正品、国标优等品。中标单位材料（包括成品、配件）入场前应先送样品和说明书，经甲方认定才可成批采用。若现场发现与要求不符的材料、产品、配件，乙方（中标方，下同）应无条件给予调离现场，造成的一切损失费用概由乙方负责。</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电气材料必须有“3C”认证证明。</w:t>
      </w:r>
    </w:p>
    <w:p>
      <w:pPr>
        <w:numPr>
          <w:ilvl w:val="0"/>
          <w:numId w:val="1"/>
        </w:numPr>
        <w:spacing w:line="360" w:lineRule="auto"/>
        <w:ind w:left="1638" w:hanging="1111"/>
        <w:rPr>
          <w:rFonts w:ascii="宋体" w:hAnsi="宋体"/>
          <w:b/>
          <w:sz w:val="24"/>
        </w:rPr>
      </w:pPr>
      <w:r>
        <w:rPr>
          <w:rFonts w:hint="eastAsia" w:ascii="宋体" w:hAnsi="宋体"/>
          <w:b/>
          <w:sz w:val="24"/>
        </w:rPr>
        <w:t>工程质量及工期要求</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工程质量要求按现行的建筑、安装施工及</w:t>
      </w:r>
      <w:bookmarkStart w:id="4" w:name="_Hlk80455748"/>
      <w:r>
        <w:rPr>
          <w:rFonts w:hint="eastAsia" w:ascii="宋体" w:hAnsi="宋体"/>
          <w:sz w:val="24"/>
        </w:rPr>
        <w:t>行业</w:t>
      </w:r>
      <w:bookmarkEnd w:id="4"/>
      <w:r>
        <w:rPr>
          <w:rFonts w:hint="eastAsia" w:ascii="宋体" w:hAnsi="宋体"/>
          <w:sz w:val="24"/>
        </w:rPr>
        <w:t>验收规范和质量评定标准的规定进行施工及验收。</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工程质量应达到合格标准。若达不到合格标准不算竣工，施工单位必须返工至合格标准为止。其延误的工期责任、费用均由乙方负责。工期每延误一天将罚款500.00元。</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工期包括竣工验收时间，一经确定不得拖延，遇特殊情况需要顺延，须由建设单位签认。</w:t>
      </w:r>
    </w:p>
    <w:p>
      <w:pPr>
        <w:numPr>
          <w:ilvl w:val="0"/>
          <w:numId w:val="1"/>
        </w:numPr>
        <w:spacing w:line="360" w:lineRule="auto"/>
        <w:ind w:left="1638" w:hanging="1111"/>
        <w:rPr>
          <w:rFonts w:ascii="宋体" w:hAnsi="宋体"/>
          <w:b/>
          <w:sz w:val="24"/>
        </w:rPr>
      </w:pPr>
      <w:r>
        <w:rPr>
          <w:rFonts w:hint="eastAsia" w:ascii="宋体" w:hAnsi="宋体"/>
          <w:b/>
          <w:bCs/>
          <w:sz w:val="24"/>
        </w:rPr>
        <w:t>工期及工程保修期限要求</w:t>
      </w:r>
    </w:p>
    <w:p>
      <w:pPr>
        <w:tabs>
          <w:tab w:val="left" w:pos="515"/>
        </w:tabs>
        <w:spacing w:after="0" w:line="360" w:lineRule="auto"/>
        <w:ind w:right="0" w:firstLine="480" w:firstLineChars="200"/>
        <w:rPr>
          <w:rFonts w:ascii="宋体" w:hAnsi="宋体"/>
          <w:sz w:val="24"/>
        </w:rPr>
      </w:pPr>
      <w:r>
        <w:rPr>
          <w:rFonts w:hint="eastAsia" w:ascii="宋体" w:hAnsi="宋体"/>
          <w:bCs/>
          <w:sz w:val="24"/>
        </w:rPr>
        <w:t>本项目总工期为</w:t>
      </w:r>
      <w:r>
        <w:rPr>
          <w:rFonts w:ascii="宋体" w:hAnsi="宋体"/>
          <w:bCs/>
          <w:sz w:val="24"/>
        </w:rPr>
        <w:t>20</w:t>
      </w:r>
      <w:r>
        <w:rPr>
          <w:rFonts w:hint="eastAsia" w:ascii="宋体" w:hAnsi="宋体"/>
          <w:bCs/>
          <w:sz w:val="24"/>
        </w:rPr>
        <w:t>天。</w:t>
      </w:r>
      <w:r>
        <w:rPr>
          <w:rFonts w:hint="eastAsia" w:ascii="宋体" w:hAnsi="宋体"/>
          <w:sz w:val="24"/>
        </w:rPr>
        <w:t>自</w:t>
      </w:r>
      <w:r>
        <w:rPr>
          <w:rFonts w:ascii="宋体" w:hAnsi="宋体"/>
          <w:sz w:val="24"/>
        </w:rPr>
        <w:t>开工</w:t>
      </w:r>
      <w:r>
        <w:rPr>
          <w:rFonts w:hint="eastAsia" w:ascii="宋体" w:hAnsi="宋体"/>
          <w:sz w:val="24"/>
        </w:rPr>
        <w:t>之日起</w:t>
      </w:r>
      <w:r>
        <w:rPr>
          <w:rFonts w:ascii="宋体" w:hAnsi="宋体"/>
          <w:bCs/>
          <w:sz w:val="24"/>
        </w:rPr>
        <w:t>20</w:t>
      </w:r>
      <w:r>
        <w:rPr>
          <w:rFonts w:hint="eastAsia" w:ascii="宋体" w:hAnsi="宋体"/>
          <w:sz w:val="24"/>
        </w:rPr>
        <w:t>天完成所有工程项目。包括深化图纸</w:t>
      </w:r>
      <w:r>
        <w:rPr>
          <w:rFonts w:hint="eastAsia" w:ascii="宋体" w:hAnsi="宋体"/>
          <w:sz w:val="24"/>
          <w:lang w:eastAsia="zh-TW"/>
        </w:rPr>
        <w:t>、</w:t>
      </w:r>
      <w:r>
        <w:rPr>
          <w:rFonts w:hint="eastAsia" w:ascii="宋体" w:hAnsi="宋体"/>
          <w:sz w:val="24"/>
        </w:rPr>
        <w:t>订购</w:t>
      </w:r>
      <w:r>
        <w:rPr>
          <w:rFonts w:hint="eastAsia" w:ascii="宋体" w:hAnsi="宋体"/>
          <w:sz w:val="24"/>
          <w:lang w:eastAsia="zh-TW"/>
        </w:rPr>
        <w:t>材料</w:t>
      </w:r>
      <w:r>
        <w:rPr>
          <w:rFonts w:hint="eastAsia" w:ascii="宋体" w:hAnsi="宋体"/>
          <w:sz w:val="24"/>
        </w:rPr>
        <w:t>及竣工验收等</w:t>
      </w:r>
      <w:r>
        <w:rPr>
          <w:rFonts w:hint="eastAsia" w:ascii="宋体" w:hAnsi="宋体"/>
          <w:sz w:val="24"/>
          <w:lang w:eastAsia="zh-TW"/>
        </w:rPr>
        <w:t>。</w:t>
      </w:r>
    </w:p>
    <w:p>
      <w:pPr>
        <w:spacing w:line="360" w:lineRule="auto"/>
        <w:ind w:firstLine="480" w:firstLineChars="200"/>
        <w:rPr>
          <w:rFonts w:ascii="宋体" w:hAnsi="宋体"/>
          <w:b/>
          <w:sz w:val="24"/>
        </w:rPr>
      </w:pPr>
      <w:r>
        <w:rPr>
          <w:rFonts w:hint="eastAsia" w:ascii="宋体" w:hAnsi="宋体"/>
          <w:sz w:val="24"/>
        </w:rPr>
        <w:t>本工程的工程保修期为工程竣工验收合格之日起</w:t>
      </w:r>
      <w:r>
        <w:rPr>
          <w:rFonts w:ascii="宋体" w:hAnsi="宋体"/>
          <w:sz w:val="24"/>
        </w:rPr>
        <w:t>二</w:t>
      </w:r>
      <w:r>
        <w:rPr>
          <w:rFonts w:hint="eastAsia" w:ascii="宋体" w:hAnsi="宋体"/>
          <w:sz w:val="24"/>
        </w:rPr>
        <w:t>年内，电器产品按国家行业标准维保。保修期内，若出现维修情况，甲方将及时通知乙方，乙方必须在24小时内进行修复，否则，甲方将另行派人维修，所需费用在保修金中扣除。</w:t>
      </w:r>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施工过程工作要求</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施工单位</w:t>
      </w:r>
      <w:bookmarkStart w:id="5" w:name="_Hlk80438309"/>
      <w:r>
        <w:rPr>
          <w:rFonts w:hint="eastAsia" w:ascii="宋体" w:hAnsi="宋体"/>
          <w:sz w:val="24"/>
        </w:rPr>
        <w:t>需做好</w:t>
      </w:r>
      <w:bookmarkEnd w:id="5"/>
      <w:r>
        <w:rPr>
          <w:rFonts w:hint="eastAsia" w:ascii="宋体" w:hAnsi="宋体"/>
          <w:sz w:val="24"/>
        </w:rPr>
        <w:t>安全防护工作，按甲方指定地点接驳电源，派专门安全巡视员做好一切安全防护措施。</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施工期间要做好施工现场的环境卫生。</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垃圾应及时清运。</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中标单位负责施工现场的防火、防盗工作及人身财产安全工作，负责施工安全生产及事故处理、善后工作。</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甲方不为中标施工单位提供工人住宿。</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与施工及管理有关的，甲方认为需要由乙方负责的其它工作。</w:t>
      </w:r>
    </w:p>
    <w:p>
      <w:pPr>
        <w:numPr>
          <w:ilvl w:val="0"/>
          <w:numId w:val="1"/>
        </w:numPr>
        <w:tabs>
          <w:tab w:val="left" w:pos="1110"/>
          <w:tab w:val="left" w:pos="1301"/>
        </w:tabs>
        <w:spacing w:line="360" w:lineRule="auto"/>
        <w:ind w:left="1638" w:hanging="1111"/>
        <w:rPr>
          <w:rFonts w:ascii="宋体" w:hAnsi="宋体"/>
          <w:b/>
          <w:bCs/>
          <w:sz w:val="24"/>
        </w:rPr>
      </w:pPr>
      <w:bookmarkStart w:id="6" w:name="_Hlk80445371"/>
      <w:bookmarkStart w:id="7" w:name="_Hlk80455853"/>
      <w:r>
        <w:rPr>
          <w:rFonts w:hint="eastAsia" w:ascii="宋体" w:hAnsi="宋体"/>
          <w:b/>
          <w:bCs/>
          <w:sz w:val="24"/>
        </w:rPr>
        <w:t>工程价款、付款办法及结算</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工程价款：投标单位的投标报价即为工程实际总承包价，施工期间不应因任何政策性调整和市场物价变化而变更。</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工程付款办法：按汕头大学医学院现行承包工程合同书中有关条款执行，即竣工验收后2周内支付总承包价9</w:t>
      </w:r>
      <w:r>
        <w:rPr>
          <w:rFonts w:ascii="宋体" w:hAnsi="宋体"/>
          <w:sz w:val="24"/>
        </w:rPr>
        <w:t>7</w:t>
      </w:r>
      <w:r>
        <w:rPr>
          <w:rFonts w:hint="eastAsia" w:ascii="宋体" w:hAnsi="宋体"/>
          <w:sz w:val="24"/>
        </w:rPr>
        <w:t>%，留3%保修金于保修期满后支付。具体在签订合同中确定。</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付款特别事项：付工程款时，甲方有权批核工程金额内扣除未能达到规范要求之工程款，并由乙方返工至达到要求后在下一次工程款中支付。工程竣工验收达不到合格标准，除按第五条条款执行外，甲方有权扣除未达到合格标准项目之造价，直至返工到合格标准为止。若乙方返工后仍达不到合格标准，甲方有权永久扣除与之相应款项，并另聘请施工单位返工，费用在扣款中支付，若扣款不足以支付费用，乙方应负欠缺部分的责任，甲方有权追讨。</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工程结算：以分部分项工程清单、图纸内容及勘查现场后确认的工程量按招标后总价包干。</w:t>
      </w:r>
      <w:bookmarkEnd w:id="6"/>
    </w:p>
    <w:bookmarkEnd w:id="7"/>
    <w:p>
      <w:pPr>
        <w:numPr>
          <w:ilvl w:val="0"/>
          <w:numId w:val="1"/>
        </w:numPr>
        <w:spacing w:line="360" w:lineRule="auto"/>
        <w:ind w:left="1638" w:hanging="1111"/>
        <w:rPr>
          <w:rFonts w:ascii="宋体" w:hAnsi="宋体"/>
          <w:b/>
          <w:sz w:val="24"/>
        </w:rPr>
      </w:pPr>
      <w:r>
        <w:rPr>
          <w:rFonts w:hint="eastAsia" w:ascii="宋体" w:hAnsi="宋体"/>
          <w:b/>
          <w:sz w:val="24"/>
        </w:rPr>
        <w:t>投标单位须知</w:t>
      </w:r>
    </w:p>
    <w:p>
      <w:pPr>
        <w:tabs>
          <w:tab w:val="left" w:pos="1080"/>
        </w:tabs>
        <w:spacing w:line="360" w:lineRule="auto"/>
        <w:ind w:firstLine="480" w:firstLineChars="200"/>
        <w:rPr>
          <w:rFonts w:ascii="宋体" w:hAnsi="宋体"/>
          <w:sz w:val="24"/>
        </w:rPr>
      </w:pPr>
      <w:r>
        <w:rPr>
          <w:rFonts w:hint="eastAsia" w:ascii="宋体" w:hAnsi="宋体"/>
          <w:sz w:val="24"/>
        </w:rPr>
        <w:t>投标文件要求</w:t>
      </w:r>
    </w:p>
    <w:p>
      <w:pPr>
        <w:tabs>
          <w:tab w:val="left" w:pos="1080"/>
        </w:tabs>
        <w:spacing w:line="360" w:lineRule="auto"/>
        <w:ind w:firstLine="480" w:firstLineChars="200"/>
        <w:rPr>
          <w:rFonts w:ascii="宋体" w:hAnsi="宋体"/>
          <w:sz w:val="24"/>
        </w:rPr>
      </w:pPr>
      <w:r>
        <w:rPr>
          <w:rFonts w:hint="eastAsia" w:ascii="宋体" w:hAnsi="宋体"/>
          <w:sz w:val="24"/>
        </w:rPr>
        <w:t>下列文件按顺序装订成册，封面标明投标单位名称并盖章，提交一份正本，4份副本。</w:t>
      </w:r>
    </w:p>
    <w:p>
      <w:pPr>
        <w:numPr>
          <w:ilvl w:val="0"/>
          <w:numId w:val="2"/>
        </w:numPr>
        <w:tabs>
          <w:tab w:val="left" w:pos="1080"/>
        </w:tabs>
        <w:spacing w:line="360" w:lineRule="auto"/>
        <w:rPr>
          <w:rFonts w:ascii="宋体" w:hAnsi="宋体"/>
          <w:sz w:val="24"/>
        </w:rPr>
      </w:pPr>
      <w:r>
        <w:rPr>
          <w:rFonts w:hint="eastAsia" w:ascii="宋体" w:hAnsi="宋体"/>
          <w:sz w:val="24"/>
        </w:rPr>
        <w:t>法人委托书（正件一份附在正本内，副本免附）；</w:t>
      </w:r>
    </w:p>
    <w:p>
      <w:pPr>
        <w:numPr>
          <w:ilvl w:val="0"/>
          <w:numId w:val="2"/>
        </w:numPr>
        <w:tabs>
          <w:tab w:val="left" w:pos="1080"/>
        </w:tabs>
        <w:spacing w:line="360" w:lineRule="auto"/>
        <w:rPr>
          <w:rFonts w:ascii="宋体" w:hAnsi="宋体"/>
          <w:sz w:val="24"/>
        </w:rPr>
      </w:pPr>
      <w:r>
        <w:rPr>
          <w:rFonts w:hint="eastAsia" w:ascii="宋体" w:hAnsi="宋体"/>
          <w:sz w:val="24"/>
        </w:rPr>
        <w:t>投标报价表（可增补内容和细分项目）；</w:t>
      </w:r>
    </w:p>
    <w:p>
      <w:pPr>
        <w:numPr>
          <w:ilvl w:val="0"/>
          <w:numId w:val="2"/>
        </w:numPr>
        <w:tabs>
          <w:tab w:val="left" w:pos="1080"/>
        </w:tabs>
        <w:spacing w:line="360" w:lineRule="auto"/>
        <w:rPr>
          <w:rFonts w:ascii="宋体" w:hAnsi="宋体"/>
          <w:sz w:val="24"/>
        </w:rPr>
      </w:pPr>
      <w:r>
        <w:rPr>
          <w:rFonts w:hint="eastAsia" w:ascii="宋体" w:hAnsi="宋体"/>
          <w:sz w:val="24"/>
        </w:rPr>
        <w:t>投标承诺书（</w:t>
      </w:r>
      <w:r>
        <w:rPr>
          <w:rFonts w:ascii="宋体" w:hAnsi="宋体"/>
          <w:sz w:val="24"/>
        </w:rPr>
        <w:t>见附件</w:t>
      </w:r>
      <w:r>
        <w:rPr>
          <w:rFonts w:hint="eastAsia" w:ascii="宋体" w:hAnsi="宋体"/>
          <w:sz w:val="24"/>
        </w:rPr>
        <w:t>二）；</w:t>
      </w:r>
    </w:p>
    <w:p>
      <w:pPr>
        <w:numPr>
          <w:ilvl w:val="0"/>
          <w:numId w:val="2"/>
        </w:numPr>
        <w:tabs>
          <w:tab w:val="left" w:pos="1080"/>
        </w:tabs>
        <w:spacing w:line="360" w:lineRule="auto"/>
        <w:rPr>
          <w:rFonts w:ascii="宋体" w:hAnsi="宋体"/>
          <w:sz w:val="24"/>
        </w:rPr>
      </w:pPr>
      <w:r>
        <w:rPr>
          <w:rFonts w:hint="eastAsia" w:ascii="宋体" w:hAnsi="宋体"/>
          <w:sz w:val="24"/>
        </w:rPr>
        <w:t>其它补充资料。</w:t>
      </w:r>
    </w:p>
    <w:p>
      <w:pPr>
        <w:numPr>
          <w:ilvl w:val="0"/>
          <w:numId w:val="1"/>
        </w:numPr>
        <w:spacing w:line="360" w:lineRule="auto"/>
        <w:ind w:left="1638" w:hanging="1111"/>
        <w:rPr>
          <w:rFonts w:ascii="宋体" w:hAnsi="宋体"/>
          <w:b/>
          <w:sz w:val="24"/>
        </w:rPr>
      </w:pPr>
      <w:r>
        <w:rPr>
          <w:rFonts w:hint="eastAsia" w:ascii="宋体" w:hAnsi="宋体"/>
          <w:b/>
          <w:sz w:val="24"/>
        </w:rPr>
        <w:t>投标文件有下列情况之一者，作废标处理：</w:t>
      </w:r>
    </w:p>
    <w:p>
      <w:pPr>
        <w:numPr>
          <w:ilvl w:val="0"/>
          <w:numId w:val="3"/>
        </w:numPr>
        <w:tabs>
          <w:tab w:val="left" w:pos="1080"/>
        </w:tabs>
        <w:spacing w:line="360" w:lineRule="auto"/>
        <w:rPr>
          <w:rFonts w:ascii="宋体" w:hAnsi="宋体"/>
          <w:sz w:val="24"/>
        </w:rPr>
      </w:pPr>
      <w:r>
        <w:rPr>
          <w:rFonts w:hint="eastAsia" w:ascii="宋体" w:hAnsi="宋体"/>
          <w:sz w:val="24"/>
        </w:rPr>
        <w:t>未按要求密封。</w:t>
      </w:r>
    </w:p>
    <w:p>
      <w:pPr>
        <w:numPr>
          <w:ilvl w:val="0"/>
          <w:numId w:val="3"/>
        </w:numPr>
        <w:tabs>
          <w:tab w:val="left" w:pos="1080"/>
        </w:tabs>
        <w:spacing w:line="360" w:lineRule="auto"/>
        <w:rPr>
          <w:rFonts w:ascii="宋体" w:hAnsi="宋体"/>
          <w:sz w:val="24"/>
        </w:rPr>
      </w:pPr>
      <w:r>
        <w:rPr>
          <w:rFonts w:hint="eastAsia" w:ascii="宋体" w:hAnsi="宋体"/>
          <w:sz w:val="24"/>
        </w:rPr>
        <w:t>标书未加盖投标单位公章。</w:t>
      </w:r>
    </w:p>
    <w:p>
      <w:pPr>
        <w:numPr>
          <w:ilvl w:val="0"/>
          <w:numId w:val="3"/>
        </w:numPr>
        <w:tabs>
          <w:tab w:val="left" w:pos="1080"/>
        </w:tabs>
        <w:spacing w:line="360" w:lineRule="auto"/>
        <w:rPr>
          <w:rFonts w:ascii="宋体" w:hAnsi="宋体"/>
          <w:sz w:val="24"/>
        </w:rPr>
      </w:pPr>
      <w:r>
        <w:rPr>
          <w:rFonts w:hint="eastAsia" w:ascii="宋体" w:hAnsi="宋体"/>
          <w:sz w:val="24"/>
        </w:rPr>
        <w:t>未响应招标文件的，标书中有严重的漏项。</w:t>
      </w:r>
    </w:p>
    <w:p>
      <w:pPr>
        <w:numPr>
          <w:ilvl w:val="0"/>
          <w:numId w:val="3"/>
        </w:numPr>
        <w:tabs>
          <w:tab w:val="left" w:pos="1080"/>
        </w:tabs>
        <w:spacing w:line="360" w:lineRule="auto"/>
        <w:rPr>
          <w:rFonts w:ascii="宋体" w:hAnsi="宋体"/>
          <w:sz w:val="24"/>
        </w:rPr>
      </w:pPr>
      <w:r>
        <w:rPr>
          <w:rFonts w:hint="eastAsia" w:ascii="宋体" w:hAnsi="宋体"/>
          <w:sz w:val="24"/>
        </w:rPr>
        <w:t>投标文件中，标明的投标人与资格预审的申请人在名称和组织结构上存在实质性差别。</w:t>
      </w:r>
    </w:p>
    <w:p>
      <w:pPr>
        <w:numPr>
          <w:ilvl w:val="0"/>
          <w:numId w:val="3"/>
        </w:numPr>
        <w:tabs>
          <w:tab w:val="left" w:pos="1080"/>
        </w:tabs>
        <w:spacing w:line="360" w:lineRule="auto"/>
        <w:rPr>
          <w:rFonts w:ascii="宋体" w:hAnsi="宋体"/>
          <w:sz w:val="24"/>
        </w:rPr>
      </w:pPr>
      <w:r>
        <w:rPr>
          <w:rFonts w:hint="eastAsia" w:ascii="宋体" w:hAnsi="宋体"/>
          <w:sz w:val="24"/>
        </w:rPr>
        <w:t>与其他人串通报价或串通投标的。</w:t>
      </w:r>
    </w:p>
    <w:p>
      <w:pPr>
        <w:numPr>
          <w:ilvl w:val="0"/>
          <w:numId w:val="1"/>
        </w:numPr>
        <w:spacing w:line="360" w:lineRule="auto"/>
        <w:ind w:left="1638" w:hanging="1111"/>
        <w:rPr>
          <w:rFonts w:ascii="宋体" w:hAnsi="宋体"/>
          <w:b/>
          <w:sz w:val="24"/>
        </w:rPr>
      </w:pPr>
      <w:r>
        <w:rPr>
          <w:rFonts w:hint="eastAsia" w:ascii="宋体" w:hAnsi="宋体"/>
          <w:b/>
          <w:sz w:val="24"/>
        </w:rPr>
        <w:t>评定标原则及通知</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评标定标的原则</w:t>
      </w:r>
    </w:p>
    <w:p>
      <w:pPr>
        <w:tabs>
          <w:tab w:val="left" w:pos="1080"/>
        </w:tabs>
        <w:spacing w:line="360" w:lineRule="auto"/>
        <w:ind w:firstLine="480" w:firstLineChars="200"/>
        <w:rPr>
          <w:rFonts w:ascii="宋体" w:hAnsi="宋体"/>
          <w:sz w:val="24"/>
        </w:rPr>
      </w:pPr>
      <w:r>
        <w:rPr>
          <w:rFonts w:hint="eastAsia" w:ascii="宋体" w:hAnsi="宋体"/>
          <w:sz w:val="24"/>
        </w:rPr>
        <w:t>为使评标公正、公平、合理，确保工程质量，本工程的评标将采用全面综合评审的原则。</w:t>
      </w:r>
    </w:p>
    <w:p>
      <w:pPr>
        <w:numPr>
          <w:ilvl w:val="0"/>
          <w:numId w:val="4"/>
        </w:numPr>
        <w:spacing w:line="360" w:lineRule="auto"/>
        <w:rPr>
          <w:rFonts w:ascii="宋体" w:hAnsi="宋体"/>
          <w:sz w:val="24"/>
        </w:rPr>
      </w:pPr>
      <w:r>
        <w:rPr>
          <w:rFonts w:hint="eastAsia" w:ascii="宋体" w:hAnsi="宋体"/>
          <w:sz w:val="24"/>
        </w:rPr>
        <w:t>合理低价；</w:t>
      </w:r>
    </w:p>
    <w:p>
      <w:pPr>
        <w:numPr>
          <w:ilvl w:val="0"/>
          <w:numId w:val="4"/>
        </w:numPr>
        <w:spacing w:line="360" w:lineRule="auto"/>
        <w:rPr>
          <w:rFonts w:ascii="宋体" w:hAnsi="宋体"/>
          <w:sz w:val="24"/>
        </w:rPr>
      </w:pPr>
      <w:r>
        <w:rPr>
          <w:rFonts w:hint="eastAsia" w:ascii="宋体" w:hAnsi="宋体"/>
          <w:sz w:val="24"/>
        </w:rPr>
        <w:t>有可靠的质量安全保证措施；</w:t>
      </w:r>
    </w:p>
    <w:p>
      <w:pPr>
        <w:numPr>
          <w:ilvl w:val="0"/>
          <w:numId w:val="4"/>
        </w:numPr>
        <w:spacing w:line="360" w:lineRule="auto"/>
        <w:rPr>
          <w:rFonts w:ascii="宋体" w:hAnsi="宋体"/>
          <w:sz w:val="24"/>
        </w:rPr>
      </w:pPr>
      <w:r>
        <w:rPr>
          <w:rFonts w:hint="eastAsia" w:ascii="宋体" w:hAnsi="宋体"/>
          <w:sz w:val="24"/>
        </w:rPr>
        <w:t>工期符合建设单位要求；</w:t>
      </w:r>
    </w:p>
    <w:p>
      <w:pPr>
        <w:numPr>
          <w:ilvl w:val="0"/>
          <w:numId w:val="4"/>
        </w:numPr>
        <w:spacing w:line="360" w:lineRule="auto"/>
        <w:rPr>
          <w:rFonts w:ascii="宋体" w:hAnsi="宋体"/>
          <w:sz w:val="24"/>
        </w:rPr>
      </w:pPr>
      <w:r>
        <w:rPr>
          <w:rFonts w:hint="eastAsia" w:ascii="宋体" w:hAnsi="宋体"/>
          <w:sz w:val="24"/>
        </w:rPr>
        <w:t>优良的业绩和良好的信誉；</w:t>
      </w:r>
    </w:p>
    <w:p>
      <w:pPr>
        <w:numPr>
          <w:ilvl w:val="0"/>
          <w:numId w:val="4"/>
        </w:numPr>
        <w:spacing w:line="360" w:lineRule="auto"/>
        <w:rPr>
          <w:rFonts w:ascii="宋体" w:hAnsi="宋体"/>
          <w:sz w:val="24"/>
        </w:rPr>
      </w:pPr>
      <w:r>
        <w:rPr>
          <w:rFonts w:hint="eastAsia" w:ascii="宋体" w:hAnsi="宋体"/>
          <w:sz w:val="24"/>
        </w:rPr>
        <w:t>投标承诺能被建设单位所接受。</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招标单位将集体讨论，初步拟定中标单位，报请相关部门审定。评标结束后，将通知中标单位，对未中标单位发给感谢信或电话致谢。</w:t>
      </w:r>
    </w:p>
    <w:p>
      <w:pPr>
        <w:numPr>
          <w:ilvl w:val="0"/>
          <w:numId w:val="1"/>
        </w:numPr>
        <w:spacing w:line="360" w:lineRule="auto"/>
        <w:ind w:left="1638" w:hanging="1111"/>
        <w:rPr>
          <w:rFonts w:ascii="宋体" w:hAnsi="宋体"/>
          <w:b/>
          <w:sz w:val="24"/>
        </w:rPr>
      </w:pPr>
      <w:r>
        <w:rPr>
          <w:rFonts w:hint="eastAsia" w:ascii="宋体" w:hAnsi="宋体"/>
          <w:b/>
          <w:sz w:val="24"/>
        </w:rPr>
        <w:t>其它</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中标单位接到中标通知后需尽快与甲方（汕头大学医学院）洽商工程答疑、技术交底等事宜，并签订正式合同。</w:t>
      </w:r>
    </w:p>
    <w:p>
      <w:pPr>
        <w:numPr>
          <w:ilvl w:val="2"/>
          <w:numId w:val="1"/>
        </w:numPr>
        <w:tabs>
          <w:tab w:val="left" w:pos="861"/>
          <w:tab w:val="left" w:pos="1080"/>
        </w:tabs>
        <w:spacing w:line="360" w:lineRule="auto"/>
        <w:ind w:left="0" w:firstLine="360"/>
      </w:pPr>
      <w:r>
        <w:rPr>
          <w:rFonts w:hint="eastAsia" w:ascii="宋体" w:hAnsi="宋体"/>
          <w:sz w:val="24"/>
        </w:rPr>
        <w:t>中标单位应自觉遵守甲方有关现场规定，并应自觉保护好现有建筑产品。制作安装过程若有损坏现场建筑产品、木地板、电器，应自行维修，并承担有关责任。</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施工人员不得在现场住宿，做饭。</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施工期间，承建单位必须严格执行《汕头经济特区环境噪音污染防治条例》及市环保局关于建筑工程施工有关规定，以保证工作场所清洁卫生。</w:t>
      </w:r>
    </w:p>
    <w:p>
      <w:pPr>
        <w:numPr>
          <w:ilvl w:val="2"/>
          <w:numId w:val="1"/>
        </w:numPr>
        <w:tabs>
          <w:tab w:val="left" w:pos="861"/>
          <w:tab w:val="left" w:pos="1080"/>
        </w:tabs>
        <w:spacing w:line="360" w:lineRule="auto"/>
        <w:ind w:left="0" w:firstLine="360"/>
        <w:rPr>
          <w:kern w:val="0"/>
          <w:sz w:val="20"/>
          <w:szCs w:val="20"/>
        </w:rPr>
      </w:pPr>
      <w:r>
        <w:rPr>
          <w:rFonts w:hint="eastAsia" w:ascii="宋体" w:hAnsi="宋体"/>
          <w:sz w:val="24"/>
        </w:rPr>
        <w:t>投标单位必须在投标前认真查看现场，合理估算相关工程费用（包括安装辅材、搬运安装、垃圾清运费），并计入投标报价内。</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本次投标产生的费用由投标人自行承担。</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本招标文件未尽事宜,在签订正式合同时再予以补充。</w:t>
      </w:r>
    </w:p>
    <w:p>
      <w:pPr>
        <w:tabs>
          <w:tab w:val="left" w:pos="1080"/>
        </w:tabs>
        <w:spacing w:line="360" w:lineRule="auto"/>
        <w:rPr>
          <w:rFonts w:ascii="宋体" w:hAnsi="宋体"/>
          <w:sz w:val="24"/>
        </w:rPr>
      </w:pPr>
    </w:p>
    <w:p>
      <w:pPr>
        <w:tabs>
          <w:tab w:val="left" w:pos="1080"/>
        </w:tabs>
        <w:spacing w:line="360" w:lineRule="auto"/>
        <w:rPr>
          <w:rFonts w:ascii="宋体" w:hAnsi="宋体"/>
          <w:sz w:val="24"/>
        </w:rPr>
      </w:pPr>
    </w:p>
    <w:p>
      <w:pPr>
        <w:tabs>
          <w:tab w:val="left" w:pos="1080"/>
        </w:tabs>
        <w:spacing w:line="360" w:lineRule="auto"/>
        <w:jc w:val="right"/>
        <w:rPr>
          <w:rFonts w:ascii="宋体" w:hAnsi="宋体"/>
          <w:sz w:val="24"/>
        </w:rPr>
      </w:pPr>
    </w:p>
    <w:p>
      <w:pPr>
        <w:tabs>
          <w:tab w:val="left" w:pos="7515"/>
        </w:tabs>
        <w:spacing w:line="360" w:lineRule="auto"/>
        <w:jc w:val="right"/>
        <w:rPr>
          <w:rFonts w:ascii="宋体" w:hAnsi="宋体"/>
          <w:sz w:val="24"/>
        </w:rPr>
      </w:pPr>
      <w:r>
        <w:rPr>
          <w:rFonts w:hint="eastAsia" w:ascii="宋体" w:hAnsi="宋体"/>
          <w:sz w:val="24"/>
        </w:rPr>
        <w:t>汕头大学医学院</w:t>
      </w:r>
    </w:p>
    <w:p>
      <w:pPr>
        <w:pStyle w:val="6"/>
        <w:spacing w:line="360" w:lineRule="auto"/>
        <w:ind w:left="5250"/>
        <w:jc w:val="right"/>
      </w:pPr>
      <w:r>
        <w:rPr>
          <w:rFonts w:hint="eastAsia"/>
        </w:rPr>
        <w:t>20</w:t>
      </w:r>
      <w:r>
        <w:t>21</w:t>
      </w:r>
      <w:r>
        <w:rPr>
          <w:rFonts w:hint="eastAsia"/>
        </w:rPr>
        <w:t>年</w:t>
      </w:r>
      <w:r>
        <w:t>8</w:t>
      </w:r>
      <w:r>
        <w:rPr>
          <w:rFonts w:hint="eastAsia"/>
        </w:rPr>
        <w:t>月</w:t>
      </w:r>
      <w:r>
        <w:t>2</w:t>
      </w:r>
      <w:r>
        <w:rPr>
          <w:rFonts w:hint="eastAsia"/>
          <w:lang w:val="en-US" w:eastAsia="zh-CN"/>
        </w:rPr>
        <w:t>2</w:t>
      </w:r>
      <w:bookmarkStart w:id="8" w:name="_GoBack"/>
      <w:bookmarkEnd w:id="8"/>
      <w:r>
        <w:rPr>
          <w:rFonts w:hint="eastAsia"/>
        </w:rPr>
        <w:t>日</w:t>
      </w:r>
    </w:p>
    <w:sectPr>
      <w:footerReference r:id="rId3" w:type="default"/>
      <w:footerReference r:id="rId4" w:type="even"/>
      <w:pgSz w:w="11906" w:h="16838"/>
      <w:pgMar w:top="1134" w:right="1134" w:bottom="1134" w:left="1134"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2139"/>
        </w:tabs>
        <w:ind w:left="2139"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1">
    <w:nsid w:val="00000002"/>
    <w:multiLevelType w:val="multilevel"/>
    <w:tmpl w:val="00000002"/>
    <w:lvl w:ilvl="0" w:tentative="0">
      <w:start w:val="1"/>
      <w:numFmt w:val="decimal"/>
      <w:lvlText w:val="%1."/>
      <w:lvlJc w:val="left"/>
      <w:pPr>
        <w:tabs>
          <w:tab w:val="left" w:pos="900"/>
        </w:tabs>
        <w:ind w:left="900" w:hanging="360"/>
      </w:pPr>
      <w:rPr>
        <w:rFonts w:hint="eastAsia"/>
      </w:rPr>
    </w:lvl>
    <w:lvl w:ilvl="1" w:tentative="0">
      <w:start w:val="1"/>
      <w:numFmt w:val="japaneseCounting"/>
      <w:lvlText w:val="%2、"/>
      <w:lvlJc w:val="left"/>
      <w:pPr>
        <w:tabs>
          <w:tab w:val="left" w:pos="1440"/>
        </w:tabs>
        <w:ind w:left="1440" w:hanging="480"/>
      </w:pPr>
      <w:rPr>
        <w:rFonts w:hint="eastAsia"/>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00000003"/>
    <w:multiLevelType w:val="multilevel"/>
    <w:tmpl w:val="00000003"/>
    <w:lvl w:ilvl="0" w:tentative="0">
      <w:start w:val="1"/>
      <w:numFmt w:val="chineseCountingThousand"/>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1E537BB3"/>
    <w:multiLevelType w:val="multilevel"/>
    <w:tmpl w:val="1E537BB3"/>
    <w:lvl w:ilvl="0" w:tentative="0">
      <w:start w:val="1"/>
      <w:numFmt w:val="chineseCountingThousand"/>
      <w:lvlText w:val="(%1)"/>
      <w:lvlJc w:val="left"/>
      <w:pPr>
        <w:tabs>
          <w:tab w:val="left" w:pos="900"/>
        </w:tabs>
        <w:ind w:left="0" w:firstLine="5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41"/>
  <w:drawingGridVerticalSpacing w:val="200"/>
  <w:doNotShadeFormData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FE3"/>
    <w:rsid w:val="000265BD"/>
    <w:rsid w:val="000333A4"/>
    <w:rsid w:val="00045E02"/>
    <w:rsid w:val="00054B28"/>
    <w:rsid w:val="0006059D"/>
    <w:rsid w:val="00065906"/>
    <w:rsid w:val="00070C95"/>
    <w:rsid w:val="00074B03"/>
    <w:rsid w:val="000A2521"/>
    <w:rsid w:val="000A7DD5"/>
    <w:rsid w:val="000C7E00"/>
    <w:rsid w:val="000D204D"/>
    <w:rsid w:val="000E6CAA"/>
    <w:rsid w:val="000E6DC5"/>
    <w:rsid w:val="000F3632"/>
    <w:rsid w:val="000F6203"/>
    <w:rsid w:val="00111C3F"/>
    <w:rsid w:val="001374C1"/>
    <w:rsid w:val="00172A27"/>
    <w:rsid w:val="001735D2"/>
    <w:rsid w:val="001735FD"/>
    <w:rsid w:val="00183A73"/>
    <w:rsid w:val="0018410F"/>
    <w:rsid w:val="00186936"/>
    <w:rsid w:val="00187A69"/>
    <w:rsid w:val="00191B7A"/>
    <w:rsid w:val="00197428"/>
    <w:rsid w:val="001D5FC5"/>
    <w:rsid w:val="001F3F4B"/>
    <w:rsid w:val="001F6DD1"/>
    <w:rsid w:val="0020171F"/>
    <w:rsid w:val="00207BDE"/>
    <w:rsid w:val="00210959"/>
    <w:rsid w:val="00212CA7"/>
    <w:rsid w:val="00214FA8"/>
    <w:rsid w:val="002160D3"/>
    <w:rsid w:val="00223F9A"/>
    <w:rsid w:val="002274D1"/>
    <w:rsid w:val="002334DB"/>
    <w:rsid w:val="00237D38"/>
    <w:rsid w:val="00240B44"/>
    <w:rsid w:val="00245805"/>
    <w:rsid w:val="0025411E"/>
    <w:rsid w:val="002631CD"/>
    <w:rsid w:val="00280383"/>
    <w:rsid w:val="002810A1"/>
    <w:rsid w:val="00293B98"/>
    <w:rsid w:val="002A0597"/>
    <w:rsid w:val="002A7557"/>
    <w:rsid w:val="002B337B"/>
    <w:rsid w:val="002B5B36"/>
    <w:rsid w:val="002D146C"/>
    <w:rsid w:val="002D14C0"/>
    <w:rsid w:val="00313EC7"/>
    <w:rsid w:val="003269FD"/>
    <w:rsid w:val="003502E0"/>
    <w:rsid w:val="003810F2"/>
    <w:rsid w:val="003832F1"/>
    <w:rsid w:val="00386451"/>
    <w:rsid w:val="0038723B"/>
    <w:rsid w:val="003A6E86"/>
    <w:rsid w:val="003C0DEB"/>
    <w:rsid w:val="003C4A85"/>
    <w:rsid w:val="003D7A3C"/>
    <w:rsid w:val="003E0ACA"/>
    <w:rsid w:val="003E2B60"/>
    <w:rsid w:val="003F7A34"/>
    <w:rsid w:val="00413C8D"/>
    <w:rsid w:val="004142ED"/>
    <w:rsid w:val="004352C5"/>
    <w:rsid w:val="00446EB4"/>
    <w:rsid w:val="004509B4"/>
    <w:rsid w:val="0045416D"/>
    <w:rsid w:val="00474986"/>
    <w:rsid w:val="00475425"/>
    <w:rsid w:val="00476785"/>
    <w:rsid w:val="00491174"/>
    <w:rsid w:val="00497549"/>
    <w:rsid w:val="004A1832"/>
    <w:rsid w:val="004A70D4"/>
    <w:rsid w:val="004B4F43"/>
    <w:rsid w:val="004C0196"/>
    <w:rsid w:val="004C14A5"/>
    <w:rsid w:val="004C31F0"/>
    <w:rsid w:val="004C3ED5"/>
    <w:rsid w:val="004D75F5"/>
    <w:rsid w:val="00503E2B"/>
    <w:rsid w:val="00507B9F"/>
    <w:rsid w:val="00514265"/>
    <w:rsid w:val="00550967"/>
    <w:rsid w:val="00552BE6"/>
    <w:rsid w:val="005703D1"/>
    <w:rsid w:val="005809FE"/>
    <w:rsid w:val="005A0B95"/>
    <w:rsid w:val="005A59A5"/>
    <w:rsid w:val="005A7E3E"/>
    <w:rsid w:val="005B1198"/>
    <w:rsid w:val="005B388B"/>
    <w:rsid w:val="005B732C"/>
    <w:rsid w:val="005D0E83"/>
    <w:rsid w:val="005D0E9C"/>
    <w:rsid w:val="005D3726"/>
    <w:rsid w:val="005D5219"/>
    <w:rsid w:val="005D6ECB"/>
    <w:rsid w:val="005E017F"/>
    <w:rsid w:val="005E0801"/>
    <w:rsid w:val="005E0EA1"/>
    <w:rsid w:val="005E2054"/>
    <w:rsid w:val="005F2147"/>
    <w:rsid w:val="00607AD9"/>
    <w:rsid w:val="006161CC"/>
    <w:rsid w:val="006208D1"/>
    <w:rsid w:val="00631270"/>
    <w:rsid w:val="00632A57"/>
    <w:rsid w:val="00633009"/>
    <w:rsid w:val="00637648"/>
    <w:rsid w:val="006406A1"/>
    <w:rsid w:val="00641737"/>
    <w:rsid w:val="00670EBE"/>
    <w:rsid w:val="00673FE8"/>
    <w:rsid w:val="0068517A"/>
    <w:rsid w:val="00686F8E"/>
    <w:rsid w:val="006B40E7"/>
    <w:rsid w:val="006C204F"/>
    <w:rsid w:val="006D4F6B"/>
    <w:rsid w:val="006E1542"/>
    <w:rsid w:val="006F3B40"/>
    <w:rsid w:val="00723C9A"/>
    <w:rsid w:val="00731456"/>
    <w:rsid w:val="00737316"/>
    <w:rsid w:val="00740097"/>
    <w:rsid w:val="00741D1E"/>
    <w:rsid w:val="00753A7D"/>
    <w:rsid w:val="007556B4"/>
    <w:rsid w:val="00771A80"/>
    <w:rsid w:val="00771E2A"/>
    <w:rsid w:val="00777EC5"/>
    <w:rsid w:val="00783883"/>
    <w:rsid w:val="007A4351"/>
    <w:rsid w:val="007B0162"/>
    <w:rsid w:val="007B6FAC"/>
    <w:rsid w:val="007D0403"/>
    <w:rsid w:val="007D6819"/>
    <w:rsid w:val="007F2862"/>
    <w:rsid w:val="007F45B3"/>
    <w:rsid w:val="0080215B"/>
    <w:rsid w:val="00812E24"/>
    <w:rsid w:val="008463B5"/>
    <w:rsid w:val="00852B8D"/>
    <w:rsid w:val="00853D1B"/>
    <w:rsid w:val="0087183F"/>
    <w:rsid w:val="008719F7"/>
    <w:rsid w:val="0087744B"/>
    <w:rsid w:val="00881D4E"/>
    <w:rsid w:val="00891ADE"/>
    <w:rsid w:val="008B1034"/>
    <w:rsid w:val="008B364B"/>
    <w:rsid w:val="008C19E9"/>
    <w:rsid w:val="008C72B3"/>
    <w:rsid w:val="008D0B79"/>
    <w:rsid w:val="008D2DA5"/>
    <w:rsid w:val="008D5900"/>
    <w:rsid w:val="008E1B88"/>
    <w:rsid w:val="008F6CE3"/>
    <w:rsid w:val="00913F96"/>
    <w:rsid w:val="00942B50"/>
    <w:rsid w:val="00950AA4"/>
    <w:rsid w:val="009537F1"/>
    <w:rsid w:val="00962571"/>
    <w:rsid w:val="009719D3"/>
    <w:rsid w:val="0097489B"/>
    <w:rsid w:val="00983E79"/>
    <w:rsid w:val="00994239"/>
    <w:rsid w:val="00996648"/>
    <w:rsid w:val="009A0C05"/>
    <w:rsid w:val="009D78EA"/>
    <w:rsid w:val="009E474B"/>
    <w:rsid w:val="009F0CB0"/>
    <w:rsid w:val="009F2EB5"/>
    <w:rsid w:val="00A1632F"/>
    <w:rsid w:val="00A61BDA"/>
    <w:rsid w:val="00A63C3B"/>
    <w:rsid w:val="00A64CE5"/>
    <w:rsid w:val="00A805C7"/>
    <w:rsid w:val="00A80E9A"/>
    <w:rsid w:val="00A810B9"/>
    <w:rsid w:val="00AC2352"/>
    <w:rsid w:val="00AC3CC6"/>
    <w:rsid w:val="00AD73F0"/>
    <w:rsid w:val="00AE3490"/>
    <w:rsid w:val="00AE5857"/>
    <w:rsid w:val="00AF3E35"/>
    <w:rsid w:val="00B125DB"/>
    <w:rsid w:val="00B26B46"/>
    <w:rsid w:val="00B35416"/>
    <w:rsid w:val="00B43906"/>
    <w:rsid w:val="00B43CF1"/>
    <w:rsid w:val="00B55B47"/>
    <w:rsid w:val="00B56D9C"/>
    <w:rsid w:val="00B620CD"/>
    <w:rsid w:val="00B81B09"/>
    <w:rsid w:val="00B82219"/>
    <w:rsid w:val="00BA4562"/>
    <w:rsid w:val="00BA6755"/>
    <w:rsid w:val="00BB5E2A"/>
    <w:rsid w:val="00C100A6"/>
    <w:rsid w:val="00C11AC8"/>
    <w:rsid w:val="00C12B0B"/>
    <w:rsid w:val="00C40571"/>
    <w:rsid w:val="00C4573F"/>
    <w:rsid w:val="00C52E06"/>
    <w:rsid w:val="00C5442A"/>
    <w:rsid w:val="00C653EF"/>
    <w:rsid w:val="00C6623B"/>
    <w:rsid w:val="00C92A69"/>
    <w:rsid w:val="00CA2874"/>
    <w:rsid w:val="00CB18A5"/>
    <w:rsid w:val="00CC1E3A"/>
    <w:rsid w:val="00CD16FF"/>
    <w:rsid w:val="00CF4845"/>
    <w:rsid w:val="00D12309"/>
    <w:rsid w:val="00D22D07"/>
    <w:rsid w:val="00D4584A"/>
    <w:rsid w:val="00D46B2D"/>
    <w:rsid w:val="00D526FC"/>
    <w:rsid w:val="00D561D2"/>
    <w:rsid w:val="00D60083"/>
    <w:rsid w:val="00D75EFF"/>
    <w:rsid w:val="00D84A64"/>
    <w:rsid w:val="00D950C7"/>
    <w:rsid w:val="00DA2F5C"/>
    <w:rsid w:val="00DA3C03"/>
    <w:rsid w:val="00DC66D9"/>
    <w:rsid w:val="00DD5CB3"/>
    <w:rsid w:val="00DE231E"/>
    <w:rsid w:val="00DE7BC2"/>
    <w:rsid w:val="00DF09E1"/>
    <w:rsid w:val="00E12EAB"/>
    <w:rsid w:val="00E356C4"/>
    <w:rsid w:val="00E45A37"/>
    <w:rsid w:val="00E468BF"/>
    <w:rsid w:val="00E72CA4"/>
    <w:rsid w:val="00E8304E"/>
    <w:rsid w:val="00EA1516"/>
    <w:rsid w:val="00EA3BAB"/>
    <w:rsid w:val="00EA3E5F"/>
    <w:rsid w:val="00EB287B"/>
    <w:rsid w:val="00EB36E0"/>
    <w:rsid w:val="00EC18FB"/>
    <w:rsid w:val="00F101D0"/>
    <w:rsid w:val="00F124C6"/>
    <w:rsid w:val="00F23AC7"/>
    <w:rsid w:val="00F34951"/>
    <w:rsid w:val="00F374C5"/>
    <w:rsid w:val="00F53B9C"/>
    <w:rsid w:val="00F54AF1"/>
    <w:rsid w:val="00F72442"/>
    <w:rsid w:val="00F816E1"/>
    <w:rsid w:val="00F841A7"/>
    <w:rsid w:val="00F91150"/>
    <w:rsid w:val="00F95E16"/>
    <w:rsid w:val="00FB2C1E"/>
    <w:rsid w:val="00FD064F"/>
    <w:rsid w:val="00FD2937"/>
    <w:rsid w:val="00FD464B"/>
    <w:rsid w:val="00FE4B26"/>
    <w:rsid w:val="00FE7766"/>
    <w:rsid w:val="02C82723"/>
    <w:rsid w:val="032026FC"/>
    <w:rsid w:val="044F77E8"/>
    <w:rsid w:val="05A87838"/>
    <w:rsid w:val="08952EB2"/>
    <w:rsid w:val="12A675AC"/>
    <w:rsid w:val="17027720"/>
    <w:rsid w:val="20CC74C7"/>
    <w:rsid w:val="226C6C98"/>
    <w:rsid w:val="25023005"/>
    <w:rsid w:val="2A8A3618"/>
    <w:rsid w:val="2DA36009"/>
    <w:rsid w:val="301B7663"/>
    <w:rsid w:val="444E20BB"/>
    <w:rsid w:val="4A667BDA"/>
    <w:rsid w:val="4ABC47A0"/>
    <w:rsid w:val="565A3331"/>
    <w:rsid w:val="59271B2E"/>
    <w:rsid w:val="5C5F137A"/>
    <w:rsid w:val="5C704DC1"/>
    <w:rsid w:val="5DE56831"/>
    <w:rsid w:val="5E0C0A90"/>
    <w:rsid w:val="66E504FA"/>
    <w:rsid w:val="6A5E24FD"/>
    <w:rsid w:val="6A6C5483"/>
    <w:rsid w:val="760600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ody Text"/>
    <w:basedOn w:val="1"/>
    <w:uiPriority w:val="0"/>
    <w:pPr>
      <w:spacing w:before="156" w:beforeLines="50" w:after="156" w:afterLines="50"/>
      <w:jc w:val="center"/>
    </w:pPr>
    <w:rPr>
      <w:rFonts w:ascii="宋体" w:hAnsi="宋体"/>
      <w:sz w:val="24"/>
    </w:rPr>
  </w:style>
  <w:style w:type="paragraph" w:styleId="4">
    <w:name w:val="Body Text Indent"/>
    <w:basedOn w:val="1"/>
    <w:uiPriority w:val="0"/>
    <w:pPr>
      <w:ind w:firstLine="461" w:firstLineChars="192"/>
    </w:pPr>
    <w:rPr>
      <w:rFonts w:ascii="宋体" w:hAnsi="宋体"/>
      <w:sz w:val="24"/>
    </w:rPr>
  </w:style>
  <w:style w:type="paragraph" w:styleId="5">
    <w:name w:val="Block Text"/>
    <w:basedOn w:val="1"/>
    <w:uiPriority w:val="0"/>
    <w:pPr>
      <w:spacing w:line="360" w:lineRule="auto"/>
      <w:ind w:left="420" w:right="250"/>
    </w:pPr>
    <w:rPr>
      <w:rFonts w:ascii="宋体" w:hAnsi="宋体"/>
      <w:sz w:val="24"/>
    </w:rPr>
  </w:style>
  <w:style w:type="paragraph" w:styleId="6">
    <w:name w:val="Date"/>
    <w:basedOn w:val="1"/>
    <w:next w:val="1"/>
    <w:uiPriority w:val="0"/>
    <w:pPr>
      <w:ind w:left="100" w:leftChars="2500"/>
    </w:pPr>
    <w:rPr>
      <w:rFonts w:ascii="宋体" w:hAnsi="宋体"/>
      <w:sz w:val="24"/>
    </w:rPr>
  </w:style>
  <w:style w:type="paragraph" w:styleId="7">
    <w:name w:val="Body Text Indent 2"/>
    <w:basedOn w:val="1"/>
    <w:uiPriority w:val="0"/>
    <w:pPr>
      <w:tabs>
        <w:tab w:val="left" w:pos="1080"/>
      </w:tabs>
      <w:spacing w:line="360" w:lineRule="auto"/>
      <w:ind w:firstLine="540" w:firstLineChars="225"/>
    </w:pPr>
    <w:rPr>
      <w:rFonts w:ascii="宋体" w:hAnsi="宋体"/>
      <w:sz w:val="24"/>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360" w:lineRule="auto"/>
      <w:ind w:right="249" w:firstLine="511" w:firstLineChars="213"/>
    </w:pPr>
    <w:rPr>
      <w:rFonts w:ascii="宋体" w:hAnsi="宋体"/>
      <w:sz w:val="24"/>
    </w:rPr>
  </w:style>
  <w:style w:type="paragraph" w:styleId="12">
    <w:name w:val="annotation subject"/>
    <w:basedOn w:val="2"/>
    <w:next w:val="2"/>
    <w:link w:val="19"/>
    <w:uiPriority w:val="0"/>
    <w:rPr>
      <w:b/>
      <w:bCs/>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ascii="Times New Roman" w:hAnsi="Times New Roman" w:eastAsia="宋体" w:cs="Times New Roman"/>
    </w:rPr>
  </w:style>
  <w:style w:type="character" w:styleId="17">
    <w:name w:val="annotation reference"/>
    <w:uiPriority w:val="0"/>
    <w:rPr>
      <w:rFonts w:ascii="Times New Roman" w:hAnsi="Times New Roman" w:eastAsia="宋体" w:cs="Times New Roman"/>
      <w:sz w:val="21"/>
      <w:szCs w:val="21"/>
    </w:rPr>
  </w:style>
  <w:style w:type="character" w:customStyle="1" w:styleId="18">
    <w:name w:val="批注文字 字符"/>
    <w:link w:val="2"/>
    <w:uiPriority w:val="0"/>
    <w:rPr>
      <w:rFonts w:ascii="Times New Roman" w:hAnsi="Times New Roman" w:eastAsia="宋体" w:cs="Times New Roman"/>
      <w:kern w:val="2"/>
      <w:sz w:val="21"/>
      <w:szCs w:val="24"/>
    </w:rPr>
  </w:style>
  <w:style w:type="character" w:customStyle="1" w:styleId="19">
    <w:name w:val="批注主题 字符"/>
    <w:link w:val="12"/>
    <w:uiPriority w:val="0"/>
    <w:rPr>
      <w:rFonts w:ascii="Times New Roman" w:hAnsi="Times New Roman" w:eastAsia="宋体" w:cs="Times New Roman"/>
      <w:b/>
      <w:bCs/>
      <w:kern w:val="2"/>
      <w:sz w:val="21"/>
      <w:szCs w:val="24"/>
    </w:rPr>
  </w:style>
  <w:style w:type="character" w:customStyle="1" w:styleId="20">
    <w:name w:val="font391"/>
    <w:uiPriority w:val="0"/>
    <w:rPr>
      <w:rFonts w:hint="eastAsia" w:ascii="宋体" w:hAnsi="宋体" w:eastAsia="宋体" w:cs="Times New Roman"/>
      <w:color w:val="FF0000"/>
      <w:sz w:val="22"/>
      <w:szCs w:val="22"/>
      <w:u w:val="none"/>
    </w:rPr>
  </w:style>
  <w:style w:type="paragraph" w:styleId="21">
    <w:name w:val="List Paragraph"/>
    <w:basedOn w:val="1"/>
    <w:qFormat/>
    <w:uiPriority w:val="0"/>
    <w:pPr>
      <w:ind w:firstLine="420"/>
    </w:pPr>
    <w:rPr>
      <w:rFonts w:ascii="Calibri" w:hAnsi="Calibri"/>
      <w:szCs w:val="22"/>
    </w:rPr>
  </w:style>
  <w:style w:type="paragraph" w:customStyle="1" w:styleId="22">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368</Words>
  <Characters>2100</Characters>
  <Lines>17</Lines>
  <Paragraphs>4</Paragraphs>
  <TotalTime>41</TotalTime>
  <ScaleCrop>false</ScaleCrop>
  <LinksUpToDate>false</LinksUpToDate>
  <CharactersWithSpaces>2464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2021-08-21T03:31:00Z</dcterms:created>
  <dc:creator>Administrator</dc:creator>
  <cp:lastModifiedBy>Jzz</cp:lastModifiedBy>
  <cp:lastPrinted>2017-05-04T03:24:00Z</cp:lastPrinted>
  <dcterms:modified xsi:type="dcterms:W3CDTF">2021-08-22T08:29:27Z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3271EDA4F94E4B9BB68823B62B053A1E</vt:lpwstr>
  </property>
</Properties>
</file>