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30"/>
        </w:tabs>
        <w:spacing w:after="146" w:afterLines="61"/>
        <w:jc w:val="center"/>
        <w:rPr>
          <w:rFonts w:ascii="宋体" w:hAnsi="宋体"/>
          <w:b/>
          <w:sz w:val="28"/>
          <w:szCs w:val="28"/>
        </w:rPr>
      </w:pPr>
      <w:bookmarkStart w:id="0" w:name="OLE_LINK2"/>
      <w:r>
        <w:rPr>
          <w:rFonts w:hint="eastAsia" w:ascii="宋体" w:hAnsi="宋体" w:cs="Arial"/>
          <w:b/>
          <w:bCs/>
          <w:color w:val="000000"/>
          <w:kern w:val="0"/>
          <w:sz w:val="28"/>
          <w:szCs w:val="28"/>
        </w:rPr>
        <w:t>汕头大学医学院博士后、人才引进宿舍家具配套项目</w:t>
      </w:r>
      <w:r>
        <w:rPr>
          <w:rFonts w:ascii="宋体" w:hAnsi="宋体" w:cs="Arial"/>
          <w:b/>
          <w:bCs/>
          <w:color w:val="000000"/>
          <w:kern w:val="0"/>
          <w:sz w:val="28"/>
          <w:szCs w:val="28"/>
        </w:rPr>
        <w:t>招标</w:t>
      </w:r>
      <w:r>
        <w:rPr>
          <w:rFonts w:hint="eastAsia" w:ascii="宋体" w:hAnsi="宋体"/>
          <w:b/>
          <w:sz w:val="28"/>
          <w:szCs w:val="28"/>
        </w:rPr>
        <w:t>书</w:t>
      </w:r>
    </w:p>
    <w:bookmarkEnd w:id="0"/>
    <w:p>
      <w:pPr>
        <w:pStyle w:val="4"/>
        <w:spacing w:line="360" w:lineRule="auto"/>
        <w:ind w:firstLine="480" w:firstLineChars="200"/>
      </w:pPr>
      <w:r>
        <w:rPr>
          <w:rFonts w:hint="eastAsia"/>
        </w:rPr>
        <w:t>汕头大学医学院博士后、人才引进宿舍家具配套项目，现对外公开招投标，确定采购商家并按有关规定负责采购家具。为明确招投标内容及职责，特编制本招标书。</w:t>
      </w:r>
    </w:p>
    <w:p>
      <w:pPr>
        <w:numPr>
          <w:ilvl w:val="0"/>
          <w:numId w:val="1"/>
        </w:numPr>
        <w:spacing w:line="360" w:lineRule="auto"/>
        <w:ind w:left="1638" w:hanging="1111"/>
        <w:rPr>
          <w:rFonts w:ascii="宋体" w:hAnsi="宋体"/>
          <w:b/>
          <w:sz w:val="24"/>
        </w:rPr>
      </w:pPr>
      <w:r>
        <w:rPr>
          <w:rFonts w:hint="eastAsia" w:ascii="宋体" w:hAnsi="宋体"/>
          <w:b/>
          <w:sz w:val="24"/>
        </w:rPr>
        <w:t>招标项目情况</w:t>
      </w:r>
    </w:p>
    <w:p>
      <w:pPr>
        <w:numPr>
          <w:ilvl w:val="-1"/>
          <w:numId w:val="0"/>
        </w:numPr>
        <w:spacing w:line="360" w:lineRule="auto"/>
        <w:ind w:left="527" w:firstLine="0"/>
        <w:rPr>
          <w:sz w:val="24"/>
        </w:rPr>
      </w:pPr>
      <w:r>
        <w:rPr>
          <w:rFonts w:hint="eastAsia" w:ascii="宋体" w:hAnsi="宋体"/>
          <w:sz w:val="24"/>
        </w:rPr>
        <w:t>工程概况</w:t>
      </w:r>
    </w:p>
    <w:tbl>
      <w:tblPr>
        <w:tblStyle w:val="13"/>
        <w:tblW w:w="9918" w:type="dxa"/>
        <w:jc w:val="center"/>
        <w:tblLayout w:type="fixed"/>
        <w:tblCellMar>
          <w:top w:w="0" w:type="dxa"/>
          <w:left w:w="108" w:type="dxa"/>
          <w:bottom w:w="0" w:type="dxa"/>
          <w:right w:w="108" w:type="dxa"/>
        </w:tblCellMar>
      </w:tblPr>
      <w:tblGrid>
        <w:gridCol w:w="1395"/>
        <w:gridCol w:w="8523"/>
      </w:tblGrid>
      <w:tr>
        <w:tblPrEx>
          <w:tblCellMar>
            <w:top w:w="0" w:type="dxa"/>
            <w:left w:w="108" w:type="dxa"/>
            <w:bottom w:w="0" w:type="dxa"/>
            <w:right w:w="108" w:type="dxa"/>
          </w:tblCellMar>
        </w:tblPrEx>
        <w:trPr>
          <w:cantSplit/>
          <w:jc w:val="center"/>
        </w:trPr>
        <w:tc>
          <w:tcPr>
            <w:tcW w:w="1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4"/>
              </w:rPr>
            </w:pPr>
            <w:r>
              <w:rPr>
                <w:rFonts w:hint="eastAsia"/>
                <w:sz w:val="24"/>
              </w:rPr>
              <w:t>工程名称：</w:t>
            </w:r>
          </w:p>
        </w:tc>
        <w:tc>
          <w:tcPr>
            <w:tcW w:w="8523" w:type="dxa"/>
            <w:tcBorders>
              <w:top w:val="single" w:color="auto" w:sz="4" w:space="0"/>
              <w:left w:val="single" w:color="auto" w:sz="4" w:space="0"/>
              <w:bottom w:val="single" w:color="auto" w:sz="4" w:space="0"/>
              <w:right w:val="single" w:color="auto" w:sz="4" w:space="0"/>
            </w:tcBorders>
          </w:tcPr>
          <w:p>
            <w:pPr>
              <w:pStyle w:val="4"/>
              <w:spacing w:line="360" w:lineRule="auto"/>
              <w:ind w:firstLine="0" w:firstLineChars="0"/>
              <w:jc w:val="left"/>
            </w:pPr>
            <w:r>
              <w:rPr>
                <w:rFonts w:hint="eastAsia"/>
              </w:rPr>
              <w:t>汕头大学医学院博士后、人才引进宿舍家具配套项目</w:t>
            </w:r>
          </w:p>
        </w:tc>
      </w:tr>
      <w:tr>
        <w:tblPrEx>
          <w:tblCellMar>
            <w:top w:w="0" w:type="dxa"/>
            <w:left w:w="108" w:type="dxa"/>
            <w:bottom w:w="0" w:type="dxa"/>
            <w:right w:w="108" w:type="dxa"/>
          </w:tblCellMar>
        </w:tblPrEx>
        <w:trPr>
          <w:cantSplit/>
          <w:jc w:val="center"/>
        </w:trPr>
        <w:tc>
          <w:tcPr>
            <w:tcW w:w="1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4"/>
              </w:rPr>
            </w:pPr>
            <w:r>
              <w:rPr>
                <w:rFonts w:hint="eastAsia"/>
                <w:sz w:val="24"/>
              </w:rPr>
              <w:t>工程地点：</w:t>
            </w:r>
          </w:p>
        </w:tc>
        <w:tc>
          <w:tcPr>
            <w:tcW w:w="8523" w:type="dxa"/>
            <w:tcBorders>
              <w:top w:val="single" w:color="auto" w:sz="4" w:space="0"/>
              <w:left w:val="single" w:color="auto" w:sz="4" w:space="0"/>
              <w:bottom w:val="single" w:color="auto" w:sz="4" w:space="0"/>
              <w:right w:val="single" w:color="auto" w:sz="4" w:space="0"/>
            </w:tcBorders>
          </w:tcPr>
          <w:p>
            <w:pPr>
              <w:pStyle w:val="4"/>
              <w:spacing w:line="360" w:lineRule="auto"/>
              <w:ind w:firstLine="0" w:firstLineChars="0"/>
              <w:jc w:val="left"/>
            </w:pPr>
            <w:r>
              <w:rPr>
                <w:rFonts w:hint="eastAsia"/>
              </w:rPr>
              <w:t>汕头大学医学院内各宿舍、汕大花园宿舍</w:t>
            </w:r>
          </w:p>
        </w:tc>
      </w:tr>
      <w:tr>
        <w:tblPrEx>
          <w:tblCellMar>
            <w:top w:w="0" w:type="dxa"/>
            <w:left w:w="108" w:type="dxa"/>
            <w:bottom w:w="0" w:type="dxa"/>
            <w:right w:w="108" w:type="dxa"/>
          </w:tblCellMar>
        </w:tblPrEx>
        <w:trPr>
          <w:cantSplit/>
          <w:jc w:val="center"/>
        </w:trPr>
        <w:tc>
          <w:tcPr>
            <w:tcW w:w="1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 w:val="24"/>
              </w:rPr>
            </w:pPr>
            <w:r>
              <w:rPr>
                <w:rFonts w:hint="eastAsia" w:ascii="宋体" w:hAnsi="宋体"/>
                <w:sz w:val="24"/>
              </w:rPr>
              <w:t>工期要求：</w:t>
            </w:r>
          </w:p>
        </w:tc>
        <w:tc>
          <w:tcPr>
            <w:tcW w:w="8523" w:type="dxa"/>
            <w:tcBorders>
              <w:top w:val="single" w:color="auto" w:sz="4" w:space="0"/>
              <w:left w:val="single" w:color="auto" w:sz="4" w:space="0"/>
              <w:bottom w:val="single" w:color="auto" w:sz="4" w:space="0"/>
              <w:right w:val="single" w:color="auto" w:sz="4" w:space="0"/>
            </w:tcBorders>
          </w:tcPr>
          <w:p>
            <w:pPr>
              <w:pStyle w:val="4"/>
              <w:spacing w:line="360" w:lineRule="auto"/>
              <w:ind w:firstLine="0" w:firstLineChars="0"/>
              <w:jc w:val="left"/>
            </w:pPr>
            <w:r>
              <w:rPr>
                <w:rFonts w:hint="eastAsia"/>
              </w:rPr>
              <w:t>工期为</w:t>
            </w:r>
            <w:r>
              <w:t>20</w:t>
            </w:r>
            <w:r>
              <w:rPr>
                <w:rFonts w:hint="eastAsia"/>
              </w:rPr>
              <w:t>个日历天，即从合同签订之日起至工程竣工（包括竣工验收时间）。</w:t>
            </w:r>
          </w:p>
        </w:tc>
      </w:tr>
    </w:tbl>
    <w:p>
      <w:pPr>
        <w:numPr>
          <w:ilvl w:val="0"/>
          <w:numId w:val="1"/>
        </w:numPr>
        <w:spacing w:line="360" w:lineRule="auto"/>
        <w:ind w:left="1638" w:hanging="1111"/>
        <w:rPr>
          <w:rFonts w:ascii="宋体" w:hAnsi="宋体"/>
          <w:b/>
          <w:sz w:val="24"/>
        </w:rPr>
      </w:pPr>
      <w:r>
        <w:rPr>
          <w:rFonts w:hint="eastAsia" w:ascii="宋体" w:hAnsi="宋体"/>
          <w:b/>
          <w:sz w:val="24"/>
        </w:rPr>
        <w:t>投标日程安排</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3296"/>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4"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内容</w:t>
            </w:r>
          </w:p>
        </w:tc>
        <w:tc>
          <w:tcPr>
            <w:tcW w:w="3296"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时间</w:t>
            </w:r>
          </w:p>
        </w:tc>
        <w:tc>
          <w:tcPr>
            <w:tcW w:w="3738"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4"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回标截止日期</w:t>
            </w:r>
          </w:p>
        </w:tc>
        <w:tc>
          <w:tcPr>
            <w:tcW w:w="3296" w:type="dxa"/>
          </w:tcPr>
          <w:p>
            <w:pPr>
              <w:tabs>
                <w:tab w:val="left" w:pos="1080"/>
              </w:tabs>
              <w:adjustRightInd w:val="0"/>
              <w:snapToGrid w:val="0"/>
              <w:spacing w:line="360" w:lineRule="auto"/>
              <w:jc w:val="center"/>
              <w:rPr>
                <w:rFonts w:ascii="宋体" w:hAnsi="宋体"/>
                <w:sz w:val="24"/>
              </w:rPr>
            </w:pPr>
            <w:r>
              <w:rPr>
                <w:rFonts w:hint="eastAsia" w:ascii="宋体" w:hAnsi="宋体"/>
                <w:sz w:val="24"/>
              </w:rPr>
              <w:t>2021年</w:t>
            </w:r>
            <w:r>
              <w:rPr>
                <w:rFonts w:ascii="宋体" w:hAnsi="宋体"/>
                <w:sz w:val="24"/>
              </w:rPr>
              <w:t>8</w:t>
            </w:r>
            <w:r>
              <w:rPr>
                <w:rFonts w:hint="eastAsia" w:ascii="宋体" w:hAnsi="宋体"/>
                <w:sz w:val="24"/>
              </w:rPr>
              <w:t>月</w:t>
            </w:r>
            <w:r>
              <w:rPr>
                <w:rFonts w:ascii="宋体" w:hAnsi="宋体"/>
                <w:sz w:val="24"/>
              </w:rPr>
              <w:t>30</w:t>
            </w:r>
            <w:r>
              <w:rPr>
                <w:rFonts w:hint="eastAsia" w:ascii="宋体" w:hAnsi="宋体"/>
                <w:sz w:val="24"/>
              </w:rPr>
              <w:t>日下午17:00</w:t>
            </w:r>
          </w:p>
        </w:tc>
        <w:tc>
          <w:tcPr>
            <w:tcW w:w="3738" w:type="dxa"/>
          </w:tcPr>
          <w:p>
            <w:pPr>
              <w:tabs>
                <w:tab w:val="left" w:pos="1080"/>
              </w:tabs>
              <w:adjustRightInd w:val="0"/>
              <w:snapToGrid w:val="0"/>
              <w:spacing w:line="360" w:lineRule="auto"/>
              <w:jc w:val="center"/>
              <w:rPr>
                <w:rFonts w:ascii="宋体" w:hAnsi="宋体"/>
                <w:sz w:val="24"/>
              </w:rPr>
            </w:pPr>
            <w:r>
              <w:rPr>
                <w:rFonts w:hint="eastAsia" w:ascii="宋体" w:hAnsi="宋体"/>
                <w:sz w:val="24"/>
              </w:rPr>
              <w:t>行政科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8" w:type="dxa"/>
            <w:gridSpan w:val="3"/>
            <w:vAlign w:val="center"/>
          </w:tcPr>
          <w:p>
            <w:pPr>
              <w:tabs>
                <w:tab w:val="left" w:pos="1080"/>
              </w:tabs>
              <w:adjustRightInd w:val="0"/>
              <w:snapToGrid w:val="0"/>
              <w:spacing w:line="360" w:lineRule="auto"/>
              <w:rPr>
                <w:rFonts w:ascii="宋体" w:hAnsi="宋体"/>
              </w:rPr>
            </w:pPr>
            <w:r>
              <w:rPr>
                <w:rFonts w:hint="eastAsia" w:ascii="宋体" w:hAnsi="宋体"/>
              </w:rPr>
              <w:t>注意：投标单位领取招标文件时必须留下公司地址、联系人、电话、传真、电子邮箱等，以便答疑结果书面传真发送和联系。</w:t>
            </w:r>
          </w:p>
        </w:tc>
      </w:tr>
    </w:tbl>
    <w:p>
      <w:pPr>
        <w:pStyle w:val="4"/>
        <w:spacing w:line="360" w:lineRule="auto"/>
      </w:pPr>
      <w:r>
        <w:rPr>
          <w:rFonts w:hint="eastAsia"/>
        </w:rPr>
        <w:t>回标文件应予封存并盖章。</w:t>
      </w:r>
    </w:p>
    <w:p>
      <w:pPr>
        <w:numPr>
          <w:ilvl w:val="0"/>
          <w:numId w:val="1"/>
        </w:numPr>
        <w:spacing w:line="360" w:lineRule="auto"/>
        <w:ind w:left="1638" w:hanging="1111"/>
        <w:rPr>
          <w:rFonts w:ascii="宋体" w:hAnsi="宋体"/>
          <w:b/>
          <w:sz w:val="24"/>
        </w:rPr>
      </w:pPr>
      <w:bookmarkStart w:id="1" w:name="_Hlk80431259"/>
      <w:r>
        <w:rPr>
          <w:rFonts w:hint="eastAsia" w:ascii="宋体" w:hAnsi="宋体"/>
          <w:b/>
          <w:sz w:val="24"/>
        </w:rPr>
        <w:t>工程内容和投标报价</w:t>
      </w:r>
    </w:p>
    <w:bookmarkEnd w:id="1"/>
    <w:p>
      <w:pPr>
        <w:numPr>
          <w:ilvl w:val="2"/>
          <w:numId w:val="1"/>
        </w:numPr>
        <w:tabs>
          <w:tab w:val="left" w:pos="861"/>
          <w:tab w:val="left" w:pos="1080"/>
        </w:tabs>
        <w:spacing w:line="360" w:lineRule="auto"/>
        <w:ind w:left="0" w:firstLine="360"/>
        <w:rPr>
          <w:rFonts w:ascii="宋体" w:hAnsi="宋体"/>
          <w:b/>
          <w:bCs/>
          <w:sz w:val="24"/>
        </w:rPr>
      </w:pPr>
      <w:bookmarkStart w:id="2" w:name="_Hlk80430901"/>
      <w:r>
        <w:rPr>
          <w:rFonts w:hint="eastAsia" w:ascii="宋体" w:hAnsi="宋体"/>
          <w:b/>
          <w:bCs/>
          <w:sz w:val="24"/>
        </w:rPr>
        <w:t>工程内容：因旧宿舍场地复杂，需按甲方（招标方，下同）要求勘查现场后填写</w:t>
      </w:r>
      <w:bookmarkStart w:id="3" w:name="_Hlk80457022"/>
      <w:r>
        <w:rPr>
          <w:rFonts w:hint="eastAsia" w:ascii="宋体" w:hAnsi="宋体"/>
          <w:b/>
          <w:bCs/>
          <w:sz w:val="24"/>
        </w:rPr>
        <w:t>投标报价表</w:t>
      </w:r>
      <w:bookmarkEnd w:id="3"/>
      <w:r>
        <w:rPr>
          <w:rFonts w:hint="eastAsia" w:ascii="宋体" w:hAnsi="宋体"/>
          <w:b/>
          <w:bCs/>
          <w:sz w:val="24"/>
        </w:rPr>
        <w:t xml:space="preserve">。 </w:t>
      </w:r>
    </w:p>
    <w:p>
      <w:pPr>
        <w:numPr>
          <w:ilvl w:val="2"/>
          <w:numId w:val="1"/>
        </w:numPr>
        <w:tabs>
          <w:tab w:val="left" w:pos="861"/>
          <w:tab w:val="left" w:pos="1080"/>
        </w:tabs>
        <w:spacing w:line="360" w:lineRule="auto"/>
        <w:ind w:left="0" w:firstLine="360"/>
        <w:rPr>
          <w:b/>
          <w:bCs/>
          <w:sz w:val="24"/>
        </w:rPr>
      </w:pPr>
      <w:r>
        <w:rPr>
          <w:rFonts w:hint="eastAsia" w:ascii="宋体" w:hAnsi="宋体"/>
          <w:b/>
          <w:bCs/>
          <w:sz w:val="24"/>
        </w:rPr>
        <w:t>投标报价：</w:t>
      </w:r>
      <w:r>
        <w:rPr>
          <w:rFonts w:hint="eastAsia"/>
          <w:b/>
          <w:bCs/>
          <w:sz w:val="24"/>
        </w:rPr>
        <w:t>招标公告预算价为</w:t>
      </w:r>
      <w:r>
        <w:rPr>
          <w:rFonts w:ascii="Arial" w:hAnsi="Arial" w:cs="Arial"/>
          <w:b/>
          <w:bCs/>
          <w:sz w:val="24"/>
        </w:rPr>
        <w:t>招标控制价</w:t>
      </w:r>
      <w:r>
        <w:rPr>
          <w:rFonts w:hint="eastAsia"/>
          <w:b/>
          <w:bCs/>
          <w:sz w:val="24"/>
        </w:rPr>
        <w:t>；</w:t>
      </w:r>
      <w:r>
        <w:rPr>
          <w:rFonts w:hint="eastAsia" w:ascii="宋体" w:hAnsi="宋体"/>
          <w:b/>
          <w:bCs/>
          <w:sz w:val="24"/>
        </w:rPr>
        <w:t>根据提供</w:t>
      </w:r>
      <w:r>
        <w:rPr>
          <w:rFonts w:ascii="宋体" w:hAnsi="宋体"/>
          <w:b/>
          <w:bCs/>
          <w:sz w:val="24"/>
        </w:rPr>
        <w:t>报价表格式按</w:t>
      </w:r>
      <w:r>
        <w:rPr>
          <w:rFonts w:hint="eastAsia" w:ascii="宋体" w:hAnsi="宋体"/>
          <w:b/>
          <w:bCs/>
          <w:sz w:val="24"/>
        </w:rPr>
        <w:t>市场价自行填写投标报价表</w:t>
      </w:r>
      <w:r>
        <w:rPr>
          <w:rFonts w:ascii="宋体" w:hAnsi="宋体"/>
          <w:b/>
          <w:bCs/>
          <w:sz w:val="24"/>
        </w:rPr>
        <w:t>（见附件</w:t>
      </w:r>
      <w:r>
        <w:rPr>
          <w:rFonts w:hint="eastAsia" w:ascii="宋体" w:hAnsi="宋体"/>
          <w:b/>
          <w:bCs/>
          <w:sz w:val="24"/>
        </w:rPr>
        <w:t>一</w:t>
      </w:r>
      <w:r>
        <w:rPr>
          <w:rFonts w:ascii="宋体" w:hAnsi="宋体"/>
          <w:b/>
          <w:bCs/>
          <w:sz w:val="24"/>
        </w:rPr>
        <w:t>）</w:t>
      </w:r>
      <w:r>
        <w:rPr>
          <w:rFonts w:hint="eastAsia" w:ascii="宋体" w:hAnsi="宋体"/>
          <w:b/>
          <w:bCs/>
          <w:sz w:val="24"/>
        </w:rPr>
        <w:t>，提供家具的具体图片尺寸及相关技术资料。投标报价应包括税管费、安装费、材料费</w:t>
      </w:r>
      <w:r>
        <w:rPr>
          <w:rFonts w:ascii="宋体" w:hAnsi="宋体"/>
          <w:b/>
          <w:bCs/>
          <w:sz w:val="24"/>
        </w:rPr>
        <w:t>、</w:t>
      </w:r>
      <w:r>
        <w:rPr>
          <w:rFonts w:hint="eastAsia" w:ascii="宋体" w:hAnsi="宋体"/>
          <w:b/>
          <w:bCs/>
          <w:sz w:val="24"/>
        </w:rPr>
        <w:t>运费等费用。中标单位应负计算上漏项及算术错误责任。</w:t>
      </w:r>
    </w:p>
    <w:bookmarkEnd w:id="2"/>
    <w:p>
      <w:pPr>
        <w:numPr>
          <w:ilvl w:val="0"/>
          <w:numId w:val="1"/>
        </w:numPr>
        <w:spacing w:line="360" w:lineRule="auto"/>
        <w:ind w:left="1638" w:hanging="1111"/>
        <w:rPr>
          <w:rFonts w:ascii="宋体" w:hAnsi="宋体"/>
          <w:b/>
          <w:sz w:val="24"/>
        </w:rPr>
      </w:pPr>
      <w:r>
        <w:rPr>
          <w:rFonts w:hint="eastAsia" w:ascii="宋体" w:hAnsi="宋体"/>
          <w:b/>
          <w:sz w:val="24"/>
        </w:rPr>
        <w:t>工程材料供应</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家具以绿色环保为基本材料制造</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所有材料（包括成品、配件）由中标单位自行采购。投标所采用的材料（包括成品、配件）价格均应为正品、国标优等品。中标单位材料（包括成品、配件）入场前应先送样品和说明书，经甲方认定才可成批采用。若现场发现与要求不符的材料、产品、配件，乙方（中标方，下同）应无条件给予调离现场，造成的一切损失费用概由乙方负责。</w:t>
      </w:r>
    </w:p>
    <w:p>
      <w:pPr>
        <w:numPr>
          <w:ilvl w:val="0"/>
          <w:numId w:val="1"/>
        </w:numPr>
        <w:spacing w:line="360" w:lineRule="auto"/>
        <w:ind w:left="1638" w:hanging="1111"/>
        <w:rPr>
          <w:rFonts w:ascii="宋体" w:hAnsi="宋体"/>
          <w:b/>
          <w:sz w:val="24"/>
        </w:rPr>
      </w:pPr>
      <w:r>
        <w:rPr>
          <w:rFonts w:hint="eastAsia" w:ascii="宋体" w:hAnsi="宋体"/>
          <w:b/>
          <w:sz w:val="24"/>
        </w:rPr>
        <w:t>工程质量及工期要求</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工程质量要求按现行的建筑、安装施工及行业验收规范和质量评定标准的规定进行施工及验收。</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工程质量应达到合格标准。若达不到合格标准不算竣工，施工单位必须返工至合格标准为止。其延误的工期责任、费用均由乙方负责。工期每延误一天将罚款500.00元。</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工期包括竣工验收时间，一经确定不得拖延，遇特殊情况需要顺延，须由建设单位签认。</w:t>
      </w:r>
    </w:p>
    <w:p>
      <w:pPr>
        <w:numPr>
          <w:ilvl w:val="0"/>
          <w:numId w:val="1"/>
        </w:numPr>
        <w:spacing w:line="360" w:lineRule="auto"/>
        <w:ind w:left="1638" w:hanging="1111"/>
        <w:rPr>
          <w:rFonts w:ascii="宋体" w:hAnsi="宋体"/>
          <w:b/>
          <w:sz w:val="24"/>
        </w:rPr>
      </w:pPr>
      <w:r>
        <w:rPr>
          <w:rFonts w:hint="eastAsia" w:ascii="宋体" w:hAnsi="宋体"/>
          <w:b/>
          <w:bCs/>
          <w:sz w:val="24"/>
        </w:rPr>
        <w:t>工期及工程保修期限要求</w:t>
      </w:r>
    </w:p>
    <w:p>
      <w:pPr>
        <w:tabs>
          <w:tab w:val="left" w:pos="515"/>
        </w:tabs>
        <w:spacing w:after="0" w:line="360" w:lineRule="auto"/>
        <w:ind w:right="0" w:firstLine="480" w:firstLineChars="200"/>
        <w:jc w:val="left"/>
        <w:rPr>
          <w:rFonts w:ascii="宋体" w:hAnsi="宋体"/>
          <w:sz w:val="24"/>
        </w:rPr>
      </w:pPr>
      <w:r>
        <w:rPr>
          <w:rFonts w:hint="eastAsia" w:ascii="宋体" w:hAnsi="宋体"/>
          <w:bCs/>
          <w:sz w:val="24"/>
        </w:rPr>
        <w:t>本项目总工期为</w:t>
      </w:r>
      <w:r>
        <w:rPr>
          <w:rFonts w:ascii="宋体" w:hAnsi="宋体"/>
          <w:bCs/>
          <w:sz w:val="24"/>
        </w:rPr>
        <w:t>20</w:t>
      </w:r>
      <w:r>
        <w:rPr>
          <w:rFonts w:hint="eastAsia" w:ascii="宋体" w:hAnsi="宋体"/>
          <w:bCs/>
          <w:sz w:val="24"/>
        </w:rPr>
        <w:t>天。</w:t>
      </w:r>
      <w:r>
        <w:rPr>
          <w:rFonts w:hint="eastAsia" w:ascii="宋体" w:hAnsi="宋体"/>
          <w:sz w:val="24"/>
        </w:rPr>
        <w:t>自</w:t>
      </w:r>
      <w:r>
        <w:rPr>
          <w:rFonts w:ascii="宋体" w:hAnsi="宋体"/>
          <w:sz w:val="24"/>
        </w:rPr>
        <w:t>开工</w:t>
      </w:r>
      <w:r>
        <w:rPr>
          <w:rFonts w:hint="eastAsia" w:ascii="宋体" w:hAnsi="宋体"/>
          <w:sz w:val="24"/>
        </w:rPr>
        <w:t>之日起</w:t>
      </w:r>
      <w:r>
        <w:rPr>
          <w:rFonts w:ascii="宋体" w:hAnsi="宋体"/>
          <w:bCs/>
          <w:sz w:val="24"/>
        </w:rPr>
        <w:t>20</w:t>
      </w:r>
      <w:r>
        <w:rPr>
          <w:rFonts w:hint="eastAsia" w:ascii="宋体" w:hAnsi="宋体"/>
          <w:sz w:val="24"/>
        </w:rPr>
        <w:t>天完成所有工程项目。包括深化图纸</w:t>
      </w:r>
      <w:r>
        <w:rPr>
          <w:rFonts w:hint="eastAsia" w:ascii="宋体" w:hAnsi="宋体"/>
          <w:sz w:val="24"/>
          <w:lang w:eastAsia="zh-TW"/>
        </w:rPr>
        <w:t>、</w:t>
      </w:r>
      <w:r>
        <w:rPr>
          <w:rFonts w:hint="eastAsia" w:ascii="宋体" w:hAnsi="宋体"/>
          <w:sz w:val="24"/>
        </w:rPr>
        <w:t>订购</w:t>
      </w:r>
      <w:r>
        <w:rPr>
          <w:rFonts w:hint="eastAsia" w:ascii="宋体" w:hAnsi="宋体"/>
          <w:sz w:val="24"/>
          <w:lang w:eastAsia="zh-TW"/>
        </w:rPr>
        <w:t>材料</w:t>
      </w:r>
      <w:r>
        <w:rPr>
          <w:rFonts w:hint="eastAsia" w:ascii="宋体" w:hAnsi="宋体"/>
          <w:sz w:val="24"/>
        </w:rPr>
        <w:t>及竣工验收等</w:t>
      </w:r>
      <w:r>
        <w:rPr>
          <w:rFonts w:hint="eastAsia" w:ascii="宋体" w:hAnsi="宋体"/>
          <w:sz w:val="24"/>
          <w:lang w:eastAsia="zh-TW"/>
        </w:rPr>
        <w:t>。</w:t>
      </w:r>
    </w:p>
    <w:p>
      <w:pPr>
        <w:spacing w:line="360" w:lineRule="auto"/>
        <w:ind w:firstLine="480" w:firstLineChars="200"/>
        <w:jc w:val="left"/>
        <w:rPr>
          <w:rFonts w:ascii="宋体" w:hAnsi="宋体"/>
          <w:b/>
          <w:sz w:val="24"/>
        </w:rPr>
      </w:pPr>
      <w:r>
        <w:rPr>
          <w:rFonts w:hint="eastAsia" w:ascii="宋体" w:hAnsi="宋体"/>
          <w:sz w:val="24"/>
        </w:rPr>
        <w:t>本工程的工程保修期为工程竣工验收合格之日起</w:t>
      </w:r>
      <w:r>
        <w:rPr>
          <w:rFonts w:ascii="宋体" w:hAnsi="宋体"/>
          <w:sz w:val="24"/>
        </w:rPr>
        <w:t>二</w:t>
      </w:r>
      <w:r>
        <w:rPr>
          <w:rFonts w:hint="eastAsia" w:ascii="宋体" w:hAnsi="宋体"/>
          <w:sz w:val="24"/>
        </w:rPr>
        <w:t>年内，保修期内，若出现维修情况，甲方将及时通知乙方，乙方必须在24小时内进行修复，否则，甲方将另行派人维修，所需费用在保修金中扣除。</w:t>
      </w:r>
    </w:p>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施工过程工作要求</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 xml:space="preserve">施工单位需做好安全防护工作，按甲方指定地点接驳电源，派专门安全巡视员做好一切安全防护措施。 </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施工期间要做好施工现场的环境卫生。</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垃圾应及时清运。</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中标单位负责施工现场的防火、防盗工作及人身财产安全工作，负责施工安全生产及事故处理、善后工作。</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甲方不为中标施工单位提供工人住宿。</w:t>
      </w:r>
    </w:p>
    <w:p>
      <w:pPr>
        <w:numPr>
          <w:ilvl w:val="2"/>
          <w:numId w:val="1"/>
        </w:numPr>
        <w:tabs>
          <w:tab w:val="left" w:pos="861"/>
          <w:tab w:val="left" w:pos="1080"/>
          <w:tab w:val="left" w:pos="3414"/>
        </w:tabs>
        <w:spacing w:line="360" w:lineRule="auto"/>
        <w:ind w:left="0" w:firstLine="360"/>
        <w:rPr>
          <w:rFonts w:ascii="宋体" w:hAnsi="宋体"/>
          <w:sz w:val="24"/>
        </w:rPr>
      </w:pPr>
      <w:r>
        <w:rPr>
          <w:rFonts w:hint="eastAsia" w:ascii="宋体" w:hAnsi="宋体"/>
          <w:sz w:val="24"/>
        </w:rPr>
        <w:t>与施工及管理有关的，甲方认为需要由乙方负责的其它工作。</w:t>
      </w:r>
      <w:bookmarkStart w:id="4" w:name="_Hlk80445371"/>
    </w:p>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工程价款、付款办法及结算</w:t>
      </w:r>
    </w:p>
    <w:p>
      <w:pPr>
        <w:numPr>
          <w:ilvl w:val="2"/>
          <w:numId w:val="2"/>
        </w:numPr>
        <w:tabs>
          <w:tab w:val="left" w:pos="861"/>
          <w:tab w:val="left" w:pos="1080"/>
          <w:tab w:val="left" w:pos="3414"/>
          <w:tab w:val="clear" w:pos="1146"/>
        </w:tabs>
        <w:spacing w:line="360" w:lineRule="auto"/>
        <w:ind w:left="0" w:firstLine="360"/>
        <w:rPr>
          <w:rFonts w:ascii="宋体" w:hAnsi="宋体"/>
          <w:sz w:val="24"/>
        </w:rPr>
      </w:pPr>
      <w:r>
        <w:rPr>
          <w:rFonts w:hint="eastAsia" w:ascii="宋体" w:hAnsi="宋体"/>
          <w:sz w:val="24"/>
        </w:rPr>
        <w:t>工程价款：投标单位的投标报价即为工程实际总承包价，施工期间不应因任何政策性调整和市场物价变化而变更。</w:t>
      </w:r>
    </w:p>
    <w:p>
      <w:pPr>
        <w:numPr>
          <w:ilvl w:val="2"/>
          <w:numId w:val="2"/>
        </w:numPr>
        <w:tabs>
          <w:tab w:val="left" w:pos="861"/>
          <w:tab w:val="left" w:pos="1080"/>
          <w:tab w:val="left" w:pos="3414"/>
          <w:tab w:val="clear" w:pos="1146"/>
        </w:tabs>
        <w:spacing w:line="360" w:lineRule="auto"/>
        <w:ind w:left="0" w:firstLine="360"/>
        <w:rPr>
          <w:rFonts w:ascii="宋体" w:hAnsi="宋体"/>
          <w:sz w:val="24"/>
        </w:rPr>
      </w:pPr>
      <w:r>
        <w:rPr>
          <w:rFonts w:hint="eastAsia" w:ascii="宋体" w:hAnsi="宋体"/>
          <w:sz w:val="24"/>
        </w:rPr>
        <w:t>工程付款办法：按汕头大学医学院现行承包工程合同书中有关条款执行，即竣工验收后2周内支付总承包价9</w:t>
      </w:r>
      <w:r>
        <w:rPr>
          <w:rFonts w:ascii="宋体" w:hAnsi="宋体"/>
          <w:sz w:val="24"/>
        </w:rPr>
        <w:t>7</w:t>
      </w:r>
      <w:r>
        <w:rPr>
          <w:rFonts w:hint="eastAsia" w:ascii="宋体" w:hAnsi="宋体"/>
          <w:sz w:val="24"/>
        </w:rPr>
        <w:t>%，留3%保修金于保修期满后支付。具体在签订合同中确定。</w:t>
      </w:r>
    </w:p>
    <w:p>
      <w:pPr>
        <w:numPr>
          <w:ilvl w:val="2"/>
          <w:numId w:val="2"/>
        </w:numPr>
        <w:tabs>
          <w:tab w:val="left" w:pos="861"/>
          <w:tab w:val="left" w:pos="1080"/>
          <w:tab w:val="left" w:pos="3414"/>
          <w:tab w:val="clear" w:pos="1146"/>
        </w:tabs>
        <w:spacing w:line="360" w:lineRule="auto"/>
        <w:ind w:left="0" w:firstLine="360"/>
        <w:rPr>
          <w:rFonts w:ascii="宋体" w:hAnsi="宋体"/>
          <w:sz w:val="24"/>
        </w:rPr>
      </w:pPr>
      <w:r>
        <w:rPr>
          <w:rFonts w:hint="eastAsia" w:ascii="宋体" w:hAnsi="宋体"/>
          <w:sz w:val="24"/>
        </w:rPr>
        <w:t>付款特别事项：付工程款时，甲方有权批核工程金额内扣除未能达到规范要求之工程款，并由乙方返工至达到要求后在下一次工程款中支付。工程竣工验收达不到合格标准，除按第五条条款执行外，甲方有权扣除未达到合格标准项目之造价，直至返工到合格标准为止。若乙方返工后仍达不到合格标准，甲方有权永久扣除与之相应款项，并另聘请施工单位返工，费用在扣款中支付，若扣款不足以支付费用，乙方应负欠缺部分的责任，甲方有权追讨。</w:t>
      </w:r>
    </w:p>
    <w:p>
      <w:pPr>
        <w:numPr>
          <w:ilvl w:val="2"/>
          <w:numId w:val="2"/>
        </w:numPr>
        <w:tabs>
          <w:tab w:val="left" w:pos="861"/>
          <w:tab w:val="left" w:pos="1080"/>
          <w:tab w:val="left" w:pos="3414"/>
          <w:tab w:val="clear" w:pos="1146"/>
        </w:tabs>
        <w:spacing w:line="360" w:lineRule="auto"/>
        <w:ind w:left="0" w:firstLine="360"/>
        <w:rPr>
          <w:rFonts w:ascii="宋体" w:hAnsi="宋体"/>
          <w:sz w:val="24"/>
        </w:rPr>
      </w:pPr>
      <w:r>
        <w:rPr>
          <w:rFonts w:hint="eastAsia" w:ascii="宋体" w:hAnsi="宋体"/>
          <w:sz w:val="24"/>
        </w:rPr>
        <w:t>工程结算：以分部分项工程清单、图纸内容及勘查现场后确认的工程量按招标后总价包干。</w:t>
      </w:r>
      <w:bookmarkEnd w:id="4"/>
    </w:p>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投标单位须知</w:t>
      </w:r>
    </w:p>
    <w:p>
      <w:pPr>
        <w:tabs>
          <w:tab w:val="left" w:pos="1080"/>
        </w:tabs>
        <w:spacing w:line="360" w:lineRule="auto"/>
        <w:ind w:firstLine="480" w:firstLineChars="200"/>
        <w:rPr>
          <w:rFonts w:ascii="宋体" w:hAnsi="宋体"/>
          <w:sz w:val="24"/>
        </w:rPr>
      </w:pPr>
      <w:r>
        <w:rPr>
          <w:rFonts w:hint="eastAsia" w:ascii="宋体" w:hAnsi="宋体"/>
          <w:sz w:val="24"/>
        </w:rPr>
        <w:t>投标文件要求</w:t>
      </w:r>
    </w:p>
    <w:p>
      <w:pPr>
        <w:tabs>
          <w:tab w:val="left" w:pos="1080"/>
        </w:tabs>
        <w:spacing w:line="360" w:lineRule="auto"/>
        <w:ind w:firstLine="480" w:firstLineChars="200"/>
        <w:rPr>
          <w:rFonts w:ascii="宋体" w:hAnsi="宋体"/>
          <w:sz w:val="24"/>
        </w:rPr>
      </w:pPr>
      <w:r>
        <w:rPr>
          <w:rFonts w:hint="eastAsia" w:ascii="宋体" w:hAnsi="宋体"/>
          <w:sz w:val="24"/>
        </w:rPr>
        <w:t>下列文件按顺序装订成册，封面标明投标单位名称并盖章，提交一份正本，4份副本。</w:t>
      </w:r>
    </w:p>
    <w:p>
      <w:pPr>
        <w:numPr>
          <w:ilvl w:val="0"/>
          <w:numId w:val="3"/>
        </w:numPr>
        <w:tabs>
          <w:tab w:val="left" w:pos="1080"/>
        </w:tabs>
        <w:spacing w:line="360" w:lineRule="auto"/>
        <w:rPr>
          <w:rFonts w:ascii="宋体" w:hAnsi="宋体"/>
          <w:sz w:val="24"/>
        </w:rPr>
      </w:pPr>
      <w:r>
        <w:rPr>
          <w:rFonts w:hint="eastAsia" w:ascii="宋体" w:hAnsi="宋体"/>
          <w:sz w:val="24"/>
        </w:rPr>
        <w:t>法人委托书（正件一份附在正本内，副本免附）；</w:t>
      </w:r>
    </w:p>
    <w:p>
      <w:pPr>
        <w:numPr>
          <w:ilvl w:val="0"/>
          <w:numId w:val="3"/>
        </w:numPr>
        <w:tabs>
          <w:tab w:val="left" w:pos="1080"/>
        </w:tabs>
        <w:spacing w:line="360" w:lineRule="auto"/>
        <w:rPr>
          <w:rFonts w:ascii="宋体" w:hAnsi="宋体"/>
          <w:sz w:val="24"/>
        </w:rPr>
      </w:pPr>
      <w:r>
        <w:rPr>
          <w:rFonts w:hint="eastAsia" w:ascii="宋体" w:hAnsi="宋体"/>
          <w:sz w:val="24"/>
        </w:rPr>
        <w:t>投标报价表（可增补内容和细分项目）；</w:t>
      </w:r>
    </w:p>
    <w:p>
      <w:pPr>
        <w:numPr>
          <w:ilvl w:val="0"/>
          <w:numId w:val="3"/>
        </w:numPr>
        <w:tabs>
          <w:tab w:val="left" w:pos="1080"/>
        </w:tabs>
        <w:spacing w:line="360" w:lineRule="auto"/>
        <w:rPr>
          <w:rFonts w:ascii="宋体" w:hAnsi="宋体"/>
          <w:sz w:val="24"/>
        </w:rPr>
      </w:pPr>
      <w:r>
        <w:rPr>
          <w:rFonts w:hint="eastAsia" w:ascii="宋体" w:hAnsi="宋体"/>
          <w:sz w:val="24"/>
        </w:rPr>
        <w:t>投标承诺书（</w:t>
      </w:r>
      <w:r>
        <w:rPr>
          <w:rFonts w:ascii="宋体" w:hAnsi="宋体"/>
          <w:sz w:val="24"/>
        </w:rPr>
        <w:t>见附件</w:t>
      </w:r>
      <w:r>
        <w:rPr>
          <w:rFonts w:hint="eastAsia" w:ascii="宋体" w:hAnsi="宋体"/>
          <w:sz w:val="24"/>
        </w:rPr>
        <w:t>二）；</w:t>
      </w:r>
    </w:p>
    <w:p>
      <w:pPr>
        <w:numPr>
          <w:ilvl w:val="0"/>
          <w:numId w:val="3"/>
        </w:numPr>
        <w:tabs>
          <w:tab w:val="left" w:pos="1080"/>
        </w:tabs>
        <w:spacing w:line="360" w:lineRule="auto"/>
        <w:rPr>
          <w:rFonts w:ascii="宋体" w:hAnsi="宋体"/>
          <w:sz w:val="24"/>
        </w:rPr>
      </w:pPr>
      <w:r>
        <w:rPr>
          <w:rFonts w:hint="eastAsia" w:ascii="宋体" w:hAnsi="宋体"/>
          <w:sz w:val="24"/>
        </w:rPr>
        <w:t>其它补充资料。</w:t>
      </w:r>
    </w:p>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投标文件有下列情况之一者，作废标处理：</w:t>
      </w:r>
    </w:p>
    <w:p>
      <w:pPr>
        <w:pStyle w:val="21"/>
        <w:numPr>
          <w:ilvl w:val="0"/>
          <w:numId w:val="4"/>
        </w:numPr>
        <w:tabs>
          <w:tab w:val="left" w:pos="1080"/>
        </w:tabs>
        <w:spacing w:line="360" w:lineRule="auto"/>
        <w:rPr>
          <w:rFonts w:ascii="宋体" w:hAnsi="宋体"/>
          <w:sz w:val="24"/>
        </w:rPr>
      </w:pPr>
      <w:r>
        <w:rPr>
          <w:rFonts w:hint="eastAsia" w:ascii="宋体" w:hAnsi="宋体"/>
          <w:sz w:val="24"/>
        </w:rPr>
        <w:t>未按要求密封。</w:t>
      </w:r>
    </w:p>
    <w:p>
      <w:pPr>
        <w:pStyle w:val="21"/>
        <w:numPr>
          <w:ilvl w:val="0"/>
          <w:numId w:val="4"/>
        </w:numPr>
        <w:tabs>
          <w:tab w:val="left" w:pos="1080"/>
        </w:tabs>
        <w:spacing w:line="360" w:lineRule="auto"/>
        <w:rPr>
          <w:rFonts w:ascii="宋体" w:hAnsi="宋体"/>
          <w:sz w:val="24"/>
        </w:rPr>
      </w:pPr>
      <w:r>
        <w:rPr>
          <w:rFonts w:hint="eastAsia" w:ascii="宋体" w:hAnsi="宋体"/>
          <w:sz w:val="24"/>
        </w:rPr>
        <w:t>标书未加盖投标单位公章。</w:t>
      </w:r>
    </w:p>
    <w:p>
      <w:pPr>
        <w:pStyle w:val="21"/>
        <w:numPr>
          <w:ilvl w:val="0"/>
          <w:numId w:val="4"/>
        </w:numPr>
        <w:tabs>
          <w:tab w:val="left" w:pos="1080"/>
        </w:tabs>
        <w:spacing w:line="360" w:lineRule="auto"/>
        <w:rPr>
          <w:rFonts w:ascii="宋体" w:hAnsi="宋体"/>
          <w:sz w:val="24"/>
        </w:rPr>
      </w:pPr>
      <w:r>
        <w:rPr>
          <w:rFonts w:hint="eastAsia" w:ascii="宋体" w:hAnsi="宋体"/>
          <w:sz w:val="24"/>
        </w:rPr>
        <w:t>未响应招标文件的，标书中有严重的漏项。</w:t>
      </w:r>
    </w:p>
    <w:p>
      <w:pPr>
        <w:pStyle w:val="21"/>
        <w:numPr>
          <w:ilvl w:val="0"/>
          <w:numId w:val="4"/>
        </w:numPr>
        <w:tabs>
          <w:tab w:val="left" w:pos="1080"/>
        </w:tabs>
        <w:spacing w:line="360" w:lineRule="auto"/>
        <w:rPr>
          <w:rFonts w:ascii="宋体" w:hAnsi="宋体"/>
          <w:sz w:val="24"/>
        </w:rPr>
      </w:pPr>
      <w:r>
        <w:rPr>
          <w:rFonts w:hint="eastAsia" w:ascii="宋体" w:hAnsi="宋体"/>
          <w:sz w:val="24"/>
        </w:rPr>
        <w:t>投标文件中，标明的投标人与资格预审的申请人在名称和组织结构上存在实质性差别。</w:t>
      </w:r>
    </w:p>
    <w:p>
      <w:pPr>
        <w:pStyle w:val="21"/>
        <w:numPr>
          <w:ilvl w:val="0"/>
          <w:numId w:val="4"/>
        </w:numPr>
        <w:tabs>
          <w:tab w:val="left" w:pos="1080"/>
        </w:tabs>
        <w:spacing w:line="360" w:lineRule="auto"/>
        <w:rPr>
          <w:rFonts w:ascii="宋体" w:hAnsi="宋体"/>
          <w:sz w:val="24"/>
        </w:rPr>
      </w:pPr>
      <w:r>
        <w:rPr>
          <w:rFonts w:hint="eastAsia" w:ascii="宋体" w:hAnsi="宋体"/>
          <w:sz w:val="24"/>
        </w:rPr>
        <w:t>与其他人串通报价或串通投标的。</w:t>
      </w:r>
    </w:p>
    <w:p>
      <w:pPr>
        <w:numPr>
          <w:ilvl w:val="0"/>
          <w:numId w:val="1"/>
        </w:numPr>
        <w:tabs>
          <w:tab w:val="left" w:pos="1301"/>
          <w:tab w:val="clear" w:pos="1639"/>
        </w:tabs>
        <w:spacing w:line="360" w:lineRule="auto"/>
        <w:ind w:left="1843" w:hanging="1316"/>
        <w:rPr>
          <w:rFonts w:ascii="宋体" w:hAnsi="宋体"/>
          <w:b/>
          <w:sz w:val="24"/>
        </w:rPr>
      </w:pPr>
      <w:r>
        <w:rPr>
          <w:rFonts w:hint="eastAsia" w:ascii="宋体" w:hAnsi="宋体"/>
          <w:b/>
          <w:sz w:val="24"/>
        </w:rPr>
        <w:t>评定标原则及通知</w:t>
      </w:r>
    </w:p>
    <w:p>
      <w:pPr>
        <w:numPr>
          <w:ilvl w:val="2"/>
          <w:numId w:val="5"/>
        </w:numPr>
        <w:tabs>
          <w:tab w:val="left" w:pos="861"/>
          <w:tab w:val="left" w:pos="1080"/>
        </w:tabs>
        <w:spacing w:line="360" w:lineRule="auto"/>
        <w:ind w:left="0" w:firstLine="360"/>
        <w:rPr>
          <w:rFonts w:ascii="宋体" w:hAnsi="宋体"/>
          <w:sz w:val="24"/>
        </w:rPr>
      </w:pPr>
      <w:r>
        <w:rPr>
          <w:rFonts w:hint="eastAsia" w:ascii="宋体" w:hAnsi="宋体"/>
          <w:sz w:val="24"/>
        </w:rPr>
        <w:t>评标定标的原则</w:t>
      </w:r>
    </w:p>
    <w:p>
      <w:pPr>
        <w:tabs>
          <w:tab w:val="left" w:pos="1080"/>
        </w:tabs>
        <w:spacing w:line="360" w:lineRule="auto"/>
        <w:ind w:firstLine="480" w:firstLineChars="200"/>
        <w:rPr>
          <w:rFonts w:ascii="宋体" w:hAnsi="宋体"/>
          <w:sz w:val="24"/>
        </w:rPr>
      </w:pPr>
      <w:r>
        <w:rPr>
          <w:rFonts w:hint="eastAsia" w:ascii="宋体" w:hAnsi="宋体"/>
          <w:sz w:val="24"/>
        </w:rPr>
        <w:t>为使评标公正、公平、合理，确保工程质量，本工程的评标将采用全面综合评审的原则。</w:t>
      </w:r>
    </w:p>
    <w:p>
      <w:pPr>
        <w:numPr>
          <w:ilvl w:val="0"/>
          <w:numId w:val="6"/>
        </w:numPr>
        <w:spacing w:line="360" w:lineRule="auto"/>
        <w:rPr>
          <w:rFonts w:ascii="宋体" w:hAnsi="宋体"/>
          <w:sz w:val="24"/>
        </w:rPr>
      </w:pPr>
      <w:r>
        <w:rPr>
          <w:rFonts w:hint="eastAsia" w:ascii="宋体" w:hAnsi="宋体"/>
          <w:sz w:val="24"/>
        </w:rPr>
        <w:t>合理低价；</w:t>
      </w:r>
    </w:p>
    <w:p>
      <w:pPr>
        <w:numPr>
          <w:ilvl w:val="0"/>
          <w:numId w:val="6"/>
        </w:numPr>
        <w:spacing w:line="360" w:lineRule="auto"/>
        <w:rPr>
          <w:rFonts w:ascii="宋体" w:hAnsi="宋体"/>
          <w:sz w:val="24"/>
        </w:rPr>
      </w:pPr>
      <w:r>
        <w:rPr>
          <w:rFonts w:hint="eastAsia" w:ascii="宋体" w:hAnsi="宋体"/>
          <w:sz w:val="24"/>
        </w:rPr>
        <w:t>有可靠的质量安全保证措施；</w:t>
      </w:r>
    </w:p>
    <w:p>
      <w:pPr>
        <w:numPr>
          <w:ilvl w:val="0"/>
          <w:numId w:val="6"/>
        </w:numPr>
        <w:spacing w:line="360" w:lineRule="auto"/>
        <w:rPr>
          <w:rFonts w:ascii="宋体" w:hAnsi="宋体"/>
          <w:sz w:val="24"/>
        </w:rPr>
      </w:pPr>
      <w:r>
        <w:rPr>
          <w:rFonts w:hint="eastAsia" w:ascii="宋体" w:hAnsi="宋体"/>
          <w:sz w:val="24"/>
        </w:rPr>
        <w:t>工期符合建设单位要求；</w:t>
      </w:r>
    </w:p>
    <w:p>
      <w:pPr>
        <w:numPr>
          <w:ilvl w:val="0"/>
          <w:numId w:val="6"/>
        </w:numPr>
        <w:spacing w:line="360" w:lineRule="auto"/>
        <w:rPr>
          <w:rFonts w:ascii="宋体" w:hAnsi="宋体"/>
          <w:sz w:val="24"/>
        </w:rPr>
      </w:pPr>
      <w:r>
        <w:rPr>
          <w:rFonts w:hint="eastAsia" w:ascii="宋体" w:hAnsi="宋体"/>
          <w:sz w:val="24"/>
        </w:rPr>
        <w:t>优良的业绩和良好的信誉；</w:t>
      </w:r>
    </w:p>
    <w:p>
      <w:pPr>
        <w:numPr>
          <w:ilvl w:val="0"/>
          <w:numId w:val="6"/>
        </w:numPr>
        <w:spacing w:line="360" w:lineRule="auto"/>
        <w:rPr>
          <w:rFonts w:ascii="宋体" w:hAnsi="宋体"/>
          <w:sz w:val="24"/>
        </w:rPr>
      </w:pPr>
      <w:r>
        <w:rPr>
          <w:rFonts w:hint="eastAsia" w:ascii="宋体" w:hAnsi="宋体"/>
          <w:sz w:val="24"/>
        </w:rPr>
        <w:t>投标承诺能被建设单位所接受。</w:t>
      </w:r>
    </w:p>
    <w:p>
      <w:pPr>
        <w:numPr>
          <w:ilvl w:val="2"/>
          <w:numId w:val="5"/>
        </w:numPr>
        <w:tabs>
          <w:tab w:val="left" w:pos="861"/>
          <w:tab w:val="left" w:pos="1080"/>
        </w:tabs>
        <w:spacing w:line="360" w:lineRule="auto"/>
        <w:ind w:left="0" w:firstLine="360"/>
        <w:rPr>
          <w:rFonts w:ascii="宋体" w:hAnsi="宋体"/>
          <w:sz w:val="24"/>
        </w:rPr>
      </w:pPr>
      <w:r>
        <w:rPr>
          <w:rFonts w:hint="eastAsia" w:ascii="宋体" w:hAnsi="宋体"/>
          <w:sz w:val="24"/>
        </w:rPr>
        <w:t>招标单位将集体讨论，初步拟定中标单位，报请相关部门审定。评标结束后，将通知中标单位，对未中标单位发给感谢信或电话致谢。</w:t>
      </w:r>
    </w:p>
    <w:p>
      <w:pPr>
        <w:numPr>
          <w:ilvl w:val="0"/>
          <w:numId w:val="1"/>
        </w:numPr>
        <w:tabs>
          <w:tab w:val="left" w:pos="1301"/>
          <w:tab w:val="clear" w:pos="1639"/>
        </w:tabs>
        <w:spacing w:line="360" w:lineRule="auto"/>
        <w:ind w:left="1843" w:hanging="1316"/>
        <w:rPr>
          <w:rFonts w:ascii="宋体" w:hAnsi="宋体"/>
          <w:b/>
          <w:sz w:val="24"/>
        </w:rPr>
      </w:pPr>
      <w:r>
        <w:rPr>
          <w:rFonts w:hint="eastAsia" w:ascii="宋体" w:hAnsi="宋体"/>
          <w:b/>
          <w:sz w:val="24"/>
        </w:rPr>
        <w:t>其它</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中标单位接到中标通知后需尽快与甲方（汕头大学医学院）洽商工程答疑、技术交底等事宜，并签订正式合同。</w:t>
      </w:r>
    </w:p>
    <w:p>
      <w:pPr>
        <w:numPr>
          <w:ilvl w:val="2"/>
          <w:numId w:val="7"/>
        </w:numPr>
        <w:tabs>
          <w:tab w:val="left" w:pos="861"/>
          <w:tab w:val="left" w:pos="1080"/>
        </w:tabs>
        <w:spacing w:line="360" w:lineRule="auto"/>
        <w:ind w:left="0" w:firstLine="360"/>
      </w:pPr>
      <w:r>
        <w:rPr>
          <w:rFonts w:hint="eastAsia" w:ascii="宋体" w:hAnsi="宋体"/>
          <w:sz w:val="24"/>
        </w:rPr>
        <w:t>中标单位应自觉遵守甲方有关现场规定，并应自觉保护好现有建筑产品。制作安装过程若有损坏现场建筑产品、木地板、电器，应自行维修，并承担有关责任。</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施工人员不得在现场住宿，做饭。</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施工期间，承建单位必须严格执行《汕头经济特区环境噪音污染防治条例》及市环保局关于建筑工程施工有关规定，以保证工作场所清洁卫生。</w:t>
      </w:r>
    </w:p>
    <w:p>
      <w:pPr>
        <w:numPr>
          <w:ilvl w:val="2"/>
          <w:numId w:val="7"/>
        </w:numPr>
        <w:tabs>
          <w:tab w:val="left" w:pos="861"/>
          <w:tab w:val="left" w:pos="1080"/>
        </w:tabs>
        <w:spacing w:line="360" w:lineRule="auto"/>
        <w:ind w:left="0" w:firstLine="360"/>
        <w:rPr>
          <w:kern w:val="0"/>
          <w:sz w:val="20"/>
          <w:szCs w:val="20"/>
        </w:rPr>
      </w:pPr>
      <w:r>
        <w:rPr>
          <w:rFonts w:hint="eastAsia" w:ascii="宋体" w:hAnsi="宋体"/>
          <w:sz w:val="24"/>
        </w:rPr>
        <w:t>投标单位必须在投标前认真查看现场，合理估算相关工程费用（包括搬运安装、垃圾清运费），并计入投标报价内。</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本次投标产生的费用由投标人自行承担。</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甲方有权要求中标单位提供样品供甲方选择。</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本招标文件未尽事宜,在签订正式合同时再予以补充。</w:t>
      </w:r>
    </w:p>
    <w:p>
      <w:pPr>
        <w:tabs>
          <w:tab w:val="left" w:pos="1080"/>
        </w:tabs>
        <w:spacing w:line="360" w:lineRule="auto"/>
        <w:rPr>
          <w:rFonts w:ascii="宋体" w:hAnsi="宋体"/>
          <w:sz w:val="24"/>
        </w:rPr>
      </w:pPr>
    </w:p>
    <w:p>
      <w:pPr>
        <w:tabs>
          <w:tab w:val="left" w:pos="1080"/>
        </w:tabs>
        <w:spacing w:line="360" w:lineRule="auto"/>
        <w:rPr>
          <w:rFonts w:ascii="宋体" w:hAnsi="宋体"/>
          <w:sz w:val="24"/>
        </w:rPr>
      </w:pPr>
    </w:p>
    <w:p>
      <w:pPr>
        <w:tabs>
          <w:tab w:val="left" w:pos="1080"/>
        </w:tabs>
        <w:spacing w:line="360" w:lineRule="auto"/>
        <w:ind w:firstLine="7920" w:firstLineChars="3300"/>
        <w:jc w:val="right"/>
        <w:rPr>
          <w:rFonts w:ascii="宋体" w:hAnsi="宋体"/>
          <w:sz w:val="24"/>
        </w:rPr>
      </w:pPr>
      <w:r>
        <w:rPr>
          <w:rFonts w:hint="eastAsia" w:ascii="宋体" w:hAnsi="宋体"/>
          <w:sz w:val="24"/>
        </w:rPr>
        <w:t>汕头大学医学院</w:t>
      </w:r>
    </w:p>
    <w:p>
      <w:pPr>
        <w:pStyle w:val="6"/>
        <w:spacing w:line="360" w:lineRule="auto"/>
        <w:ind w:left="5250"/>
        <w:jc w:val="right"/>
      </w:pPr>
      <w:r>
        <w:rPr>
          <w:rFonts w:hint="eastAsia"/>
        </w:rPr>
        <w:t>20</w:t>
      </w:r>
      <w:r>
        <w:t>21</w:t>
      </w:r>
      <w:r>
        <w:rPr>
          <w:rFonts w:hint="eastAsia"/>
        </w:rPr>
        <w:t>年</w:t>
      </w:r>
      <w:r>
        <w:t>8</w:t>
      </w:r>
      <w:r>
        <w:rPr>
          <w:rFonts w:hint="eastAsia"/>
        </w:rPr>
        <w:t>月</w:t>
      </w:r>
      <w:r>
        <w:t>2</w:t>
      </w:r>
      <w:r>
        <w:rPr>
          <w:rFonts w:hint="eastAsia"/>
          <w:lang w:val="en-US" w:eastAsia="zh-CN"/>
        </w:rPr>
        <w:t>2</w:t>
      </w:r>
      <w:bookmarkStart w:id="5" w:name="_GoBack"/>
      <w:bookmarkEnd w:id="5"/>
      <w:r>
        <w:rPr>
          <w:rFonts w:hint="eastAsia"/>
        </w:rPr>
        <w:t>日</w:t>
      </w:r>
    </w:p>
    <w:sectPr>
      <w:footerReference r:id="rId3" w:type="default"/>
      <w:footerReference r:id="rId4" w:type="even"/>
      <w:pgSz w:w="11906" w:h="16838"/>
      <w:pgMar w:top="1134" w:right="1134" w:bottom="1134" w:left="1134"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7C3EB"/>
    <w:multiLevelType w:val="multilevel"/>
    <w:tmpl w:val="EC77C3EB"/>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1146"/>
        </w:tabs>
        <w:ind w:left="1146"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1">
    <w:nsid w:val="00000001"/>
    <w:multiLevelType w:val="multilevel"/>
    <w:tmpl w:val="00000001"/>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2847"/>
        </w:tabs>
        <w:ind w:left="2847"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2">
    <w:nsid w:val="00000002"/>
    <w:multiLevelType w:val="multilevel"/>
    <w:tmpl w:val="00000002"/>
    <w:lvl w:ilvl="0" w:tentative="0">
      <w:start w:val="1"/>
      <w:numFmt w:val="decimal"/>
      <w:lvlText w:val="%1."/>
      <w:lvlJc w:val="left"/>
      <w:pPr>
        <w:tabs>
          <w:tab w:val="left" w:pos="900"/>
        </w:tabs>
        <w:ind w:left="900" w:hanging="360"/>
      </w:pPr>
      <w:rPr>
        <w:rFonts w:hint="eastAsia"/>
      </w:rPr>
    </w:lvl>
    <w:lvl w:ilvl="1" w:tentative="0">
      <w:start w:val="1"/>
      <w:numFmt w:val="japaneseCounting"/>
      <w:lvlText w:val="%2、"/>
      <w:lvlJc w:val="left"/>
      <w:pPr>
        <w:tabs>
          <w:tab w:val="left" w:pos="1440"/>
        </w:tabs>
        <w:ind w:left="1440" w:hanging="480"/>
      </w:pPr>
      <w:rPr>
        <w:rFonts w:hint="eastAsia"/>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00000003"/>
    <w:multiLevelType w:val="multilevel"/>
    <w:tmpl w:val="00000003"/>
    <w:lvl w:ilvl="0" w:tentative="0">
      <w:start w:val="1"/>
      <w:numFmt w:val="chineseCountingThousand"/>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203AD49B"/>
    <w:multiLevelType w:val="multilevel"/>
    <w:tmpl w:val="203AD49B"/>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1146"/>
        </w:tabs>
        <w:ind w:left="1146"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5">
    <w:nsid w:val="32120BB9"/>
    <w:multiLevelType w:val="multilevel"/>
    <w:tmpl w:val="32120BB9"/>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1146"/>
        </w:tabs>
        <w:ind w:left="1146"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6">
    <w:nsid w:val="39EC472A"/>
    <w:multiLevelType w:val="multilevel"/>
    <w:tmpl w:val="39EC472A"/>
    <w:lvl w:ilvl="0" w:tentative="0">
      <w:start w:val="1"/>
      <w:numFmt w:val="chineseCountingThousand"/>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41"/>
  <w:drawingGridVerticalSpacing w:val="200"/>
  <w:doNotShadeFormData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FE3"/>
    <w:rsid w:val="000265BD"/>
    <w:rsid w:val="000333A4"/>
    <w:rsid w:val="00045E02"/>
    <w:rsid w:val="00054B28"/>
    <w:rsid w:val="0006059D"/>
    <w:rsid w:val="00065906"/>
    <w:rsid w:val="00070C95"/>
    <w:rsid w:val="00074B03"/>
    <w:rsid w:val="000A2521"/>
    <w:rsid w:val="000C7E00"/>
    <w:rsid w:val="000E6DC5"/>
    <w:rsid w:val="000F0225"/>
    <w:rsid w:val="000F1146"/>
    <w:rsid w:val="000F3632"/>
    <w:rsid w:val="000F6203"/>
    <w:rsid w:val="000F696B"/>
    <w:rsid w:val="001035AC"/>
    <w:rsid w:val="00111C3F"/>
    <w:rsid w:val="00172A27"/>
    <w:rsid w:val="001735D2"/>
    <w:rsid w:val="00174F94"/>
    <w:rsid w:val="00183A73"/>
    <w:rsid w:val="0018410F"/>
    <w:rsid w:val="00186936"/>
    <w:rsid w:val="00187A69"/>
    <w:rsid w:val="00190B22"/>
    <w:rsid w:val="00191B7A"/>
    <w:rsid w:val="00197428"/>
    <w:rsid w:val="001B4B53"/>
    <w:rsid w:val="001D5FC5"/>
    <w:rsid w:val="001F3F4B"/>
    <w:rsid w:val="0020171F"/>
    <w:rsid w:val="00207BDE"/>
    <w:rsid w:val="00210959"/>
    <w:rsid w:val="00212CA7"/>
    <w:rsid w:val="00214FA8"/>
    <w:rsid w:val="002160D3"/>
    <w:rsid w:val="00223F9A"/>
    <w:rsid w:val="002274D1"/>
    <w:rsid w:val="002334DB"/>
    <w:rsid w:val="00237D38"/>
    <w:rsid w:val="00240B44"/>
    <w:rsid w:val="00245805"/>
    <w:rsid w:val="002631CD"/>
    <w:rsid w:val="00264464"/>
    <w:rsid w:val="00280383"/>
    <w:rsid w:val="002810A1"/>
    <w:rsid w:val="00293B98"/>
    <w:rsid w:val="00296AE9"/>
    <w:rsid w:val="00297641"/>
    <w:rsid w:val="002A0597"/>
    <w:rsid w:val="002A315E"/>
    <w:rsid w:val="002A7557"/>
    <w:rsid w:val="002B337B"/>
    <w:rsid w:val="002B5B36"/>
    <w:rsid w:val="002D146C"/>
    <w:rsid w:val="003269FD"/>
    <w:rsid w:val="003502E0"/>
    <w:rsid w:val="003810F2"/>
    <w:rsid w:val="003832F1"/>
    <w:rsid w:val="00386451"/>
    <w:rsid w:val="0038723B"/>
    <w:rsid w:val="003A6E86"/>
    <w:rsid w:val="003C0DEB"/>
    <w:rsid w:val="003C4A85"/>
    <w:rsid w:val="003D7A3C"/>
    <w:rsid w:val="003E0ACA"/>
    <w:rsid w:val="003E2B60"/>
    <w:rsid w:val="003F7A34"/>
    <w:rsid w:val="00413C8D"/>
    <w:rsid w:val="004142ED"/>
    <w:rsid w:val="004352C5"/>
    <w:rsid w:val="00446EB4"/>
    <w:rsid w:val="004509B4"/>
    <w:rsid w:val="0045416D"/>
    <w:rsid w:val="00474986"/>
    <w:rsid w:val="00475425"/>
    <w:rsid w:val="00476785"/>
    <w:rsid w:val="0048438C"/>
    <w:rsid w:val="00491174"/>
    <w:rsid w:val="00497549"/>
    <w:rsid w:val="004A1832"/>
    <w:rsid w:val="004A422D"/>
    <w:rsid w:val="004A70D4"/>
    <w:rsid w:val="004B4F43"/>
    <w:rsid w:val="004C0196"/>
    <w:rsid w:val="004C14A5"/>
    <w:rsid w:val="004C31F0"/>
    <w:rsid w:val="004C3ED5"/>
    <w:rsid w:val="004D0B6A"/>
    <w:rsid w:val="004D75F5"/>
    <w:rsid w:val="005003A0"/>
    <w:rsid w:val="00507B9F"/>
    <w:rsid w:val="00514265"/>
    <w:rsid w:val="00550967"/>
    <w:rsid w:val="00552BE6"/>
    <w:rsid w:val="005703D1"/>
    <w:rsid w:val="005809FE"/>
    <w:rsid w:val="005A59A5"/>
    <w:rsid w:val="005A773C"/>
    <w:rsid w:val="005A7E3E"/>
    <w:rsid w:val="005B388B"/>
    <w:rsid w:val="005B732C"/>
    <w:rsid w:val="005D0E83"/>
    <w:rsid w:val="005D0E9C"/>
    <w:rsid w:val="005D3726"/>
    <w:rsid w:val="005D5219"/>
    <w:rsid w:val="005E017F"/>
    <w:rsid w:val="005E0801"/>
    <w:rsid w:val="005E0EA1"/>
    <w:rsid w:val="005E2054"/>
    <w:rsid w:val="005F2147"/>
    <w:rsid w:val="00607AD9"/>
    <w:rsid w:val="006161CC"/>
    <w:rsid w:val="006208D1"/>
    <w:rsid w:val="00631270"/>
    <w:rsid w:val="00632A57"/>
    <w:rsid w:val="00633009"/>
    <w:rsid w:val="00637648"/>
    <w:rsid w:val="006406A1"/>
    <w:rsid w:val="00641737"/>
    <w:rsid w:val="00670EBE"/>
    <w:rsid w:val="00673FE8"/>
    <w:rsid w:val="00682009"/>
    <w:rsid w:val="0068517A"/>
    <w:rsid w:val="00686F8E"/>
    <w:rsid w:val="006B3824"/>
    <w:rsid w:val="006B40E7"/>
    <w:rsid w:val="006D4F6B"/>
    <w:rsid w:val="006E1542"/>
    <w:rsid w:val="006F3B40"/>
    <w:rsid w:val="00723C9A"/>
    <w:rsid w:val="00731456"/>
    <w:rsid w:val="00737316"/>
    <w:rsid w:val="00740097"/>
    <w:rsid w:val="00753A7D"/>
    <w:rsid w:val="007556B4"/>
    <w:rsid w:val="00771A80"/>
    <w:rsid w:val="00771E2A"/>
    <w:rsid w:val="00777EC5"/>
    <w:rsid w:val="00783883"/>
    <w:rsid w:val="007A4351"/>
    <w:rsid w:val="007B0162"/>
    <w:rsid w:val="007B6FAC"/>
    <w:rsid w:val="007D0403"/>
    <w:rsid w:val="007D6819"/>
    <w:rsid w:val="007F45B3"/>
    <w:rsid w:val="0080215B"/>
    <w:rsid w:val="00812E24"/>
    <w:rsid w:val="00816FEA"/>
    <w:rsid w:val="008463B5"/>
    <w:rsid w:val="00852B8D"/>
    <w:rsid w:val="00853D1B"/>
    <w:rsid w:val="008719F7"/>
    <w:rsid w:val="0087744B"/>
    <w:rsid w:val="00881D4E"/>
    <w:rsid w:val="00891ADE"/>
    <w:rsid w:val="008A217F"/>
    <w:rsid w:val="008B1034"/>
    <w:rsid w:val="008B364B"/>
    <w:rsid w:val="008C19E9"/>
    <w:rsid w:val="008C72B3"/>
    <w:rsid w:val="008D0B79"/>
    <w:rsid w:val="008D2DA5"/>
    <w:rsid w:val="008D5900"/>
    <w:rsid w:val="008E1B88"/>
    <w:rsid w:val="008F6CE3"/>
    <w:rsid w:val="00913F96"/>
    <w:rsid w:val="00942B50"/>
    <w:rsid w:val="00950AA4"/>
    <w:rsid w:val="009537F1"/>
    <w:rsid w:val="00962571"/>
    <w:rsid w:val="009719D3"/>
    <w:rsid w:val="0097489B"/>
    <w:rsid w:val="00994239"/>
    <w:rsid w:val="00996648"/>
    <w:rsid w:val="009A0C05"/>
    <w:rsid w:val="009E474B"/>
    <w:rsid w:val="009F0CB0"/>
    <w:rsid w:val="009F2EB5"/>
    <w:rsid w:val="00A1632F"/>
    <w:rsid w:val="00A61BDA"/>
    <w:rsid w:val="00A63C3B"/>
    <w:rsid w:val="00A805C7"/>
    <w:rsid w:val="00A80E9A"/>
    <w:rsid w:val="00A810B9"/>
    <w:rsid w:val="00A93073"/>
    <w:rsid w:val="00A9609E"/>
    <w:rsid w:val="00AC3CC6"/>
    <w:rsid w:val="00AE3490"/>
    <w:rsid w:val="00AE5857"/>
    <w:rsid w:val="00AF3E35"/>
    <w:rsid w:val="00B26B46"/>
    <w:rsid w:val="00B43906"/>
    <w:rsid w:val="00B43CF1"/>
    <w:rsid w:val="00B55B47"/>
    <w:rsid w:val="00B56D9C"/>
    <w:rsid w:val="00B620CD"/>
    <w:rsid w:val="00B81B09"/>
    <w:rsid w:val="00B82219"/>
    <w:rsid w:val="00BA1097"/>
    <w:rsid w:val="00BA4562"/>
    <w:rsid w:val="00BA6755"/>
    <w:rsid w:val="00BB5E2A"/>
    <w:rsid w:val="00C100A6"/>
    <w:rsid w:val="00C11AC8"/>
    <w:rsid w:val="00C12B0B"/>
    <w:rsid w:val="00C4573F"/>
    <w:rsid w:val="00C52E06"/>
    <w:rsid w:val="00C5442A"/>
    <w:rsid w:val="00C653EF"/>
    <w:rsid w:val="00C6623B"/>
    <w:rsid w:val="00C92A69"/>
    <w:rsid w:val="00CA2874"/>
    <w:rsid w:val="00CB18A5"/>
    <w:rsid w:val="00CC1E3A"/>
    <w:rsid w:val="00CD16FF"/>
    <w:rsid w:val="00CF4845"/>
    <w:rsid w:val="00D12309"/>
    <w:rsid w:val="00D22D07"/>
    <w:rsid w:val="00D344D6"/>
    <w:rsid w:val="00D4584A"/>
    <w:rsid w:val="00D46B2D"/>
    <w:rsid w:val="00D526FC"/>
    <w:rsid w:val="00D561D2"/>
    <w:rsid w:val="00D60083"/>
    <w:rsid w:val="00D75EFF"/>
    <w:rsid w:val="00D84A64"/>
    <w:rsid w:val="00D950C7"/>
    <w:rsid w:val="00DA2F5C"/>
    <w:rsid w:val="00DC66D9"/>
    <w:rsid w:val="00DD5CB3"/>
    <w:rsid w:val="00DE7BC2"/>
    <w:rsid w:val="00DF09E1"/>
    <w:rsid w:val="00E0624A"/>
    <w:rsid w:val="00E45A37"/>
    <w:rsid w:val="00E468BF"/>
    <w:rsid w:val="00E72CA4"/>
    <w:rsid w:val="00E8304E"/>
    <w:rsid w:val="00EA1516"/>
    <w:rsid w:val="00EA3BAB"/>
    <w:rsid w:val="00EA3E5F"/>
    <w:rsid w:val="00EB287B"/>
    <w:rsid w:val="00EB36E0"/>
    <w:rsid w:val="00EC18FB"/>
    <w:rsid w:val="00F0579E"/>
    <w:rsid w:val="00F101D0"/>
    <w:rsid w:val="00F124C6"/>
    <w:rsid w:val="00F23AC7"/>
    <w:rsid w:val="00F34951"/>
    <w:rsid w:val="00F53B9C"/>
    <w:rsid w:val="00F54AF1"/>
    <w:rsid w:val="00F631A9"/>
    <w:rsid w:val="00F72442"/>
    <w:rsid w:val="00F841A7"/>
    <w:rsid w:val="00F91150"/>
    <w:rsid w:val="00F95E16"/>
    <w:rsid w:val="00FA23FF"/>
    <w:rsid w:val="00FB2C1E"/>
    <w:rsid w:val="00FD064F"/>
    <w:rsid w:val="00FD2937"/>
    <w:rsid w:val="00FD464B"/>
    <w:rsid w:val="00FE4B26"/>
    <w:rsid w:val="00FE7766"/>
    <w:rsid w:val="02C82723"/>
    <w:rsid w:val="0356354F"/>
    <w:rsid w:val="044F77E8"/>
    <w:rsid w:val="05A87838"/>
    <w:rsid w:val="05C44E2E"/>
    <w:rsid w:val="08952EB2"/>
    <w:rsid w:val="12A675AC"/>
    <w:rsid w:val="209E190A"/>
    <w:rsid w:val="20CC74C7"/>
    <w:rsid w:val="226C6C98"/>
    <w:rsid w:val="25023005"/>
    <w:rsid w:val="2A8A3618"/>
    <w:rsid w:val="2DA36009"/>
    <w:rsid w:val="301B7663"/>
    <w:rsid w:val="444E20BB"/>
    <w:rsid w:val="48EF66DA"/>
    <w:rsid w:val="4A667BDA"/>
    <w:rsid w:val="4ABC47A0"/>
    <w:rsid w:val="531A2971"/>
    <w:rsid w:val="565A3331"/>
    <w:rsid w:val="59271B2E"/>
    <w:rsid w:val="5C5F137A"/>
    <w:rsid w:val="5C704DC1"/>
    <w:rsid w:val="5DE56831"/>
    <w:rsid w:val="5E0C0A90"/>
    <w:rsid w:val="6A5E24FD"/>
    <w:rsid w:val="6A6C5483"/>
    <w:rsid w:val="760600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qFormat/>
    <w:uiPriority w:val="0"/>
    <w:pPr>
      <w:spacing w:before="156" w:beforeLines="50" w:after="156" w:afterLines="50"/>
      <w:jc w:val="center"/>
    </w:pPr>
    <w:rPr>
      <w:rFonts w:ascii="宋体" w:hAnsi="宋体"/>
      <w:sz w:val="24"/>
    </w:rPr>
  </w:style>
  <w:style w:type="paragraph" w:styleId="4">
    <w:name w:val="Body Text Indent"/>
    <w:basedOn w:val="1"/>
    <w:qFormat/>
    <w:uiPriority w:val="0"/>
    <w:pPr>
      <w:ind w:firstLine="461" w:firstLineChars="192"/>
    </w:pPr>
    <w:rPr>
      <w:rFonts w:ascii="宋体" w:hAnsi="宋体"/>
      <w:sz w:val="24"/>
    </w:rPr>
  </w:style>
  <w:style w:type="paragraph" w:styleId="5">
    <w:name w:val="Block Text"/>
    <w:basedOn w:val="1"/>
    <w:qFormat/>
    <w:uiPriority w:val="0"/>
    <w:pPr>
      <w:spacing w:line="360" w:lineRule="auto"/>
      <w:ind w:left="420" w:right="250"/>
    </w:pPr>
    <w:rPr>
      <w:rFonts w:ascii="宋体" w:hAnsi="宋体"/>
      <w:sz w:val="24"/>
    </w:rPr>
  </w:style>
  <w:style w:type="paragraph" w:styleId="6">
    <w:name w:val="Date"/>
    <w:basedOn w:val="1"/>
    <w:next w:val="1"/>
    <w:qFormat/>
    <w:uiPriority w:val="0"/>
    <w:pPr>
      <w:ind w:left="100" w:leftChars="2500"/>
    </w:pPr>
    <w:rPr>
      <w:rFonts w:ascii="宋体" w:hAnsi="宋体"/>
      <w:sz w:val="24"/>
    </w:rPr>
  </w:style>
  <w:style w:type="paragraph" w:styleId="7">
    <w:name w:val="Body Text Indent 2"/>
    <w:basedOn w:val="1"/>
    <w:qFormat/>
    <w:uiPriority w:val="0"/>
    <w:pPr>
      <w:tabs>
        <w:tab w:val="left" w:pos="1080"/>
      </w:tabs>
      <w:spacing w:line="360" w:lineRule="auto"/>
      <w:ind w:firstLine="540" w:firstLineChars="225"/>
    </w:pPr>
    <w:rPr>
      <w:rFonts w:ascii="宋体" w:hAnsi="宋体"/>
      <w:sz w:val="24"/>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360" w:lineRule="auto"/>
      <w:ind w:right="249" w:firstLine="511" w:firstLineChars="213"/>
    </w:pPr>
    <w:rPr>
      <w:rFonts w:ascii="宋体" w:hAnsi="宋体"/>
      <w:sz w:val="24"/>
    </w:rPr>
  </w:style>
  <w:style w:type="paragraph" w:styleId="12">
    <w:name w:val="annotation subject"/>
    <w:basedOn w:val="2"/>
    <w:next w:val="2"/>
    <w:link w:val="19"/>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ascii="Times New Roman" w:hAnsi="Times New Roman" w:eastAsia="宋体" w:cs="Times New Roman"/>
    </w:rPr>
  </w:style>
  <w:style w:type="character" w:styleId="17">
    <w:name w:val="annotation reference"/>
    <w:qFormat/>
    <w:uiPriority w:val="0"/>
    <w:rPr>
      <w:rFonts w:ascii="Times New Roman" w:hAnsi="Times New Roman" w:eastAsia="宋体" w:cs="Times New Roman"/>
      <w:sz w:val="21"/>
      <w:szCs w:val="21"/>
    </w:rPr>
  </w:style>
  <w:style w:type="character" w:customStyle="1" w:styleId="18">
    <w:name w:val="批注文字 字符"/>
    <w:link w:val="2"/>
    <w:qFormat/>
    <w:uiPriority w:val="0"/>
    <w:rPr>
      <w:rFonts w:ascii="Times New Roman" w:hAnsi="Times New Roman" w:eastAsia="宋体" w:cs="Times New Roman"/>
      <w:kern w:val="2"/>
      <w:sz w:val="21"/>
      <w:szCs w:val="24"/>
    </w:rPr>
  </w:style>
  <w:style w:type="character" w:customStyle="1" w:styleId="19">
    <w:name w:val="批注主题 字符"/>
    <w:link w:val="12"/>
    <w:qFormat/>
    <w:uiPriority w:val="0"/>
    <w:rPr>
      <w:rFonts w:ascii="Times New Roman" w:hAnsi="Times New Roman" w:eastAsia="宋体" w:cs="Times New Roman"/>
      <w:b/>
      <w:bCs/>
      <w:kern w:val="2"/>
      <w:sz w:val="21"/>
      <w:szCs w:val="24"/>
    </w:rPr>
  </w:style>
  <w:style w:type="character" w:customStyle="1" w:styleId="20">
    <w:name w:val="font391"/>
    <w:qFormat/>
    <w:uiPriority w:val="0"/>
    <w:rPr>
      <w:rFonts w:hint="eastAsia" w:ascii="宋体" w:hAnsi="宋体" w:eastAsia="宋体" w:cs="Times New Roman"/>
      <w:color w:val="FF0000"/>
      <w:sz w:val="22"/>
      <w:szCs w:val="22"/>
      <w:u w:val="none"/>
    </w:rPr>
  </w:style>
  <w:style w:type="paragraph" w:styleId="21">
    <w:name w:val="List Paragraph"/>
    <w:basedOn w:val="1"/>
    <w:qFormat/>
    <w:uiPriority w:val="0"/>
    <w:pPr>
      <w:ind w:firstLine="420"/>
    </w:pPr>
    <w:rPr>
      <w:rFonts w:ascii="Calibri" w:hAnsi="Calibri"/>
      <w:szCs w:val="22"/>
    </w:rPr>
  </w:style>
  <w:style w:type="paragraph" w:customStyle="1" w:styleId="2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汕头大学</Company>
  <Pages>4</Pages>
  <Words>364</Words>
  <Characters>2076</Characters>
  <Lines>17</Lines>
  <Paragraphs>4</Paragraphs>
  <TotalTime>6</TotalTime>
  <ScaleCrop>false</ScaleCrop>
  <LinksUpToDate>false</LinksUpToDate>
  <CharactersWithSpaces>2436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2021-08-21T02:36:00Z</dcterms:created>
  <dc:creator>解新路</dc:creator>
  <cp:lastModifiedBy>Jzz</cp:lastModifiedBy>
  <cp:lastPrinted>2017-05-04T03:24:00Z</cp:lastPrinted>
  <dcterms:modified xsi:type="dcterms:W3CDTF">2021-08-22T08:28:57Z</dcterms:modified>
  <dc:title>汕头大学招标书</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0FD999A810814D3D9FC4EDFE3A63D1B2</vt:lpwstr>
  </property>
</Properties>
</file>