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w:t>
      </w:r>
      <w:r>
        <w:rPr>
          <w:rFonts w:hint="eastAsia" w:ascii="宋体" w:hAnsi="宋体" w:eastAsia="宋体"/>
          <w:sz w:val="36"/>
          <w:lang w:val="en-US" w:eastAsia="zh-CN"/>
        </w:rPr>
        <w:t>8</w:t>
      </w:r>
      <w:r>
        <w:rPr>
          <w:rFonts w:hint="eastAsia" w:ascii="宋体" w:hAnsi="宋体" w:eastAsia="宋体"/>
          <w:sz w:val="36"/>
        </w:rPr>
        <w:t>-</w:t>
      </w:r>
      <w:r>
        <w:rPr>
          <w:rFonts w:hint="eastAsia" w:ascii="宋体" w:hAnsi="宋体" w:eastAsia="宋体"/>
          <w:sz w:val="36"/>
          <w:lang w:val="en-US" w:eastAsia="zh-CN"/>
        </w:rPr>
        <w:t>31</w:t>
      </w:r>
    </w:p>
    <w:p>
      <w:pPr>
        <w:kinsoku w:val="0"/>
        <w:wordWrap w:val="0"/>
        <w:topLinePunct/>
        <w:ind w:left="3334" w:leftChars="384" w:hanging="2060" w:hangingChars="500"/>
        <w:jc w:val="left"/>
        <w:rPr>
          <w:rFonts w:hint="default" w:ascii="宋体" w:hAnsi="宋体" w:eastAsia="宋体"/>
          <w:sz w:val="36"/>
          <w:lang w:val="en-US" w:eastAsia="zh-CN"/>
        </w:rPr>
      </w:pPr>
      <w:r>
        <w:rPr>
          <w:rFonts w:hint="eastAsia" w:ascii="宋体" w:hAnsi="宋体" w:eastAsia="宋体"/>
          <w:sz w:val="36"/>
        </w:rPr>
        <w:t>项目名称：汕头大学医学院购超灵敏蛋白标志</w:t>
      </w:r>
      <w:r>
        <w:rPr>
          <w:rFonts w:hint="eastAsia" w:ascii="宋体" w:hAnsi="宋体" w:eastAsia="宋体"/>
          <w:sz w:val="36"/>
          <w:lang w:val="en-US" w:eastAsia="zh-CN"/>
        </w:rPr>
        <w:t xml:space="preserve"> </w:t>
      </w:r>
      <w:r>
        <w:rPr>
          <w:rFonts w:hint="eastAsia" w:ascii="宋体" w:hAnsi="宋体" w:eastAsia="宋体"/>
          <w:sz w:val="36"/>
        </w:rPr>
        <w:t>物及蛋白质组检测试剂盒招标项目</w:t>
      </w:r>
      <w:r>
        <w:rPr>
          <w:rFonts w:hint="eastAsia" w:ascii="宋体" w:hAnsi="宋体" w:eastAsia="宋体"/>
          <w:sz w:val="36"/>
          <w:lang w:val="en-US" w:eastAsia="zh-CN"/>
        </w:rPr>
        <w:t xml:space="preserve">    </w:t>
      </w:r>
    </w:p>
    <w:p>
      <w:pPr>
        <w:kinsoku w:val="0"/>
        <w:wordWrap w:val="0"/>
        <w:topLinePunct/>
        <w:ind w:firstLine="1494"/>
        <w:jc w:val="left"/>
        <w:rPr>
          <w:rFonts w:ascii="宋体" w:hAnsi="宋体" w:eastAsia="宋体"/>
          <w:sz w:val="24"/>
        </w:rPr>
      </w:pPr>
    </w:p>
    <w:p>
      <w:pPr>
        <w:kinsoku w:val="0"/>
        <w:wordWrap w:val="0"/>
        <w:topLinePunct/>
        <w:rPr>
          <w:rFonts w:ascii="宋体" w:hAnsi="宋体" w:eastAsia="宋体"/>
          <w:sz w:val="24"/>
        </w:rPr>
      </w:pPr>
    </w:p>
    <w:p>
      <w:pPr>
        <w:kinsoku w:val="0"/>
        <w:wordWrap w:val="0"/>
        <w:topLinePunct/>
        <w:jc w:val="both"/>
        <w:rPr>
          <w:rFonts w:ascii="宋体" w:hAnsi="宋体" w:eastAsia="宋体"/>
          <w:sz w:val="36"/>
        </w:rPr>
      </w:pPr>
    </w:p>
    <w:p>
      <w:pPr>
        <w:kinsoku w:val="0"/>
        <w:wordWrap w:val="0"/>
        <w:topLinePunct/>
        <w:jc w:val="center"/>
        <w:rPr>
          <w:rFonts w:ascii="宋体" w:hAnsi="宋体" w:eastAsia="宋体"/>
          <w:sz w:val="36"/>
        </w:rPr>
      </w:pPr>
      <w:r>
        <w:drawing>
          <wp:inline distT="0" distB="0" distL="0" distR="0">
            <wp:extent cx="752475" cy="828675"/>
            <wp:effectExtent l="0" t="0" r="0" b="0"/>
            <wp:docPr id="1" name="图片 1" descr="http://www2.stu.edu.cn/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2.stu.edu.cn/img/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w:t>
      </w:r>
      <w:r>
        <w:rPr>
          <w:rFonts w:hint="eastAsia" w:ascii="宋体" w:hAnsi="宋体" w:eastAsia="宋体"/>
          <w:sz w:val="44"/>
          <w:lang w:val="en-US" w:eastAsia="zh-CN"/>
        </w:rPr>
        <w:t>8</w:t>
      </w:r>
      <w:r>
        <w:rPr>
          <w:rFonts w:hint="eastAsia" w:ascii="宋体" w:hAnsi="宋体" w:eastAsia="宋体"/>
          <w:sz w:val="44"/>
        </w:rPr>
        <w:t xml:space="preserve"> .</w:t>
      </w:r>
      <w:r>
        <w:rPr>
          <w:rFonts w:hint="eastAsia" w:ascii="宋体" w:hAnsi="宋体" w:eastAsia="宋体"/>
          <w:sz w:val="44"/>
          <w:lang w:val="en-US" w:eastAsia="zh-CN"/>
        </w:rPr>
        <w:t>31</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1"/>
        </w:numPr>
        <w:kinsoku w:val="0"/>
        <w:wordWrap w:val="0"/>
        <w:topLinePunct/>
        <w:rPr>
          <w:rFonts w:ascii="宋体" w:hAnsi="Arial Narrow" w:eastAsia="宋体"/>
        </w:rPr>
      </w:pPr>
      <w:r>
        <w:rPr>
          <w:rFonts w:hint="eastAsia" w:ascii="宋体" w:hAnsi="Arial Narrow" w:eastAsia="宋体"/>
        </w:rPr>
        <w:t>投标人须知</w:t>
      </w:r>
    </w:p>
    <w:p>
      <w:pPr>
        <w:numPr>
          <w:ilvl w:val="0"/>
          <w:numId w:val="1"/>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1"/>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1"/>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1"/>
        </w:numPr>
        <w:kinsoku w:val="0"/>
        <w:wordWrap w:val="0"/>
        <w:topLinePunct/>
        <w:rPr>
          <w:rFonts w:ascii="宋体" w:hAnsi="Arial Narrow" w:eastAsia="宋体"/>
        </w:rPr>
      </w:pPr>
      <w:r>
        <w:rPr>
          <w:rFonts w:hint="eastAsia" w:ascii="宋体" w:hAnsi="Arial Narrow" w:eastAsia="宋体"/>
        </w:rPr>
        <w:t>评（议）标原则</w:t>
      </w:r>
    </w:p>
    <w:p>
      <w:pPr>
        <w:numPr>
          <w:ilvl w:val="0"/>
          <w:numId w:val="1"/>
        </w:numPr>
        <w:kinsoku w:val="0"/>
        <w:wordWrap w:val="0"/>
        <w:topLinePunct/>
        <w:rPr>
          <w:rFonts w:ascii="宋体" w:hAnsi="Arial Narrow" w:eastAsia="宋体"/>
        </w:rPr>
      </w:pPr>
      <w:r>
        <w:rPr>
          <w:rFonts w:hint="eastAsia" w:ascii="宋体" w:hAnsi="Arial Narrow" w:eastAsia="宋体"/>
        </w:rPr>
        <w:t>开标、评标、定标</w:t>
      </w:r>
    </w:p>
    <w:p>
      <w:pPr>
        <w:numPr>
          <w:ilvl w:val="0"/>
          <w:numId w:val="1"/>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3"/>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3"/>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3"/>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1"/>
          <w:szCs w:val="21"/>
        </w:rPr>
        <w:t>汕头大学医学院购超灵敏蛋白标志物及蛋白质组检测试剂盒招标项目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4"/>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1</w:t>
      </w:r>
      <w:r>
        <w:rPr>
          <w:rFonts w:hint="eastAsia" w:ascii="宋体" w:hAnsi="Arial Narrow" w:eastAsia="宋体"/>
          <w:b/>
          <w:bCs/>
          <w:i/>
          <w:iCs/>
          <w:sz w:val="24"/>
        </w:rPr>
        <w:t>年</w:t>
      </w:r>
      <w:r>
        <w:rPr>
          <w:rFonts w:hint="eastAsia" w:ascii="宋体" w:hAnsi="Arial Narrow" w:eastAsia="宋体"/>
          <w:b/>
          <w:bCs/>
          <w:i/>
          <w:iCs/>
          <w:sz w:val="24"/>
          <w:lang w:val="en-US" w:eastAsia="zh-CN"/>
        </w:rPr>
        <w:t>9</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9</w:t>
      </w:r>
      <w:bookmarkStart w:id="0" w:name="_GoBack"/>
      <w:bookmarkEnd w:id="0"/>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技术规格要求和交货日期、地点等</w:t>
      </w:r>
    </w:p>
    <w:p>
      <w:pPr>
        <w:kinsoku w:val="0"/>
        <w:wordWrap w:val="0"/>
        <w:topLinePunct/>
        <w:jc w:val="center"/>
        <w:rPr>
          <w:rFonts w:hint="eastAsia" w:ascii="宋体" w:hAnsi="Arial Narrow" w:eastAsia="宋体"/>
          <w:b/>
          <w:sz w:val="32"/>
        </w:rPr>
      </w:pPr>
    </w:p>
    <w:p>
      <w:pPr>
        <w:spacing w:line="360" w:lineRule="auto"/>
        <w:rPr>
          <w:rFonts w:ascii="宋体" w:hAnsi="宋体"/>
          <w:szCs w:val="21"/>
        </w:rPr>
      </w:pPr>
      <w:r>
        <w:rPr>
          <w:rFonts w:hint="eastAsia" w:ascii="宋体" w:hAnsi="宋体"/>
          <w:szCs w:val="21"/>
        </w:rPr>
        <w:t>一、名称：超灵敏蛋白标志物及蛋白质组检测试剂盒</w:t>
      </w:r>
    </w:p>
    <w:p>
      <w:pPr>
        <w:spacing w:line="360" w:lineRule="auto"/>
        <w:rPr>
          <w:rFonts w:hint="eastAsia" w:ascii="宋体" w:hAnsi="宋体"/>
          <w:szCs w:val="21"/>
        </w:rPr>
      </w:pPr>
      <w:r>
        <w:rPr>
          <w:rFonts w:hint="eastAsia" w:ascii="宋体" w:hAnsi="宋体"/>
          <w:szCs w:val="21"/>
        </w:rPr>
        <w:t>二、数量：2盒，每盒可完成8</w:t>
      </w:r>
      <w:r>
        <w:rPr>
          <w:rFonts w:ascii="宋体" w:hAnsi="宋体"/>
          <w:szCs w:val="21"/>
        </w:rPr>
        <w:t>8</w:t>
      </w:r>
      <w:r>
        <w:rPr>
          <w:rFonts w:hint="eastAsia" w:ascii="宋体" w:hAnsi="宋体"/>
          <w:szCs w:val="21"/>
        </w:rPr>
        <w:t>个样品、每个样品9</w:t>
      </w:r>
      <w:r>
        <w:rPr>
          <w:rFonts w:ascii="宋体" w:hAnsi="宋体"/>
          <w:szCs w:val="21"/>
        </w:rPr>
        <w:t>2</w:t>
      </w:r>
      <w:r>
        <w:rPr>
          <w:rFonts w:hint="eastAsia" w:ascii="宋体" w:hAnsi="宋体"/>
          <w:szCs w:val="21"/>
        </w:rPr>
        <w:t>个目标蛋白的测试。</w:t>
      </w:r>
    </w:p>
    <w:p>
      <w:pPr>
        <w:kinsoku w:val="0"/>
        <w:topLinePunct/>
        <w:rPr>
          <w:rFonts w:hint="eastAsia" w:ascii="宋体" w:hAnsi="宋体"/>
          <w:szCs w:val="21"/>
        </w:rPr>
      </w:pPr>
      <w:r>
        <w:rPr>
          <w:rFonts w:hint="eastAsia" w:ascii="宋体" w:hAnsi="Arial Narrow"/>
          <w:b/>
          <w:sz w:val="32"/>
        </w:rPr>
        <w:t>预算：</w:t>
      </w:r>
      <w:r>
        <w:rPr>
          <w:rFonts w:ascii="宋体" w:hAnsi="Arial Narrow"/>
          <w:b/>
          <w:sz w:val="32"/>
        </w:rPr>
        <w:t>264000</w:t>
      </w:r>
      <w:r>
        <w:rPr>
          <w:rFonts w:hint="eastAsia" w:ascii="宋体" w:hAnsi="Arial Narrow"/>
          <w:b/>
          <w:sz w:val="32"/>
        </w:rPr>
        <w:t>元（含税）</w:t>
      </w:r>
    </w:p>
    <w:p>
      <w:pPr>
        <w:spacing w:line="360" w:lineRule="auto"/>
        <w:rPr>
          <w:rFonts w:ascii="宋体" w:hAnsi="宋体"/>
          <w:szCs w:val="21"/>
        </w:rPr>
      </w:pPr>
      <w:r>
        <w:rPr>
          <w:rFonts w:hint="eastAsia" w:ascii="宋体" w:hAnsi="宋体"/>
          <w:szCs w:val="21"/>
        </w:rPr>
        <w:t>三、技术参数：</w:t>
      </w:r>
    </w:p>
    <w:p>
      <w:pPr>
        <w:pStyle w:val="97"/>
        <w:spacing w:line="360" w:lineRule="auto"/>
        <w:rPr>
          <w:rFonts w:ascii="宋体" w:hAnsi="宋体" w:eastAsia="宋体"/>
          <w:szCs w:val="21"/>
        </w:rPr>
      </w:pPr>
      <w:r>
        <w:rPr>
          <w:rFonts w:eastAsia="宋体"/>
          <w:szCs w:val="21"/>
        </w:rPr>
        <w:t>▲</w:t>
      </w:r>
      <w:r>
        <w:rPr>
          <w:rFonts w:hint="eastAsia" w:ascii="宋体" w:hAnsi="宋体" w:eastAsia="宋体"/>
          <w:szCs w:val="21"/>
        </w:rPr>
        <w:t>1、采用邻位延伸反应（PEA）技术实现多样本多蛋白的96-Plex多重同时检测；</w:t>
      </w:r>
    </w:p>
    <w:p>
      <w:pPr>
        <w:pStyle w:val="97"/>
        <w:spacing w:line="360" w:lineRule="auto"/>
        <w:ind w:firstLine="996" w:firstLineChars="300"/>
        <w:rPr>
          <w:rFonts w:ascii="宋体" w:hAnsi="宋体" w:eastAsia="宋体"/>
          <w:szCs w:val="21"/>
        </w:rPr>
      </w:pPr>
      <w:r>
        <w:rPr>
          <w:rFonts w:hint="eastAsia" w:ascii="宋体" w:hAnsi="宋体" w:eastAsia="宋体"/>
          <w:szCs w:val="21"/>
        </w:rPr>
        <w:t>2、检测实验设计有严格的内部参照和外部参照，能对实验结果进行QC检验；</w:t>
      </w:r>
    </w:p>
    <w:p>
      <w:pPr>
        <w:pStyle w:val="97"/>
        <w:spacing w:line="360" w:lineRule="auto"/>
        <w:ind w:firstLine="996" w:firstLineChars="300"/>
        <w:rPr>
          <w:rFonts w:ascii="宋体" w:hAnsi="宋体" w:eastAsia="宋体"/>
          <w:szCs w:val="21"/>
        </w:rPr>
      </w:pPr>
      <w:r>
        <w:rPr>
          <w:rFonts w:hint="eastAsia" w:ascii="宋体" w:hAnsi="宋体" w:eastAsia="宋体"/>
          <w:szCs w:val="21"/>
        </w:rPr>
        <w:t>3、单次实验可支持88个样本、每个样本检测92个蛋白质；</w:t>
      </w:r>
    </w:p>
    <w:p>
      <w:pPr>
        <w:pStyle w:val="97"/>
        <w:spacing w:line="360" w:lineRule="auto"/>
        <w:ind w:firstLine="996" w:firstLineChars="300"/>
        <w:rPr>
          <w:rFonts w:ascii="宋体" w:hAnsi="宋体" w:eastAsia="宋体"/>
          <w:szCs w:val="21"/>
        </w:rPr>
      </w:pPr>
      <w:r>
        <w:rPr>
          <w:rFonts w:hint="eastAsia" w:ascii="宋体" w:hAnsi="宋体" w:eastAsia="宋体"/>
          <w:szCs w:val="21"/>
        </w:rPr>
        <w:t>4、检测92个蛋白质只需要使用1</w:t>
      </w:r>
      <w:r>
        <w:rPr>
          <w:rFonts w:ascii="Arial" w:hAnsi="Arial" w:eastAsia="宋体" w:cs="Arial"/>
          <w:szCs w:val="21"/>
        </w:rPr>
        <w:t>μ</w:t>
      </w:r>
      <w:r>
        <w:rPr>
          <w:rFonts w:hint="eastAsia" w:ascii="宋体" w:hAnsi="宋体" w:eastAsia="宋体"/>
          <w:szCs w:val="21"/>
        </w:rPr>
        <w:t>l的样本体积；</w:t>
      </w:r>
    </w:p>
    <w:p>
      <w:pPr>
        <w:pStyle w:val="97"/>
        <w:spacing w:line="360" w:lineRule="auto"/>
        <w:ind w:firstLine="996" w:firstLineChars="300"/>
        <w:rPr>
          <w:rFonts w:ascii="宋体" w:hAnsi="宋体" w:eastAsia="宋体"/>
          <w:szCs w:val="21"/>
        </w:rPr>
      </w:pPr>
      <w:r>
        <w:rPr>
          <w:rFonts w:hint="eastAsia" w:ascii="宋体" w:hAnsi="宋体" w:eastAsia="宋体"/>
          <w:szCs w:val="21"/>
        </w:rPr>
        <w:t>5、检测灵敏度最高的可达30fg/ml；</w:t>
      </w:r>
    </w:p>
    <w:p>
      <w:pPr>
        <w:pStyle w:val="97"/>
        <w:spacing w:line="360" w:lineRule="auto"/>
        <w:ind w:firstLine="996" w:firstLineChars="300"/>
        <w:rPr>
          <w:rFonts w:ascii="宋体" w:hAnsi="宋体" w:eastAsia="宋体"/>
          <w:szCs w:val="21"/>
        </w:rPr>
      </w:pPr>
      <w:r>
        <w:rPr>
          <w:rFonts w:hint="eastAsia" w:ascii="宋体" w:hAnsi="宋体" w:eastAsia="宋体"/>
          <w:szCs w:val="21"/>
        </w:rPr>
        <w:t>6、检测动态范围横跨10个数量级，覆盖高、中、低丰度蛋白；</w:t>
      </w:r>
    </w:p>
    <w:p>
      <w:pPr>
        <w:pStyle w:val="97"/>
        <w:spacing w:line="360" w:lineRule="auto"/>
        <w:ind w:firstLine="996" w:firstLineChars="300"/>
        <w:rPr>
          <w:rFonts w:ascii="宋体" w:hAnsi="宋体" w:eastAsia="宋体"/>
          <w:szCs w:val="21"/>
        </w:rPr>
      </w:pPr>
      <w:r>
        <w:rPr>
          <w:rFonts w:hint="eastAsia" w:ascii="宋体" w:hAnsi="宋体" w:eastAsia="宋体"/>
          <w:szCs w:val="21"/>
        </w:rPr>
        <w:t>7、针对血清/血浆样样本的检出率、重复性好。</w:t>
      </w:r>
    </w:p>
    <w:p>
      <w:pPr>
        <w:pStyle w:val="97"/>
        <w:spacing w:line="360" w:lineRule="auto"/>
        <w:rPr>
          <w:rFonts w:hint="eastAsia" w:ascii="宋体" w:hAnsi="宋体" w:eastAsia="宋体"/>
          <w:szCs w:val="21"/>
        </w:rPr>
      </w:pPr>
      <w:r>
        <w:rPr>
          <w:rFonts w:eastAsia="宋体"/>
          <w:szCs w:val="21"/>
        </w:rPr>
        <w:t>▲</w:t>
      </w:r>
      <w:r>
        <w:rPr>
          <w:rFonts w:hint="eastAsia" w:ascii="宋体" w:hAnsi="宋体" w:eastAsia="宋体"/>
          <w:szCs w:val="21"/>
        </w:rPr>
        <w:t>8、完成1</w:t>
      </w:r>
      <w:r>
        <w:rPr>
          <w:rFonts w:ascii="宋体" w:hAnsi="宋体" w:eastAsia="宋体"/>
          <w:szCs w:val="21"/>
        </w:rPr>
        <w:t>76</w:t>
      </w:r>
      <w:r>
        <w:rPr>
          <w:rFonts w:hint="eastAsia" w:ascii="宋体" w:hAnsi="宋体" w:eastAsia="宋体"/>
          <w:szCs w:val="21"/>
        </w:rPr>
        <w:t>个样本检测与数据分析服务</w:t>
      </w: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500" w:lineRule="exact"/>
        <w:jc w:val="center"/>
        <w:rPr>
          <w:rFonts w:ascii="宋体" w:hAnsi="宋体" w:eastAsia="宋体"/>
          <w:b/>
          <w:bCs/>
          <w:sz w:val="48"/>
          <w:szCs w:val="48"/>
        </w:rPr>
      </w:pPr>
      <w:r>
        <w:rPr>
          <w:rFonts w:hint="eastAsia" w:ascii="宋体" w:hAnsi="宋体" w:eastAsia="宋体"/>
          <w:b/>
          <w:bCs/>
          <w:sz w:val="48"/>
          <w:szCs w:val="48"/>
        </w:rPr>
        <w:t xml:space="preserve">合 同 </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合同编号</w:t>
      </w:r>
      <w:r>
        <w:rPr>
          <w:rFonts w:ascii="宋体" w:hAnsi="宋体" w:eastAsia="宋体"/>
          <w:sz w:val="21"/>
          <w:szCs w:val="21"/>
        </w:rPr>
        <w:t>:</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签订地点：</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签订日期：</w:t>
      </w:r>
    </w:p>
    <w:p>
      <w:pPr>
        <w:spacing w:line="340" w:lineRule="exact"/>
        <w:rPr>
          <w:rFonts w:ascii="宋体" w:hAnsi="宋体" w:eastAsia="宋体"/>
          <w:sz w:val="24"/>
        </w:rPr>
      </w:pPr>
      <w:r>
        <w:rPr>
          <w:rFonts w:hint="eastAsia" w:ascii="宋体" w:hAnsi="宋体" w:eastAsia="宋体"/>
          <w:sz w:val="24"/>
        </w:rPr>
        <w:t xml:space="preserve"> 甲方（需方）：汕头大学医学院                </w:t>
      </w:r>
    </w:p>
    <w:p>
      <w:pPr>
        <w:spacing w:line="340" w:lineRule="exact"/>
        <w:rPr>
          <w:rFonts w:ascii="宋体" w:hAnsi="宋体" w:eastAsia="宋体"/>
          <w:sz w:val="24"/>
        </w:rPr>
      </w:pPr>
      <w:r>
        <w:rPr>
          <w:rFonts w:hint="eastAsia" w:ascii="宋体" w:hAnsi="宋体" w:eastAsia="宋体"/>
          <w:sz w:val="24"/>
        </w:rPr>
        <w:t xml:space="preserve"> 乙方（中标方）：</w:t>
      </w:r>
    </w:p>
    <w:p>
      <w:pPr>
        <w:spacing w:line="340" w:lineRule="exact"/>
        <w:ind w:firstLine="393" w:firstLineChars="150"/>
        <w:rPr>
          <w:rFonts w:ascii="宋体" w:hAnsi="宋体" w:eastAsia="宋体"/>
          <w:sz w:val="24"/>
        </w:rPr>
      </w:pPr>
      <w:r>
        <w:rPr>
          <w:rFonts w:hint="eastAsia" w:ascii="仿宋_GB2312" w:hAnsi="宋体"/>
          <w:sz w:val="21"/>
        </w:rPr>
        <w:t>根据《中华人民共和国经济合同法》及  年 月 日汕头大学医学院“</w:t>
      </w:r>
      <w:r>
        <w:rPr>
          <w:rFonts w:hint="eastAsia" w:ascii="华文仿宋" w:hAnsi="华文仿宋" w:eastAsia="华文仿宋"/>
          <w:sz w:val="21"/>
        </w:rPr>
        <w:t>医学仪器与办公设备</w:t>
      </w:r>
      <w:r>
        <w:rPr>
          <w:rFonts w:hint="eastAsia" w:ascii="仿宋_GB2312" w:hAnsi="宋体"/>
          <w:sz w:val="18"/>
        </w:rPr>
        <w:t xml:space="preserve">   </w:t>
      </w:r>
      <w:r>
        <w:rPr>
          <w:rFonts w:hint="eastAsia" w:ascii="华文仿宋" w:hAnsi="华文仿宋" w:eastAsia="华文仿宋"/>
          <w:sz w:val="21"/>
        </w:rPr>
        <w:t>号</w:t>
      </w:r>
      <w:r>
        <w:rPr>
          <w:rFonts w:hint="eastAsia" w:ascii="仿宋_GB2312" w:hAnsi="宋体"/>
          <w:sz w:val="21"/>
        </w:rPr>
        <w:t>”招标文件和依据次文件产生的中标结果，经甲、乙双方平等协商，签订本合同。</w:t>
      </w:r>
    </w:p>
    <w:p>
      <w:pPr>
        <w:numPr>
          <w:ilvl w:val="0"/>
          <w:numId w:val="8"/>
        </w:numPr>
        <w:kinsoku w:val="0"/>
        <w:wordWrap w:val="0"/>
        <w:topLinePunct/>
        <w:spacing w:line="340" w:lineRule="exact"/>
        <w:rPr>
          <w:rFonts w:ascii="仿宋_GB2312" w:hAnsi="宋体"/>
          <w:b/>
          <w:sz w:val="21"/>
        </w:rPr>
      </w:pPr>
      <w:r>
        <w:rPr>
          <w:rFonts w:hint="eastAsia" w:ascii="宋体" w:hAnsi="宋体" w:eastAsia="宋体"/>
          <w:sz w:val="24"/>
        </w:rPr>
        <w:t>一、</w:t>
      </w:r>
      <w:r>
        <w:rPr>
          <w:rFonts w:hint="eastAsia" w:ascii="仿宋_GB2312" w:hAnsi="宋体"/>
          <w:b/>
          <w:sz w:val="21"/>
        </w:rPr>
        <w:t>产品具体技术指标以供方投标书为准</w:t>
      </w:r>
    </w:p>
    <w:p>
      <w:pPr>
        <w:numPr>
          <w:ilvl w:val="0"/>
          <w:numId w:val="8"/>
        </w:numPr>
        <w:kinsoku w:val="0"/>
        <w:wordWrap w:val="0"/>
        <w:topLinePunct/>
        <w:spacing w:line="340" w:lineRule="exact"/>
        <w:rPr>
          <w:rFonts w:ascii="仿宋_GB2312" w:hAnsi="宋体"/>
          <w:b/>
          <w:sz w:val="21"/>
        </w:rPr>
      </w:pPr>
      <w:r>
        <w:rPr>
          <w:rFonts w:hint="eastAsia" w:ascii="仿宋_GB2312" w:hAnsi="宋体"/>
          <w:b/>
          <w:sz w:val="21"/>
        </w:rPr>
        <w:t>产品报价</w:t>
      </w:r>
    </w:p>
    <w:p>
      <w:pPr>
        <w:spacing w:line="280" w:lineRule="exact"/>
        <w:rPr>
          <w:rFonts w:ascii="宋体" w:hAnsi="宋体" w:eastAsia="宋体"/>
          <w:sz w:val="24"/>
        </w:rPr>
      </w:pPr>
      <w:r>
        <w:rPr>
          <w:rFonts w:hint="eastAsia" w:ascii="宋体" w:hAnsi="宋体" w:eastAsia="宋体"/>
          <w:sz w:val="24"/>
        </w:rPr>
        <w:t xml:space="preserve">： </w:t>
      </w:r>
    </w:p>
    <w:p>
      <w:pPr>
        <w:spacing w:line="280" w:lineRule="exact"/>
        <w:rPr>
          <w:rFonts w:ascii="宋体" w:hAnsi="宋体" w:eastAsia="宋体"/>
          <w:sz w:val="24"/>
        </w:rPr>
      </w:pPr>
    </w:p>
    <w:tbl>
      <w:tblPr>
        <w:tblStyle w:val="22"/>
        <w:tblW w:w="9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0"/>
        <w:gridCol w:w="1258"/>
        <w:gridCol w:w="2002"/>
        <w:gridCol w:w="1559"/>
        <w:gridCol w:w="1560"/>
        <w:gridCol w:w="127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r>
              <w:rPr>
                <w:rFonts w:ascii="Arial" w:hAnsi="Arial" w:eastAsia="宋体" w:cs="Arial"/>
                <w:sz w:val="24"/>
              </w:rPr>
              <w:t>产品名称、品牌及生产</w:t>
            </w:r>
            <w:r>
              <w:rPr>
                <w:rFonts w:ascii="Arial" w:hAnsi="Arial" w:eastAsia="Cambria" w:cs="Arial"/>
                <w:sz w:val="24"/>
              </w:rPr>
              <w:t>商</w:t>
            </w: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货号</w:t>
            </w: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产品说明</w:t>
            </w:r>
          </w:p>
        </w:tc>
        <w:tc>
          <w:tcPr>
            <w:tcW w:w="1559" w:type="dxa"/>
            <w:vAlign w:val="center"/>
          </w:tcPr>
          <w:p>
            <w:pPr>
              <w:spacing w:before="100" w:after="100" w:line="280" w:lineRule="exact"/>
              <w:jc w:val="center"/>
              <w:rPr>
                <w:rFonts w:ascii="Arial" w:hAnsi="Arial" w:eastAsia="宋体" w:cs="Arial"/>
                <w:sz w:val="24"/>
              </w:rPr>
            </w:pPr>
            <w:r>
              <w:rPr>
                <w:rFonts w:ascii="Arial" w:hAnsi="Arial" w:eastAsia="宋体" w:cs="Arial"/>
                <w:sz w:val="24"/>
              </w:rPr>
              <w:t>数量</w:t>
            </w:r>
          </w:p>
        </w:tc>
        <w:tc>
          <w:tcPr>
            <w:tcW w:w="1560" w:type="dxa"/>
            <w:vAlign w:val="center"/>
          </w:tcPr>
          <w:p>
            <w:pPr>
              <w:spacing w:line="280" w:lineRule="exact"/>
              <w:jc w:val="center"/>
              <w:rPr>
                <w:rFonts w:ascii="Arial" w:hAnsi="Arial" w:eastAsia="宋体" w:cs="Arial"/>
                <w:sz w:val="24"/>
              </w:rPr>
            </w:pPr>
            <w:r>
              <w:rPr>
                <w:rFonts w:ascii="Arial" w:hAnsi="Arial" w:eastAsia="宋体" w:cs="Arial"/>
                <w:sz w:val="24"/>
              </w:rPr>
              <w:t>单价（元）</w:t>
            </w:r>
          </w:p>
        </w:tc>
        <w:tc>
          <w:tcPr>
            <w:tcW w:w="1275" w:type="dxa"/>
            <w:tcBorders>
              <w:right w:val="single" w:color="auto" w:sz="4" w:space="0"/>
            </w:tcBorders>
            <w:vAlign w:val="center"/>
          </w:tcPr>
          <w:p>
            <w:pPr>
              <w:spacing w:before="100" w:after="100" w:line="280" w:lineRule="exact"/>
              <w:rPr>
                <w:rFonts w:ascii="Arial" w:hAnsi="Arial" w:eastAsia="宋体" w:cs="Arial"/>
                <w:sz w:val="24"/>
              </w:rPr>
            </w:pPr>
            <w:r>
              <w:rPr>
                <w:rFonts w:ascii="Arial" w:hAnsi="Arial" w:eastAsia="宋体" w:cs="Arial"/>
                <w:sz w:val="24"/>
              </w:rPr>
              <w:t>总价（元）</w:t>
            </w: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p>
        </w:tc>
        <w:tc>
          <w:tcPr>
            <w:tcW w:w="1559" w:type="dxa"/>
            <w:vAlign w:val="center"/>
          </w:tcPr>
          <w:p>
            <w:pPr>
              <w:spacing w:before="100" w:after="100" w:line="280" w:lineRule="exact"/>
              <w:jc w:val="center"/>
              <w:rPr>
                <w:rFonts w:ascii="Arial" w:hAnsi="Arial" w:eastAsia="宋体" w:cs="Arial"/>
                <w:sz w:val="24"/>
              </w:rPr>
            </w:pPr>
          </w:p>
        </w:tc>
        <w:tc>
          <w:tcPr>
            <w:tcW w:w="1560" w:type="dxa"/>
            <w:vAlign w:val="center"/>
          </w:tcPr>
          <w:p>
            <w:pPr>
              <w:spacing w:line="280" w:lineRule="exact"/>
              <w:jc w:val="center"/>
              <w:rPr>
                <w:rFonts w:ascii="Arial" w:hAnsi="Arial" w:eastAsia="宋体" w:cs="Arial"/>
                <w:sz w:val="24"/>
              </w:rPr>
            </w:pPr>
          </w:p>
        </w:tc>
        <w:tc>
          <w:tcPr>
            <w:tcW w:w="1275"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3" w:hRule="atLeast"/>
          <w:jc w:val="center"/>
        </w:trPr>
        <w:tc>
          <w:tcPr>
            <w:tcW w:w="9831" w:type="dxa"/>
            <w:gridSpan w:val="7"/>
            <w:tcBorders>
              <w:bottom w:val="single" w:color="auto" w:sz="4" w:space="0"/>
              <w:right w:val="single" w:color="auto" w:sz="4" w:space="0"/>
            </w:tcBorders>
            <w:vAlign w:val="center"/>
          </w:tcPr>
          <w:p>
            <w:pPr>
              <w:spacing w:line="280" w:lineRule="exact"/>
              <w:rPr>
                <w:rFonts w:ascii="Arial" w:hAnsi="Arial" w:eastAsia="宋体" w:cs="Arial"/>
                <w:sz w:val="24"/>
              </w:rPr>
            </w:pPr>
            <w:r>
              <w:rPr>
                <w:rFonts w:ascii="Arial" w:hAnsi="Arial" w:eastAsia="宋体" w:cs="Arial"/>
                <w:sz w:val="24"/>
              </w:rPr>
              <w:t>货款共计(大写)：人民币</w:t>
            </w:r>
            <w:r>
              <w:rPr>
                <w:rFonts w:hint="eastAsia" w:ascii="Arial" w:hAnsi="Arial" w:eastAsia="宋体" w:cs="Arial"/>
                <w:sz w:val="24"/>
              </w:rPr>
              <w:t>万柒</w:t>
            </w:r>
            <w:r>
              <w:rPr>
                <w:rFonts w:ascii="Arial" w:hAnsi="Arial" w:eastAsia="宋体" w:cs="Arial"/>
                <w:sz w:val="24"/>
              </w:rPr>
              <w:t>仟</w:t>
            </w:r>
            <w:r>
              <w:rPr>
                <w:rFonts w:hint="eastAsia" w:ascii="Arial" w:hAnsi="Arial" w:eastAsia="宋体" w:cs="Arial"/>
                <w:sz w:val="24"/>
              </w:rPr>
              <w:t>叁佰捌拾</w:t>
            </w:r>
            <w:r>
              <w:rPr>
                <w:rFonts w:ascii="Arial" w:hAnsi="Arial" w:eastAsia="宋体" w:cs="Arial"/>
                <w:sz w:val="24"/>
              </w:rPr>
              <w:t>元整（</w:t>
            </w:r>
            <w:r>
              <w:rPr>
                <w:rFonts w:ascii="Arial" w:hAnsi="Arial" w:eastAsia="宋体" w:cs="Arial"/>
                <w:sz w:val="21"/>
              </w:rPr>
              <w:t>￥</w:t>
            </w:r>
            <w:r>
              <w:rPr>
                <w:rFonts w:ascii="Arial" w:hAnsi="Arial" w:eastAsia="宋体" w:cs="Arial"/>
                <w:sz w:val="24"/>
              </w:rPr>
              <w:t>）</w:t>
            </w:r>
            <w:r>
              <w:rPr>
                <w:rFonts w:hint="eastAsia" w:ascii="Arial" w:hAnsi="Arial" w:eastAsia="宋体" w:cs="Arial"/>
                <w:sz w:val="24"/>
              </w:rPr>
              <w:t>.00</w:t>
            </w:r>
          </w:p>
        </w:tc>
      </w:tr>
    </w:tbl>
    <w:p>
      <w:pPr>
        <w:rPr>
          <w:rFonts w:ascii="宋体" w:hAnsi="宋体" w:eastAsia="宋体"/>
          <w:color w:val="000000"/>
          <w:sz w:val="24"/>
        </w:rPr>
      </w:pPr>
    </w:p>
    <w:p>
      <w:pPr>
        <w:rPr>
          <w:rFonts w:ascii="宋体" w:hAnsi="宋体" w:eastAsia="宋体"/>
          <w:color w:val="000000"/>
          <w:sz w:val="24"/>
        </w:rPr>
      </w:pPr>
      <w:r>
        <w:rPr>
          <w:rFonts w:hint="eastAsia" w:ascii="宋体" w:hAnsi="宋体" w:eastAsia="宋体"/>
          <w:color w:val="000000"/>
          <w:sz w:val="24"/>
        </w:rPr>
        <w:t>三、货款支付</w:t>
      </w:r>
    </w:p>
    <w:p>
      <w:pPr>
        <w:spacing w:after="60" w:line="360" w:lineRule="exact"/>
        <w:rPr>
          <w:rFonts w:ascii="宋体" w:hAnsi="宋体" w:eastAsia="宋体"/>
          <w:sz w:val="21"/>
          <w:szCs w:val="21"/>
        </w:rPr>
      </w:pPr>
      <w:r>
        <w:rPr>
          <w:rFonts w:hint="eastAsia" w:ascii="宋体" w:hAnsi="宋体" w:eastAsia="宋体"/>
          <w:sz w:val="21"/>
          <w:szCs w:val="21"/>
        </w:rPr>
        <w:t xml:space="preserve">   甲方应于到货验收后30日内向乙方全额支付货款。</w:t>
      </w:r>
    </w:p>
    <w:p>
      <w:pPr>
        <w:spacing w:after="60" w:line="360" w:lineRule="exact"/>
        <w:rPr>
          <w:rFonts w:ascii="宋体" w:hAnsi="宋体" w:eastAsia="宋体"/>
          <w:sz w:val="24"/>
        </w:rPr>
      </w:pPr>
      <w:r>
        <w:rPr>
          <w:rFonts w:hint="eastAsia" w:ascii="宋体" w:hAnsi="宋体" w:eastAsia="宋体"/>
          <w:sz w:val="24"/>
        </w:rPr>
        <w:t>三、交货和运输</w:t>
      </w:r>
    </w:p>
    <w:p>
      <w:pPr>
        <w:spacing w:after="60" w:line="360" w:lineRule="exact"/>
        <w:rPr>
          <w:rFonts w:ascii="宋体" w:hAnsi="宋体" w:eastAsia="宋体"/>
          <w:sz w:val="21"/>
          <w:szCs w:val="21"/>
        </w:rPr>
      </w:pPr>
      <w:r>
        <w:rPr>
          <w:rFonts w:hint="eastAsia" w:ascii="宋体" w:hAnsi="宋体" w:eastAsia="宋体"/>
          <w:sz w:val="21"/>
          <w:szCs w:val="21"/>
        </w:rPr>
        <w:t>1.交货时间：</w:t>
      </w:r>
    </w:p>
    <w:p>
      <w:pPr>
        <w:spacing w:after="60" w:line="360" w:lineRule="exact"/>
        <w:rPr>
          <w:rFonts w:ascii="宋体" w:hAnsi="宋体" w:eastAsia="宋体"/>
          <w:sz w:val="21"/>
          <w:szCs w:val="21"/>
        </w:rPr>
      </w:pPr>
      <w:r>
        <w:rPr>
          <w:rFonts w:hint="eastAsia" w:ascii="宋体" w:hAnsi="宋体" w:eastAsia="宋体"/>
          <w:sz w:val="21"/>
          <w:szCs w:val="21"/>
        </w:rPr>
        <w:t>合同签订，免税批文下达后50个工作日内到货。</w:t>
      </w:r>
    </w:p>
    <w:p>
      <w:pPr>
        <w:spacing w:after="60" w:line="360" w:lineRule="exac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交货方法：由</w:t>
      </w:r>
      <w:r>
        <w:rPr>
          <w:rFonts w:hint="eastAsia" w:ascii="宋体" w:hAnsi="宋体" w:eastAsia="宋体"/>
          <w:sz w:val="21"/>
          <w:szCs w:val="21"/>
        </w:rPr>
        <w:t>乙</w:t>
      </w:r>
      <w:r>
        <w:rPr>
          <w:rFonts w:ascii="宋体" w:hAnsi="宋体" w:eastAsia="宋体"/>
          <w:sz w:val="21"/>
          <w:szCs w:val="21"/>
        </w:rPr>
        <w:t>方选择合适的方式将产品运至约定交货地点</w:t>
      </w:r>
      <w:r>
        <w:rPr>
          <w:rFonts w:hint="eastAsia" w:ascii="宋体" w:hAnsi="宋体" w:eastAsia="宋体"/>
          <w:sz w:val="21"/>
          <w:szCs w:val="21"/>
        </w:rPr>
        <w:t>。</w:t>
      </w:r>
    </w:p>
    <w:p>
      <w:pPr>
        <w:spacing w:after="60" w:line="360" w:lineRule="exact"/>
        <w:rPr>
          <w:rFonts w:ascii="宋体" w:hAnsi="宋体" w:eastAsia="宋体"/>
          <w:sz w:val="21"/>
          <w:szCs w:val="21"/>
          <w:u w:val="single"/>
        </w:rPr>
      </w:pPr>
      <w:r>
        <w:rPr>
          <w:rFonts w:hint="eastAsia" w:ascii="宋体" w:hAnsi="宋体" w:eastAsia="宋体"/>
          <w:sz w:val="24"/>
        </w:rPr>
        <w:t>四、产品质量</w:t>
      </w:r>
    </w:p>
    <w:p>
      <w:pPr>
        <w:ind w:firstLine="524" w:firstLineChars="200"/>
        <w:rPr>
          <w:sz w:val="21"/>
        </w:rPr>
      </w:pPr>
      <w:r>
        <w:rPr>
          <w:rFonts w:hint="eastAsia"/>
          <w:sz w:val="21"/>
        </w:rPr>
        <w:t>货物必须为厂家原装进口产品，其产品符合国家有关进口产品规定，属于正规进口血清产品。产品质量性能需达到上述招标技术要求，产品有效期满足至2024年10月31日有效。</w:t>
      </w:r>
    </w:p>
    <w:p>
      <w:pPr>
        <w:spacing w:after="60" w:line="360" w:lineRule="exact"/>
        <w:rPr>
          <w:rFonts w:ascii="宋体" w:hAnsi="宋体" w:eastAsia="宋体"/>
          <w:sz w:val="24"/>
        </w:rPr>
      </w:pPr>
      <w:r>
        <w:rPr>
          <w:rFonts w:hint="eastAsia" w:ascii="宋体" w:hAnsi="宋体" w:eastAsia="宋体"/>
          <w:sz w:val="24"/>
        </w:rPr>
        <w:t>五、验收及提出异议期限</w:t>
      </w:r>
    </w:p>
    <w:p>
      <w:pPr>
        <w:spacing w:after="60" w:line="360" w:lineRule="exact"/>
        <w:rPr>
          <w:rFonts w:ascii="宋体" w:hAnsi="宋体" w:eastAsia="宋体"/>
          <w:sz w:val="21"/>
          <w:szCs w:val="21"/>
        </w:rPr>
      </w:pPr>
      <w:r>
        <w:rPr>
          <w:rFonts w:hint="eastAsia" w:ascii="宋体" w:hAnsi="宋体" w:eastAsia="宋体"/>
          <w:sz w:val="21"/>
          <w:szCs w:val="21"/>
        </w:rPr>
        <w:t>1.包装及运输条件的验收：甲方须在产品到达交货地点后当场拆开包装，验收检查产品包装及冷藏条件，如有划痕、破损、变形、漏洒等异常情形，应拒收并书面（包括传真方式）通知乙方协商解决。</w:t>
      </w:r>
    </w:p>
    <w:p>
      <w:pPr>
        <w:spacing w:after="60" w:line="360" w:lineRule="exact"/>
        <w:rPr>
          <w:rFonts w:ascii="宋体" w:hAnsi="宋体" w:eastAsia="宋体"/>
          <w:sz w:val="24"/>
        </w:rPr>
      </w:pPr>
      <w:r>
        <w:rPr>
          <w:rFonts w:ascii="宋体" w:hAnsi="宋体" w:eastAsia="宋体"/>
          <w:sz w:val="21"/>
          <w:szCs w:val="21"/>
        </w:rPr>
        <w:t>2</w:t>
      </w:r>
      <w:r>
        <w:rPr>
          <w:rFonts w:hint="eastAsia" w:ascii="宋体" w:hAnsi="宋体" w:eastAsia="宋体"/>
          <w:sz w:val="21"/>
          <w:szCs w:val="21"/>
        </w:rPr>
        <w:t>.产品名称及数量验收：甲方在产品到达后对产品名称、货号、数量、保质期等进行清点，核对无误后，买房通知卖方视为买房对产品名称和数量验收合格；如发现品牌、规格数量等不符合协议规定的，甲方应在收货时以书面通知乙方，并保留货物毁损的证据。</w:t>
      </w:r>
    </w:p>
    <w:p>
      <w:pPr>
        <w:spacing w:after="60" w:line="360" w:lineRule="exact"/>
        <w:rPr>
          <w:rFonts w:ascii="宋体" w:hAnsi="宋体" w:eastAsia="宋体"/>
          <w:sz w:val="24"/>
        </w:rPr>
      </w:pPr>
      <w:r>
        <w:rPr>
          <w:rFonts w:hint="eastAsia" w:ascii="宋体" w:hAnsi="宋体" w:eastAsia="宋体"/>
          <w:sz w:val="24"/>
        </w:rPr>
        <w:t>六、违约责任</w:t>
      </w:r>
    </w:p>
    <w:p>
      <w:pPr>
        <w:numPr>
          <w:ilvl w:val="0"/>
          <w:numId w:val="9"/>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乙方未能交付货物，则向甲方支付总金额5%的违约金。</w:t>
      </w:r>
    </w:p>
    <w:p>
      <w:pPr>
        <w:numPr>
          <w:ilvl w:val="0"/>
          <w:numId w:val="9"/>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乙方交付的货物不符合合同规定的，甲方有权拒收，乙方向甲方支付货款总金额5%的违约金。</w:t>
      </w:r>
    </w:p>
    <w:p>
      <w:pPr>
        <w:numPr>
          <w:ilvl w:val="0"/>
          <w:numId w:val="9"/>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甲方无正当理由拒收货物，拒付货款的，甲方向乙方偿付货物总金额5%的违约金。</w:t>
      </w:r>
    </w:p>
    <w:p>
      <w:pPr>
        <w:numPr>
          <w:ilvl w:val="0"/>
          <w:numId w:val="9"/>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乙方逾期交付货物，则每日按合同总额3‰向对方偿付违约金。逾期交付超过15天，甲方有权终止合同，则乙方向甲方偿付货物总金额5%的违约金。</w:t>
      </w:r>
    </w:p>
    <w:p>
      <w:pPr>
        <w:numPr>
          <w:ilvl w:val="0"/>
          <w:numId w:val="9"/>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乙方逾期付款，则每日按合同总额3‰向乙方偿付违约金。</w:t>
      </w:r>
    </w:p>
    <w:p>
      <w:pPr>
        <w:autoSpaceDE w:val="0"/>
        <w:autoSpaceDN w:val="0"/>
        <w:adjustRightInd w:val="0"/>
        <w:jc w:val="left"/>
        <w:rPr>
          <w:rFonts w:ascii="宋体" w:hAnsi="宋体" w:eastAsia="宋体"/>
          <w:sz w:val="24"/>
        </w:rPr>
      </w:pPr>
      <w:r>
        <w:rPr>
          <w:rFonts w:hint="eastAsia" w:ascii="宋体" w:hAnsi="宋体" w:eastAsia="宋体"/>
          <w:sz w:val="24"/>
        </w:rPr>
        <w:t>七、不可抗力</w:t>
      </w:r>
    </w:p>
    <w:p>
      <w:pPr>
        <w:spacing w:after="60" w:line="360" w:lineRule="exact"/>
        <w:jc w:val="left"/>
        <w:rPr>
          <w:rFonts w:ascii="宋体" w:hAnsi="宋体" w:eastAsia="宋体"/>
          <w:sz w:val="21"/>
          <w:szCs w:val="21"/>
        </w:rPr>
      </w:pPr>
      <w:r>
        <w:rPr>
          <w:rFonts w:hint="eastAsia" w:ascii="宋体" w:hAnsi="宋体" w:eastAsia="宋体"/>
          <w:sz w:val="21"/>
          <w:szCs w:val="21"/>
        </w:rPr>
        <w:t>一方若因不可抗力原因造成本合同不能履行的，应在5个工作日内以书面形式通知另一方，在不可抗力发生后30天内将有关部门证明寄给另一方，不能履行一方可因此免除责任。</w:t>
      </w:r>
    </w:p>
    <w:p>
      <w:pPr>
        <w:spacing w:line="360" w:lineRule="exact"/>
        <w:rPr>
          <w:rFonts w:ascii="宋体" w:hAnsi="宋体" w:eastAsia="宋体"/>
          <w:color w:val="000000"/>
          <w:sz w:val="24"/>
        </w:rPr>
      </w:pPr>
      <w:r>
        <w:rPr>
          <w:rFonts w:hint="eastAsia" w:ascii="宋体" w:hAnsi="宋体" w:eastAsia="宋体"/>
          <w:sz w:val="24"/>
        </w:rPr>
        <w:t>八、异议和争议解决</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1.本合同一式二份，自双方签字盖章后生效。传真件与合同原件同样具有法律效力。未尽之处，双方协议解决，因本合同发生争议协商或协调不成时应向汕头市仲裁机构或汕头市人民法院提起诉讼。（仲裁或起诉任选一种）</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2.甲乙双方确认本合同涉及双方的联系信息为有效信息，除非另行通知，否则一方依此</w:t>
      </w:r>
      <w:r>
        <w:rPr>
          <w:rFonts w:hint="eastAsia" w:ascii="宋体" w:hAnsi="宋体" w:eastAsia="宋体"/>
          <w:sz w:val="21"/>
          <w:szCs w:val="21"/>
        </w:rPr>
        <w:t>信息</w:t>
      </w:r>
      <w:r>
        <w:rPr>
          <w:rFonts w:hint="eastAsia" w:ascii="宋体" w:hAnsi="宋体" w:eastAsia="宋体"/>
          <w:color w:val="000000"/>
          <w:sz w:val="21"/>
          <w:szCs w:val="21"/>
        </w:rPr>
        <w:t>通过快递、电子邮件寄发的所有通知、文书等，自寄发次日视为已经送达。</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3.本合同条款的任何变更、修改或增减，均应采取书面形式，由甲乙双方另行签署补充合同或变更合同；补充或变更的合同，是本合同不可分割的组成部分。</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4. 本合同一式六份，甲乙双方各执三份。本合同至签订之日起生效。</w:t>
      </w:r>
    </w:p>
    <w:p>
      <w:pPr>
        <w:spacing w:after="60" w:line="360" w:lineRule="exact"/>
        <w:jc w:val="left"/>
        <w:rPr>
          <w:rFonts w:ascii="宋体" w:hAnsi="宋体" w:eastAsia="宋体"/>
          <w:color w:val="000000"/>
          <w:sz w:val="21"/>
          <w:szCs w:val="21"/>
        </w:rPr>
      </w:pPr>
    </w:p>
    <w:p>
      <w:pPr>
        <w:spacing w:after="60" w:line="360" w:lineRule="exact"/>
        <w:jc w:val="left"/>
        <w:rPr>
          <w:rFonts w:ascii="宋体" w:hAnsi="宋体" w:eastAsia="宋体"/>
          <w:color w:val="00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0"/>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3">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4">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6">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8">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9">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8"/>
  </w:num>
  <w:num w:numId="2">
    <w:abstractNumId w:val="3"/>
  </w:num>
  <w:num w:numId="3">
    <w:abstractNumId w:val="0"/>
  </w:num>
  <w:num w:numId="4">
    <w:abstractNumId w:val="2"/>
  </w:num>
  <w:num w:numId="5">
    <w:abstractNumId w:val="5"/>
  </w:num>
  <w:num w:numId="6">
    <w:abstractNumId w:val="7"/>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17630"/>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1B"/>
    <w:rsid w:val="009F7F9F"/>
    <w:rsid w:val="00A022D7"/>
    <w:rsid w:val="00A03D8C"/>
    <w:rsid w:val="00A0433B"/>
    <w:rsid w:val="00A054DC"/>
    <w:rsid w:val="00A071D5"/>
    <w:rsid w:val="00A0724B"/>
    <w:rsid w:val="00A16B56"/>
    <w:rsid w:val="00A209B6"/>
    <w:rsid w:val="00A23072"/>
    <w:rsid w:val="00A260A6"/>
    <w:rsid w:val="00A30E38"/>
    <w:rsid w:val="00A3142B"/>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37147"/>
    <w:rsid w:val="00C40077"/>
    <w:rsid w:val="00C4287B"/>
    <w:rsid w:val="00C42899"/>
    <w:rsid w:val="00C435FA"/>
    <w:rsid w:val="00C475AE"/>
    <w:rsid w:val="00C476F5"/>
    <w:rsid w:val="00C47CCD"/>
    <w:rsid w:val="00C53E8F"/>
    <w:rsid w:val="00C551DC"/>
    <w:rsid w:val="00C62A9D"/>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1E39"/>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008E"/>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03E0472C"/>
    <w:rsid w:val="24F53CDA"/>
    <w:rsid w:val="287616FD"/>
    <w:rsid w:val="3ADD4A6C"/>
    <w:rsid w:val="3DD96E8C"/>
    <w:rsid w:val="4AC162C0"/>
    <w:rsid w:val="5C0D5503"/>
    <w:rsid w:val="6D9F4ED0"/>
    <w:rsid w:val="72DB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6"/>
    <w:qFormat/>
    <w:uiPriority w:val="0"/>
    <w:rPr>
      <w:sz w:val="18"/>
      <w:szCs w:val="18"/>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color w:val="CC0033"/>
    </w:rPr>
  </w:style>
  <w:style w:type="character" w:styleId="29">
    <w:name w:val="Hyperlink"/>
    <w:qFormat/>
    <w:uiPriority w:val="0"/>
    <w:rPr>
      <w:color w:val="0000FF"/>
      <w:u w:val="single"/>
    </w:rPr>
  </w:style>
  <w:style w:type="character" w:styleId="30">
    <w:name w:val="annotation reference"/>
    <w:semiHidden/>
    <w:qFormat/>
    <w:uiPriority w:val="0"/>
    <w:rPr>
      <w:sz w:val="21"/>
    </w:rPr>
  </w:style>
  <w:style w:type="character" w:customStyle="1" w:styleId="31">
    <w:name w:val="style31"/>
    <w:qFormat/>
    <w:uiPriority w:val="0"/>
    <w:rPr>
      <w:b/>
      <w:bCs/>
      <w:color w:val="A16601"/>
    </w:rPr>
  </w:style>
  <w:style w:type="character" w:customStyle="1" w:styleId="32">
    <w:name w:val="dct-tt"/>
    <w:qFormat/>
    <w:uiPriority w:val="0"/>
    <w:rPr>
      <w:rFonts w:hint="default" w:ascii="Arial" w:hAnsi="Arial" w:cs="Arial"/>
    </w:rPr>
  </w:style>
  <w:style w:type="character" w:customStyle="1" w:styleId="33">
    <w:name w:val="hei12b"/>
    <w:basedOn w:val="24"/>
    <w:qFormat/>
    <w:uiPriority w:val="0"/>
  </w:style>
  <w:style w:type="character" w:customStyle="1" w:styleId="34">
    <w:name w:val="search_highlight2"/>
    <w:qFormat/>
    <w:uiPriority w:val="0"/>
    <w:rPr>
      <w:rFonts w:hint="default" w:ascii="Arial" w:hAnsi="Arial" w:cs="Arial"/>
      <w:shd w:val="clear" w:color="auto" w:fill="FFFFB0"/>
    </w:rPr>
  </w:style>
  <w:style w:type="character" w:customStyle="1" w:styleId="35">
    <w:name w:val="style4"/>
    <w:basedOn w:val="24"/>
    <w:qFormat/>
    <w:uiPriority w:val="0"/>
  </w:style>
  <w:style w:type="character" w:customStyle="1" w:styleId="36">
    <w:name w:val="style36"/>
    <w:basedOn w:val="24"/>
    <w:qFormat/>
    <w:uiPriority w:val="0"/>
  </w:style>
  <w:style w:type="character" w:customStyle="1" w:styleId="37">
    <w:name w:val="f141"/>
    <w:qFormat/>
    <w:uiPriority w:val="0"/>
    <w:rPr>
      <w:b/>
      <w:bCs/>
      <w:sz w:val="21"/>
      <w:szCs w:val="21"/>
    </w:rPr>
  </w:style>
  <w:style w:type="character" w:customStyle="1" w:styleId="38">
    <w:name w:val="font141"/>
    <w:qFormat/>
    <w:uiPriority w:val="0"/>
  </w:style>
  <w:style w:type="paragraph" w:customStyle="1" w:styleId="3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1">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6">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8">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0">
    <w:name w:val="列出段落1"/>
    <w:basedOn w:val="1"/>
    <w:qFormat/>
    <w:uiPriority w:val="0"/>
    <w:pPr>
      <w:suppressAutoHyphens/>
      <w:ind w:left="720"/>
      <w:jc w:val="left"/>
    </w:pPr>
    <w:rPr>
      <w:rFonts w:eastAsia="Times New Roman"/>
      <w:kern w:val="0"/>
      <w:sz w:val="24"/>
      <w:szCs w:val="24"/>
      <w:lang w:eastAsia="ar-SA"/>
    </w:rPr>
  </w:style>
  <w:style w:type="paragraph" w:customStyle="1" w:styleId="5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5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4">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5">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6">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7">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9">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0">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UP标题3"/>
    <w:basedOn w:val="1"/>
    <w:qFormat/>
    <w:uiPriority w:val="0"/>
    <w:pPr>
      <w:spacing w:line="360" w:lineRule="auto"/>
      <w:ind w:firstLine="149" w:firstLineChars="149"/>
    </w:pPr>
    <w:rPr>
      <w:rFonts w:ascii="黑体" w:hAnsi="Calibri" w:eastAsia="黑体" w:cs="宋体"/>
      <w:szCs w:val="28"/>
    </w:rPr>
  </w:style>
  <w:style w:type="paragraph" w:customStyle="1" w:styleId="62">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4">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6">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8">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6">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81">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2">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5">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7">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9">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91">
    <w:name w:val="Char Char Char Char"/>
    <w:basedOn w:val="1"/>
    <w:qFormat/>
    <w:uiPriority w:val="0"/>
    <w:rPr>
      <w:rFonts w:eastAsia="宋体"/>
      <w:sz w:val="21"/>
    </w:rPr>
  </w:style>
  <w:style w:type="paragraph" w:customStyle="1" w:styleId="92">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3">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4">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5">
    <w:name w:val="列出段落2"/>
    <w:basedOn w:val="1"/>
    <w:qFormat/>
    <w:uiPriority w:val="0"/>
    <w:pPr>
      <w:ind w:firstLine="420" w:firstLineChars="200"/>
    </w:pPr>
    <w:rPr>
      <w:rFonts w:eastAsia="Times New Roman"/>
      <w:sz w:val="21"/>
      <w:szCs w:val="24"/>
    </w:rPr>
  </w:style>
  <w:style w:type="character" w:customStyle="1" w:styleId="96">
    <w:name w:val="批注框文本 字符"/>
    <w:basedOn w:val="24"/>
    <w:link w:val="14"/>
    <w:qFormat/>
    <w:uiPriority w:val="0"/>
    <w:rPr>
      <w:rFonts w:eastAsia="仿宋_GB2312"/>
      <w:kern w:val="2"/>
      <w:sz w:val="18"/>
      <w:szCs w:val="18"/>
    </w:rPr>
  </w:style>
  <w:style w:type="paragraph" w:customStyle="1" w:styleId="97">
    <w:name w:val="列表段落1"/>
    <w:basedOn w:val="1"/>
    <w:qFormat/>
    <w:uiPriority w:val="0"/>
    <w:pPr>
      <w:ind w:firstLine="420" w:firstLineChars="200"/>
    </w:pPr>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12</Pages>
  <Words>800</Words>
  <Characters>4563</Characters>
  <Lines>38</Lines>
  <Paragraphs>10</Paragraphs>
  <TotalTime>4</TotalTime>
  <ScaleCrop>false</ScaleCrop>
  <LinksUpToDate>false</LinksUpToDate>
  <CharactersWithSpaces>5353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2021-04-13T03:29:00Z</dcterms:created>
  <dc:creator>许慰玲</dc:creator>
  <cp:lastModifiedBy>Administrator</cp:lastModifiedBy>
  <cp:lastPrinted>2015-06-12T00:58:00Z</cp:lastPrinted>
  <dcterms:modified xsi:type="dcterms:W3CDTF">2021-08-30T03:42:25Z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BF81817F28784E628FFDA4C89A3CA559</vt:lpwstr>
  </property>
</Properties>
</file>