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bookmarkStart w:id="0" w:name="_MON_1692531490"/>
      <w:bookmarkEnd w:id="0"/>
      <w:r>
        <w:rPr>
          <w:sz w:val="30"/>
          <w:szCs w:val="30"/>
        </w:rPr>
        <w:object>
          <v:shape id="_x0000_i1025" o:spt="75" alt="" type="#_x0000_t75" style="height:545.4pt;width:417pt;" o:ole="t" filled="f" o:preferrelative="t" stroked="f" coordsize="21600,21600">
            <v:path/>
            <v:fill on="f" focussize="0,0"/>
            <v:stroke on="f"/>
            <v:imagedata r:id="rId6" o:title=""/>
            <o:lock v:ext="edit" aspectratio="t"/>
            <w10:wrap type="none"/>
            <w10:anchorlock/>
          </v:shape>
          <o:OLEObject Type="Embed" ProgID="Word.Document.12" ShapeID="_x0000_i1025" DrawAspect="Content" ObjectID="_1468075725" r:id="rId5">
            <o:LockedField>false</o:LockedField>
          </o:OLEObject>
        </w:object>
      </w: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spacing w:line="560" w:lineRule="exact"/>
        <w:ind w:right="-393"/>
        <w:rPr>
          <w:rFonts w:ascii="Times New Roman" w:hAnsi="Times New Roman"/>
          <w:sz w:val="30"/>
          <w:szCs w:val="30"/>
        </w:rPr>
      </w:pPr>
    </w:p>
    <w:p>
      <w:pPr>
        <w:spacing w:line="560" w:lineRule="exact"/>
        <w:ind w:right="-393"/>
        <w:jc w:val="center"/>
        <w:rPr>
          <w:rFonts w:asciiTheme="minorEastAsia" w:hAnsiTheme="minorEastAsia"/>
          <w:b/>
          <w:sz w:val="32"/>
          <w:szCs w:val="32"/>
        </w:rPr>
      </w:pPr>
      <w:r>
        <w:rPr>
          <w:rFonts w:asciiTheme="minorEastAsia" w:hAnsiTheme="minorEastAsia"/>
          <w:b/>
          <w:sz w:val="32"/>
          <w:szCs w:val="32"/>
        </w:rPr>
        <w:t>目</w:t>
      </w:r>
      <w:r>
        <w:rPr>
          <w:rFonts w:hint="eastAsia" w:asciiTheme="minorEastAsia" w:hAnsiTheme="minorEastAsia"/>
          <w:b/>
          <w:sz w:val="32"/>
          <w:szCs w:val="32"/>
        </w:rPr>
        <w:t xml:space="preserve"> </w:t>
      </w:r>
      <w:r>
        <w:rPr>
          <w:rFonts w:asciiTheme="minorEastAsia" w:hAnsiTheme="minorEastAsia"/>
          <w:b/>
          <w:sz w:val="32"/>
          <w:szCs w:val="32"/>
        </w:rPr>
        <w:t>录</w:t>
      </w:r>
    </w:p>
    <w:p>
      <w:pPr>
        <w:spacing w:line="560" w:lineRule="exact"/>
        <w:rPr>
          <w:rFonts w:asciiTheme="minorEastAsia" w:hAnsiTheme="minorEastAsia"/>
          <w:sz w:val="30"/>
          <w:szCs w:val="30"/>
        </w:rPr>
      </w:pPr>
    </w:p>
    <w:p>
      <w:pPr>
        <w:spacing w:line="560" w:lineRule="exact"/>
        <w:rPr>
          <w:rFonts w:asciiTheme="minorEastAsia" w:hAnsiTheme="minorEastAsia"/>
          <w:sz w:val="30"/>
          <w:szCs w:val="30"/>
        </w:rPr>
      </w:pPr>
    </w:p>
    <w:p>
      <w:pPr>
        <w:tabs>
          <w:tab w:val="left" w:pos="2400"/>
        </w:tabs>
        <w:spacing w:line="560" w:lineRule="exact"/>
        <w:ind w:left="1020"/>
        <w:rPr>
          <w:rFonts w:asciiTheme="minorEastAsia" w:hAnsiTheme="minorEastAsia"/>
          <w:sz w:val="30"/>
          <w:szCs w:val="30"/>
        </w:rPr>
      </w:pPr>
      <w:r>
        <w:rPr>
          <w:rFonts w:asciiTheme="minorEastAsia" w:hAnsiTheme="minorEastAsia"/>
          <w:sz w:val="30"/>
          <w:szCs w:val="30"/>
        </w:rPr>
        <w:t>第一部分</w:t>
      </w:r>
      <w:r>
        <w:rPr>
          <w:rFonts w:asciiTheme="minorEastAsia" w:hAnsiTheme="minorEastAsia"/>
          <w:sz w:val="30"/>
          <w:szCs w:val="30"/>
        </w:rPr>
        <w:tab/>
      </w:r>
      <w:r>
        <w:rPr>
          <w:rFonts w:asciiTheme="minorEastAsia" w:hAnsiTheme="minorEastAsia"/>
          <w:sz w:val="30"/>
          <w:szCs w:val="30"/>
        </w:rPr>
        <w:t>投标邀请函</w:t>
      </w:r>
    </w:p>
    <w:p>
      <w:pPr>
        <w:tabs>
          <w:tab w:val="left" w:pos="2400"/>
        </w:tabs>
        <w:spacing w:line="560" w:lineRule="exact"/>
        <w:ind w:left="1020"/>
        <w:rPr>
          <w:rFonts w:asciiTheme="minorEastAsia" w:hAnsiTheme="minorEastAsia"/>
          <w:sz w:val="30"/>
          <w:szCs w:val="30"/>
        </w:rPr>
      </w:pPr>
      <w:r>
        <w:rPr>
          <w:rFonts w:asciiTheme="minorEastAsia" w:hAnsiTheme="minorEastAsia"/>
          <w:sz w:val="30"/>
          <w:szCs w:val="30"/>
        </w:rPr>
        <w:t>第二部分</w:t>
      </w:r>
      <w:r>
        <w:rPr>
          <w:rFonts w:asciiTheme="minorEastAsia" w:hAnsiTheme="minorEastAsia"/>
          <w:sz w:val="30"/>
          <w:szCs w:val="30"/>
        </w:rPr>
        <w:tab/>
      </w:r>
      <w:r>
        <w:rPr>
          <w:rFonts w:asciiTheme="minorEastAsia" w:hAnsiTheme="minorEastAsia"/>
          <w:sz w:val="30"/>
          <w:szCs w:val="30"/>
        </w:rPr>
        <w:t>投标须知</w:t>
      </w:r>
    </w:p>
    <w:p>
      <w:pPr>
        <w:tabs>
          <w:tab w:val="left" w:pos="2400"/>
        </w:tabs>
        <w:spacing w:line="560" w:lineRule="exact"/>
        <w:ind w:left="1020"/>
        <w:rPr>
          <w:rFonts w:asciiTheme="minorEastAsia" w:hAnsiTheme="minorEastAsia"/>
          <w:sz w:val="30"/>
          <w:szCs w:val="30"/>
        </w:rPr>
      </w:pPr>
      <w:r>
        <w:rPr>
          <w:rFonts w:asciiTheme="minorEastAsia" w:hAnsiTheme="minorEastAsia"/>
          <w:sz w:val="30"/>
          <w:szCs w:val="30"/>
        </w:rPr>
        <w:t>第三部分</w:t>
      </w:r>
      <w:r>
        <w:rPr>
          <w:rFonts w:asciiTheme="minorEastAsia" w:hAnsiTheme="minorEastAsia"/>
          <w:sz w:val="30"/>
          <w:szCs w:val="30"/>
        </w:rPr>
        <w:tab/>
      </w:r>
      <w:r>
        <w:rPr>
          <w:rFonts w:asciiTheme="minorEastAsia" w:hAnsiTheme="minorEastAsia"/>
          <w:sz w:val="30"/>
          <w:szCs w:val="30"/>
        </w:rPr>
        <w:t>用户需求</w:t>
      </w:r>
    </w:p>
    <w:p>
      <w:pPr>
        <w:tabs>
          <w:tab w:val="left" w:pos="2400"/>
        </w:tabs>
        <w:spacing w:line="560" w:lineRule="exact"/>
        <w:ind w:left="1020"/>
        <w:rPr>
          <w:rFonts w:asciiTheme="minorEastAsia" w:hAnsiTheme="minorEastAsia"/>
          <w:sz w:val="30"/>
          <w:szCs w:val="30"/>
        </w:rPr>
      </w:pPr>
      <w:r>
        <w:rPr>
          <w:rFonts w:asciiTheme="minorEastAsia" w:hAnsiTheme="minorEastAsia"/>
          <w:sz w:val="30"/>
          <w:szCs w:val="30"/>
        </w:rPr>
        <w:t>第四部分</w:t>
      </w:r>
      <w:r>
        <w:rPr>
          <w:rFonts w:asciiTheme="minorEastAsia" w:hAnsiTheme="minorEastAsia"/>
          <w:sz w:val="30"/>
          <w:szCs w:val="30"/>
        </w:rPr>
        <w:tab/>
      </w:r>
      <w:r>
        <w:rPr>
          <w:rFonts w:asciiTheme="minorEastAsia" w:hAnsiTheme="minorEastAsia"/>
          <w:sz w:val="30"/>
          <w:szCs w:val="30"/>
        </w:rPr>
        <w:t>评标办法</w:t>
      </w:r>
    </w:p>
    <w:p>
      <w:pPr>
        <w:tabs>
          <w:tab w:val="left" w:pos="2400"/>
        </w:tabs>
        <w:spacing w:line="560" w:lineRule="exact"/>
        <w:ind w:left="1020"/>
        <w:rPr>
          <w:rFonts w:asciiTheme="minorEastAsia" w:hAnsiTheme="minorEastAsia"/>
          <w:sz w:val="30"/>
          <w:szCs w:val="30"/>
        </w:rPr>
      </w:pPr>
      <w:r>
        <w:rPr>
          <w:rFonts w:asciiTheme="minorEastAsia" w:hAnsiTheme="minorEastAsia"/>
          <w:sz w:val="30"/>
          <w:szCs w:val="30"/>
        </w:rPr>
        <w:t>第五部分</w:t>
      </w:r>
      <w:r>
        <w:rPr>
          <w:rFonts w:asciiTheme="minorEastAsia" w:hAnsiTheme="minorEastAsia"/>
          <w:sz w:val="30"/>
          <w:szCs w:val="30"/>
        </w:rPr>
        <w:tab/>
      </w:r>
      <w:r>
        <w:rPr>
          <w:rFonts w:hint="eastAsia" w:asciiTheme="minorEastAsia" w:hAnsiTheme="minorEastAsia"/>
          <w:sz w:val="30"/>
          <w:szCs w:val="30"/>
        </w:rPr>
        <w:t>附件1-12</w:t>
      </w:r>
    </w:p>
    <w:p>
      <w:pPr>
        <w:tabs>
          <w:tab w:val="left" w:pos="2400"/>
        </w:tabs>
        <w:spacing w:line="560" w:lineRule="exact"/>
        <w:ind w:left="1020"/>
        <w:rPr>
          <w:rFonts w:asciiTheme="minorEastAsia" w:hAnsiTheme="minorEastAsia"/>
          <w:sz w:val="30"/>
          <w:szCs w:val="30"/>
        </w:rPr>
      </w:pPr>
      <w:r>
        <w:rPr>
          <w:rFonts w:asciiTheme="minorEastAsia" w:hAnsiTheme="minorEastAsia"/>
          <w:sz w:val="30"/>
          <w:szCs w:val="30"/>
        </w:rPr>
        <w:t>第六部分</w:t>
      </w:r>
      <w:r>
        <w:rPr>
          <w:rFonts w:asciiTheme="minorEastAsia" w:hAnsiTheme="minorEastAsia"/>
          <w:sz w:val="30"/>
          <w:szCs w:val="30"/>
        </w:rPr>
        <w:tab/>
      </w:r>
      <w:r>
        <w:rPr>
          <w:rFonts w:hint="eastAsia" w:asciiTheme="minorEastAsia" w:hAnsiTheme="minorEastAsia"/>
          <w:sz w:val="30"/>
          <w:szCs w:val="30"/>
        </w:rPr>
        <w:t>汕头大学医学院食堂管理实施细则</w:t>
      </w:r>
    </w:p>
    <w:p>
      <w:pPr>
        <w:tabs>
          <w:tab w:val="left" w:pos="2400"/>
        </w:tabs>
        <w:spacing w:line="560" w:lineRule="exact"/>
        <w:ind w:left="1020"/>
        <w:rPr>
          <w:rFonts w:asciiTheme="minorEastAsia" w:hAnsiTheme="minorEastAsia"/>
          <w:sz w:val="30"/>
          <w:szCs w:val="30"/>
        </w:rPr>
      </w:pPr>
      <w:r>
        <w:rPr>
          <w:rFonts w:hint="eastAsia" w:asciiTheme="minorEastAsia" w:hAnsiTheme="minorEastAsia"/>
          <w:sz w:val="30"/>
          <w:szCs w:val="30"/>
        </w:rPr>
        <w:t>第七部分  汕头大学医学院食堂承包合同（样式）</w:t>
      </w:r>
    </w:p>
    <w:p>
      <w:pPr>
        <w:spacing w:line="560" w:lineRule="exact"/>
        <w:rPr>
          <w:rFonts w:asciiTheme="minorEastAsia" w:hAnsiTheme="minorEastAsia"/>
          <w:sz w:val="30"/>
          <w:szCs w:val="30"/>
        </w:rPr>
      </w:pPr>
    </w:p>
    <w:p>
      <w:pPr>
        <w:spacing w:line="560" w:lineRule="exact"/>
        <w:rPr>
          <w:rFonts w:asciiTheme="minorEastAsia" w:hAnsiTheme="minorEastAsia"/>
          <w:sz w:val="30"/>
          <w:szCs w:val="30"/>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6"/>
          <w:szCs w:val="36"/>
        </w:rPr>
      </w:pPr>
    </w:p>
    <w:p>
      <w:pPr>
        <w:spacing w:line="500" w:lineRule="exact"/>
        <w:jc w:val="center"/>
        <w:rPr>
          <w:rFonts w:ascii="黑体" w:hAnsi="黑体" w:eastAsia="黑体"/>
          <w:sz w:val="32"/>
          <w:szCs w:val="32"/>
        </w:rPr>
      </w:pPr>
      <w:r>
        <w:rPr>
          <w:rFonts w:hint="eastAsia" w:ascii="黑体" w:hAnsi="黑体" w:eastAsia="黑体"/>
          <w:sz w:val="36"/>
          <w:szCs w:val="36"/>
        </w:rPr>
        <w:t>第</w:t>
      </w:r>
      <w:r>
        <w:rPr>
          <w:rFonts w:ascii="黑体" w:hAnsi="黑体" w:eastAsia="黑体"/>
          <w:sz w:val="36"/>
          <w:szCs w:val="36"/>
        </w:rPr>
        <w:t>一</w:t>
      </w:r>
      <w:r>
        <w:rPr>
          <w:rFonts w:hint="eastAsia" w:ascii="黑体" w:hAnsi="黑体" w:eastAsia="黑体"/>
          <w:sz w:val="36"/>
          <w:szCs w:val="36"/>
        </w:rPr>
        <w:t>部分</w:t>
      </w:r>
      <w:r>
        <w:rPr>
          <w:rFonts w:ascii="黑体" w:hAnsi="黑体" w:eastAsia="黑体"/>
          <w:sz w:val="36"/>
          <w:szCs w:val="36"/>
        </w:rPr>
        <w:t xml:space="preserve"> </w:t>
      </w:r>
      <w:r>
        <w:rPr>
          <w:rFonts w:hint="eastAsia" w:ascii="黑体" w:hAnsi="黑体" w:eastAsia="黑体"/>
          <w:sz w:val="36"/>
          <w:szCs w:val="36"/>
        </w:rPr>
        <w:t xml:space="preserve"> </w:t>
      </w:r>
      <w:r>
        <w:rPr>
          <w:rFonts w:ascii="黑体" w:hAnsi="黑体" w:eastAsia="黑体"/>
          <w:sz w:val="36"/>
          <w:szCs w:val="36"/>
        </w:rPr>
        <w:t>投标邀请函</w:t>
      </w:r>
    </w:p>
    <w:p>
      <w:pPr>
        <w:spacing w:line="500" w:lineRule="exact"/>
        <w:ind w:firstLine="420" w:firstLineChars="200"/>
      </w:pP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汕头大学医学院学生食堂（含二楼教工餐厅）承包经营合同即将到期, 经汕头大学医学院院长办公会批准，启动新一轮承包经营服务的招标工作。现按照《汕头大学医学院采购与招投标管理办法》进行公开招标，诚邀符合条件的投标人前来投标。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一、项目名称：汕头大学医学院学生食堂承包经营服务项目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二、招标服务内容及合同期</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基本情况：食堂总面积：1350平方米，一楼就餐位约300个，二楼教工餐厅就餐位约84个及一个可接待量为3台圆桌的包厢，一个约10平方米的学生生活配套服务点；其中办公、仓库、宿舍等配套设施面积约200平方米。</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2.主要为学校师生提供大众饮食，同时开展餐饮特色等服务。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3.合同期：2年（初定2021年10月16日至2023年10月15日）。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三、投标人资格合格条件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1.投标人需具备下列规定的条件</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（1）必须是具有独立承担民事责任能力的在中华人民共和国境内注册的法人（提交有效的营业执照副本或其他证明材料复印件）；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（2）必须具有良好的商业信誉和健全的财务会计制度（提供 2020 年度财务状况报告或基本开户行出具的资信证明）；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（3）有依法缴纳税收和社会保障资金的良好记录（提供投标截止日前6个月内任意1个月依法缴纳税收和社会保障资金的相关材料。如依法免税或不需要缴纳社会保障资金的，请提供相应证明材料）；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（4）具备履行合同所必需的设备和专业技术能力（按投标文件格式填报设备及专业技术能力情况）；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（5）投标人在三年内的经营活动中没有重大违法记录（可参照投标函相关承诺格式内容）；</w:t>
      </w:r>
    </w:p>
    <w:p>
      <w:pPr>
        <w:snapToGrid w:val="0"/>
        <w:spacing w:line="360" w:lineRule="auto"/>
        <w:ind w:firstLine="560" w:firstLineChars="20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（6）投标人近三年内管理服务过程中无食物中毒、消防安全等事故发生（以食品安全监管部门或其他政府相关管理部门或者食堂管理部门通报、处罚为准）；</w:t>
      </w:r>
    </w:p>
    <w:p>
      <w:pPr>
        <w:snapToGrid w:val="0"/>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招标人在投标截止日当天在“信用中国”网站及中国政府采购网查询结果为准，如相关失信记录已失效，供应商需提供相关证明资料）；</w:t>
      </w:r>
    </w:p>
    <w:p>
      <w:pPr>
        <w:snapToGrid w:val="0"/>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（8）单位负责人为同一人或者存在直接控股、管理关系的不同供应商，不得同时参加本采购项目投标；</w:t>
      </w:r>
    </w:p>
    <w:p>
      <w:pPr>
        <w:snapToGrid w:val="0"/>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（9）投标人须取得有效的食品经营许可证。</w:t>
      </w:r>
    </w:p>
    <w:p>
      <w:pPr>
        <w:snapToGrid w:val="0"/>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2.本次招标不接受非餐饮企业投标、联合体投标及分包、转包、挂靠，不接受投标人中标后以子公司的名义为本项目提供服务；</w:t>
      </w:r>
    </w:p>
    <w:p>
      <w:pPr>
        <w:snapToGrid w:val="0"/>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3.符合法律、行政法规规定的其他条件。</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四、报名递交资格文件及领取招标文件时间、地点</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1.报名时间：2021年9月</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日--9月</w:t>
      </w:r>
      <w:r>
        <w:rPr>
          <w:rFonts w:hint="eastAsia" w:asciiTheme="majorEastAsia" w:hAnsiTheme="majorEastAsia" w:eastAsiaTheme="majorEastAsia" w:cstheme="majorEastAsia"/>
          <w:sz w:val="28"/>
          <w:szCs w:val="28"/>
          <w:lang w:val="en-US" w:eastAsia="zh-CN"/>
        </w:rPr>
        <w:t>14</w:t>
      </w:r>
      <w:r>
        <w:rPr>
          <w:rFonts w:hint="eastAsia" w:asciiTheme="majorEastAsia" w:hAnsiTheme="majorEastAsia" w:eastAsiaTheme="majorEastAsia" w:cstheme="majorEastAsia"/>
          <w:sz w:val="28"/>
          <w:szCs w:val="28"/>
        </w:rPr>
        <w:t xml:space="preserve">日（上午9:00至11:30，下午3:00至5:00）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2.报名地点：广东省汕头市新陵路22号汕头大学医学院行政楼50</w:t>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t xml:space="preserve">总务处行政科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3.本项目招标文件免费发放，投标人可在汕头大学医学院主页上的招标公告信息栏中直接下载本招标文件。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五、报名需提交资料及相关要求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1.投标申请人报名时须提交的资料详见附件《投标申请人报名提交资料一览表》。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2.报名时须提交的资料及证明材料原件及复印件核对，资格审核相关证明材料必须按照要求加盖单位公章，否则取消其报名资格。</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3.投标人的投标资格最终以评标小组根据其投标文件中的相关资料作出的结论为准。当评标小组对投标文件中资质证明文件的复印件有疑问时，招标人有权利要求投标人在规定时间内提供原件进行核对。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4.投标人递交提供的所有资料必须真实、有效，若发现有提供虚假资料投标的将取消其投标资格，并追究由此引起招标人的一切损失及相关影响的责任，并将上报相关部门并根据国家和我医学院相关规定予以处理。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六、考察</w:t>
      </w:r>
    </w:p>
    <w:p>
      <w:pPr>
        <w:spacing w:line="360" w:lineRule="auto"/>
        <w:ind w:right="399" w:rightChars="190"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招标人将组织对报名参投单位（本市企业）进行经营场地的实地考察，或观看投标人（限外地）所提供的经营场地视频、照片，投标人（外地）需制作《服务与承诺评分表》第1项所要求的相关视频照片并提交</w:t>
      </w:r>
      <w:r>
        <w:rPr>
          <w:rFonts w:hint="eastAsia" w:asciiTheme="majorEastAsia" w:hAnsiTheme="majorEastAsia" w:eastAsiaTheme="majorEastAsia" w:cstheme="majorEastAsia"/>
          <w:sz w:val="28"/>
          <w:szCs w:val="28"/>
          <w:lang w:eastAsia="zh-CN"/>
        </w:rPr>
        <w:t>（报名时提交，见招标文件附件</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。考察时间：2021年9月1</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日，于考察当天通知。</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七、投标截止时间、开标时间及地点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1.投标截止时间：</w:t>
      </w:r>
      <w:r>
        <w:rPr>
          <w:rFonts w:hint="eastAsia" w:asciiTheme="majorEastAsia" w:hAnsiTheme="majorEastAsia" w:eastAsiaTheme="majorEastAsia" w:cstheme="majorEastAsia"/>
          <w:sz w:val="28"/>
          <w:szCs w:val="28"/>
          <w:lang w:val="en-US" w:eastAsia="zh-CN"/>
        </w:rPr>
        <w:t>2021</w:t>
      </w:r>
      <w:r>
        <w:rPr>
          <w:rFonts w:hint="eastAsia" w:asciiTheme="majorEastAsia" w:hAnsiTheme="majorEastAsia" w:eastAsiaTheme="majorEastAsia" w:cstheme="majorEastAsia"/>
          <w:sz w:val="28"/>
          <w:szCs w:val="28"/>
        </w:rPr>
        <w:t>年9月</w:t>
      </w:r>
      <w:r>
        <w:rPr>
          <w:rFonts w:hint="eastAsia" w:asciiTheme="majorEastAsia" w:hAnsiTheme="majorEastAsia" w:eastAsiaTheme="majorEastAsia" w:cstheme="majorEastAsia"/>
          <w:sz w:val="28"/>
          <w:szCs w:val="28"/>
          <w:lang w:val="en-US" w:eastAsia="zh-CN"/>
        </w:rPr>
        <w:t>17</w:t>
      </w:r>
      <w:r>
        <w:rPr>
          <w:rFonts w:hint="eastAsia" w:asciiTheme="majorEastAsia" w:hAnsiTheme="majorEastAsia" w:eastAsiaTheme="majorEastAsia" w:cstheme="majorEastAsia"/>
          <w:sz w:val="28"/>
          <w:szCs w:val="28"/>
        </w:rPr>
        <w:t>日17:00时；</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2.地点：广东省汕头市新陵路22号汕头大学医学院行政楼50</w:t>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t>总务处行政科；</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3.本项目只接受在截标当日前由投标法定代表人或其授权代表亲自递交的投标文件。其它形式（包括电报、传真、邮件、邮寄等）的投标均为无效投标。  </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八、资格审核及开评标</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资格审核及正式投标人的确定方式：本项目采用资格后审，由招标人成立的评标小组负责对各参投单位进行资格审核及确定正式投标人和评标工作。</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九、招标公告发布媒体：本公告在汕头大学医学院主页（网址：https://www.med.stu.edu.cn/）招标公告信息栏上发布，本公告的修改、补充发布的文本如有不同之处，以上述网站发布的文本为准（注：本项目招标文件随招标公告一并在上述网站发布，招标文件一经在上述网站发布，视为发给投标人）。</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十、温馨提示：</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1.递交投标文件时，为避免因迟到而失去投标/报价资格，请于投标截止时间前适当提前到达。</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2.为了提高效率，节约社会交易成本与时间，希望已经报名而决定不参加本次投标的投标人，在投标文件提交截止时间的</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日前，以邮件或电话方式告知。对您的支持与配合，谨此致谢。</w:t>
      </w:r>
    </w:p>
    <w:p>
      <w:pPr>
        <w:spacing w:line="360" w:lineRule="auto"/>
        <w:ind w:firstLine="560" w:firstLineChars="200"/>
        <w:rPr>
          <w:rFonts w:asciiTheme="majorEastAsia" w:hAnsiTheme="majorEastAsia" w:eastAsiaTheme="majorEastAsia" w:cstheme="majorEastAsia"/>
          <w:sz w:val="28"/>
          <w:szCs w:val="28"/>
        </w:rPr>
      </w:pPr>
      <w:bookmarkStart w:id="1" w:name="_Hlk73553592"/>
      <w:r>
        <w:rPr>
          <w:rFonts w:hint="eastAsia" w:asciiTheme="majorEastAsia" w:hAnsiTheme="majorEastAsia" w:eastAsiaTheme="majorEastAsia" w:cstheme="majorEastAsia"/>
          <w:sz w:val="28"/>
          <w:szCs w:val="28"/>
        </w:rPr>
        <w:t>3.若受新冠病毒疫情影响，本项目暂停或延期实施等情况，以招标人发布的公告为准，敬请及时关注。</w:t>
      </w:r>
      <w:bookmarkEnd w:id="1"/>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十一、有关本次招标之事宜查询：</w:t>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1.招标组织：汕头大学医学院总务处行政科 </w:t>
      </w:r>
    </w:p>
    <w:p>
      <w:pPr>
        <w:spacing w:line="360" w:lineRule="auto"/>
        <w:ind w:firstLine="980" w:firstLineChars="3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电话：0754-88900421 联系人 邝老师  詹老师</w:t>
      </w:r>
    </w:p>
    <w:p>
      <w:pPr>
        <w:spacing w:line="360" w:lineRule="auto"/>
        <w:ind w:firstLine="930" w:firstLineChars="3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pacing w:val="15"/>
          <w:sz w:val="28"/>
          <w:szCs w:val="28"/>
          <w:shd w:val="clear" w:color="auto" w:fill="FFFFFF"/>
        </w:rPr>
        <w:t>邮编：515031 电子邮件：</w:t>
      </w:r>
      <w:r>
        <w:fldChar w:fldCharType="begin"/>
      </w:r>
      <w:r>
        <w:instrText xml:space="preserve"> HYPERLINK "mailto:yxyzwc@stu.edu.cn" </w:instrText>
      </w:r>
      <w:r>
        <w:fldChar w:fldCharType="separate"/>
      </w:r>
      <w:r>
        <w:rPr>
          <w:rFonts w:hint="eastAsia" w:asciiTheme="majorEastAsia" w:hAnsiTheme="majorEastAsia" w:eastAsiaTheme="majorEastAsia" w:cstheme="majorEastAsia"/>
          <w:spacing w:val="15"/>
          <w:sz w:val="28"/>
          <w:szCs w:val="28"/>
          <w:shd w:val="clear" w:color="auto" w:fill="FFFFFF"/>
        </w:rPr>
        <w:t>yxyzwc@stu.edu.cn</w:t>
      </w:r>
      <w:r>
        <w:rPr>
          <w:rFonts w:hint="eastAsia" w:asciiTheme="majorEastAsia" w:hAnsiTheme="majorEastAsia" w:eastAsiaTheme="majorEastAsia" w:cstheme="majorEastAsia"/>
          <w:spacing w:val="15"/>
          <w:sz w:val="28"/>
          <w:szCs w:val="28"/>
          <w:shd w:val="clear" w:color="auto" w:fill="FFFFFF"/>
        </w:rPr>
        <w:fldChar w:fldCharType="end"/>
      </w:r>
    </w:p>
    <w:p>
      <w:pPr>
        <w:spacing w:line="360" w:lineRule="auto"/>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2.监督部门：汕头大学医学院监察审计室 </w:t>
      </w:r>
    </w:p>
    <w:p>
      <w:pPr>
        <w:spacing w:line="360" w:lineRule="auto"/>
        <w:ind w:firstLine="980" w:firstLineChars="35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电话：0754-88557563</w:t>
      </w:r>
    </w:p>
    <w:p>
      <w:pPr>
        <w:spacing w:line="360" w:lineRule="auto"/>
        <w:ind w:right="560"/>
        <w:jc w:val="right"/>
        <w:rPr>
          <w:rFonts w:asciiTheme="majorEastAsia" w:hAnsiTheme="majorEastAsia" w:eastAsiaTheme="majorEastAsia" w:cstheme="majorEastAsia"/>
          <w:sz w:val="28"/>
          <w:szCs w:val="28"/>
        </w:rPr>
      </w:pPr>
    </w:p>
    <w:p>
      <w:pPr>
        <w:spacing w:line="360" w:lineRule="auto"/>
        <w:ind w:right="560"/>
        <w:jc w:val="right"/>
        <w:rPr>
          <w:rFonts w:asciiTheme="majorEastAsia" w:hAnsiTheme="majorEastAsia" w:eastAsiaTheme="majorEastAsia" w:cstheme="majorEastAsia"/>
          <w:sz w:val="28"/>
          <w:szCs w:val="28"/>
        </w:rPr>
      </w:pPr>
    </w:p>
    <w:p>
      <w:pPr>
        <w:spacing w:line="360" w:lineRule="auto"/>
        <w:ind w:right="420"/>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汕头大学医学院</w:t>
      </w:r>
    </w:p>
    <w:p>
      <w:pPr>
        <w:spacing w:line="360" w:lineRule="auto"/>
        <w:ind w:right="280"/>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2021 年 9月</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日</w:t>
      </w:r>
    </w:p>
    <w:p>
      <w:pPr>
        <w:widowControl/>
        <w:jc w:val="left"/>
        <w:rPr>
          <w:rFonts w:ascii="宋体" w:hAnsi="宋体" w:eastAsia="宋体" w:cs="宋体"/>
          <w:sz w:val="28"/>
          <w:szCs w:val="28"/>
        </w:rPr>
      </w:pPr>
      <w:r>
        <w:rPr>
          <w:rFonts w:ascii="宋体" w:hAnsi="宋体" w:eastAsia="宋体" w:cs="宋体"/>
          <w:sz w:val="28"/>
          <w:szCs w:val="28"/>
        </w:rPr>
        <w:br w:type="page"/>
      </w:r>
    </w:p>
    <w:p>
      <w:pPr>
        <w:spacing w:line="500" w:lineRule="exact"/>
        <w:ind w:firstLine="2720" w:firstLineChars="850"/>
        <w:rPr>
          <w:rFonts w:ascii="黑体" w:hAnsi="黑体" w:eastAsia="黑体"/>
          <w:sz w:val="32"/>
          <w:szCs w:val="28"/>
        </w:rPr>
      </w:pPr>
      <w:r>
        <w:rPr>
          <w:rFonts w:ascii="黑体" w:hAnsi="黑体" w:eastAsia="黑体"/>
          <w:sz w:val="32"/>
          <w:szCs w:val="28"/>
        </w:rPr>
        <w:t>第二部分 投标须知</w:t>
      </w:r>
    </w:p>
    <w:p>
      <w:pPr>
        <w:spacing w:line="500" w:lineRule="exact"/>
        <w:rPr>
          <w:rFonts w:ascii="Times New Roman" w:hAnsi="Times New Roman" w:eastAsia="Times New Roman"/>
          <w:sz w:val="28"/>
          <w:szCs w:val="28"/>
        </w:rPr>
      </w:pPr>
    </w:p>
    <w:p>
      <w:pPr>
        <w:spacing w:line="360" w:lineRule="auto"/>
        <w:ind w:firstLine="562" w:firstLineChars="200"/>
        <w:rPr>
          <w:rFonts w:asciiTheme="majorEastAsia" w:hAnsiTheme="majorEastAsia" w:eastAsiaTheme="majorEastAsia"/>
          <w:b/>
          <w:sz w:val="28"/>
          <w:szCs w:val="28"/>
        </w:rPr>
      </w:pPr>
      <w:r>
        <w:rPr>
          <w:rFonts w:asciiTheme="majorEastAsia" w:hAnsiTheme="majorEastAsia" w:eastAsiaTheme="majorEastAsia"/>
          <w:b/>
          <w:sz w:val="28"/>
          <w:szCs w:val="28"/>
        </w:rPr>
        <w:t>一、投标费用</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无论投标过程和结果如何，投标人应承担所有与其参加投标有关的全部费用。</w:t>
      </w:r>
    </w:p>
    <w:p>
      <w:pPr>
        <w:spacing w:line="360" w:lineRule="auto"/>
        <w:ind w:firstLine="562" w:firstLineChars="200"/>
        <w:rPr>
          <w:rFonts w:asciiTheme="majorEastAsia" w:hAnsiTheme="majorEastAsia" w:eastAsiaTheme="majorEastAsia"/>
          <w:b/>
          <w:sz w:val="28"/>
          <w:szCs w:val="28"/>
        </w:rPr>
      </w:pPr>
      <w:r>
        <w:rPr>
          <w:rFonts w:asciiTheme="majorEastAsia" w:hAnsiTheme="majorEastAsia" w:eastAsiaTheme="majorEastAsia"/>
          <w:b/>
          <w:sz w:val="28"/>
          <w:szCs w:val="28"/>
        </w:rPr>
        <w:t>二、招标文件</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1.招标文件的澄清</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（1）投标人若对招标文件有疑问，应将要求澄清的问题以</w:t>
      </w:r>
      <w:r>
        <w:rPr>
          <w:rFonts w:hint="eastAsia" w:asciiTheme="majorEastAsia" w:hAnsiTheme="majorEastAsia" w:eastAsiaTheme="majorEastAsia"/>
          <w:sz w:val="28"/>
          <w:szCs w:val="28"/>
        </w:rPr>
        <w:t>电话或</w:t>
      </w:r>
      <w:r>
        <w:rPr>
          <w:rFonts w:asciiTheme="majorEastAsia" w:hAnsiTheme="majorEastAsia" w:eastAsiaTheme="majorEastAsia"/>
          <w:sz w:val="28"/>
          <w:szCs w:val="28"/>
        </w:rPr>
        <w:t>文字形式于投标截止时间前直接</w:t>
      </w:r>
      <w:r>
        <w:rPr>
          <w:rFonts w:hint="eastAsia" w:asciiTheme="majorEastAsia" w:hAnsiTheme="majorEastAsia" w:eastAsiaTheme="majorEastAsia"/>
          <w:sz w:val="28"/>
          <w:szCs w:val="28"/>
        </w:rPr>
        <w:t>咨询</w:t>
      </w:r>
      <w:r>
        <w:rPr>
          <w:rFonts w:asciiTheme="majorEastAsia" w:hAnsiTheme="majorEastAsia" w:eastAsiaTheme="majorEastAsia"/>
          <w:sz w:val="28"/>
          <w:szCs w:val="28"/>
        </w:rPr>
        <w:t>或通知招标人。</w:t>
      </w:r>
    </w:p>
    <w:p>
      <w:pPr>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（2）投标人在规定的时间内未对招标文件提出澄清或疑问的，招标人将视其为无异议。</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2.招标文件的补充和修改</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（1）招标人可以用书面/公告补充通知的方式对招标文件进行补充和修改。</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（2）所发出的补充通知将于投标截止时间前发给所有已报名的投标人。该补充通知作为招标文件的一部分,投标人在收到该通知后须予以确认</w:t>
      </w:r>
      <w:r>
        <w:rPr>
          <w:rFonts w:hint="eastAsia" w:asciiTheme="majorEastAsia" w:hAnsiTheme="majorEastAsia" w:eastAsiaTheme="majorEastAsia"/>
          <w:sz w:val="28"/>
          <w:szCs w:val="28"/>
        </w:rPr>
        <w:t>。</w:t>
      </w:r>
    </w:p>
    <w:p>
      <w:pPr>
        <w:spacing w:line="360" w:lineRule="auto"/>
        <w:ind w:firstLine="560" w:firstLineChars="200"/>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w:t>
      </w:r>
      <w:r>
        <w:rPr>
          <w:rFonts w:ascii="宋体" w:hAnsi="宋体" w:eastAsia="宋体" w:cs="Times New Roman"/>
          <w:color w:val="000000" w:themeColor="text1"/>
          <w:sz w:val="28"/>
          <w:szCs w:val="28"/>
        </w:rPr>
        <w:t>3</w:t>
      </w:r>
      <w:r>
        <w:rPr>
          <w:rFonts w:hint="eastAsia" w:ascii="宋体" w:hAnsi="宋体" w:eastAsia="宋体" w:cs="Times New Roman"/>
          <w:color w:val="000000" w:themeColor="text1"/>
          <w:sz w:val="28"/>
          <w:szCs w:val="28"/>
        </w:rPr>
        <w:t>）招标人发布补充通知后，应考虑是否推迟投标截止时间。在所有已报名的投标人确认补充通知不影响其标书编制的情况下，招标人可以不推迟投标截止时间。</w:t>
      </w:r>
    </w:p>
    <w:p>
      <w:pPr>
        <w:spacing w:line="360" w:lineRule="auto"/>
        <w:ind w:firstLine="562" w:firstLineChars="200"/>
        <w:rPr>
          <w:rFonts w:asciiTheme="majorEastAsia" w:hAnsiTheme="majorEastAsia" w:eastAsiaTheme="majorEastAsia"/>
          <w:b/>
          <w:sz w:val="28"/>
          <w:szCs w:val="28"/>
        </w:rPr>
      </w:pPr>
      <w:r>
        <w:rPr>
          <w:rFonts w:asciiTheme="majorEastAsia" w:hAnsiTheme="majorEastAsia" w:eastAsiaTheme="majorEastAsia"/>
          <w:b/>
          <w:sz w:val="28"/>
          <w:szCs w:val="28"/>
        </w:rPr>
        <w:t>三、投标总则</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1.投标文件的编写</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（1）投标人应仔细阅读招标文件的所有内容，并按招标文件的规定及附件要求的内容和格式，提交完整的投标文件。</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（2）投标人应按招标文件规定的招标范围进行投标。</w:t>
      </w:r>
    </w:p>
    <w:p>
      <w:pPr>
        <w:spacing w:line="360" w:lineRule="auto"/>
        <w:ind w:firstLine="560" w:firstLineChars="200"/>
        <w:rPr>
          <w:rFonts w:asciiTheme="majorEastAsia" w:hAnsiTheme="majorEastAsia" w:eastAsiaTheme="majorEastAsia"/>
          <w:sz w:val="28"/>
          <w:szCs w:val="28"/>
        </w:rPr>
      </w:pPr>
      <w:r>
        <w:rPr>
          <w:rFonts w:hint="eastAsia" w:ascii="宋体" w:hAnsi="宋体" w:eastAsia="宋体" w:cs="Times New Roman"/>
          <w:color w:val="000000" w:themeColor="text1"/>
          <w:sz w:val="28"/>
          <w:szCs w:val="28"/>
        </w:rPr>
        <w:t>（</w:t>
      </w:r>
      <w:r>
        <w:rPr>
          <w:rFonts w:ascii="宋体" w:hAnsi="宋体" w:eastAsia="宋体" w:cs="Times New Roman"/>
          <w:color w:val="000000" w:themeColor="text1"/>
          <w:sz w:val="28"/>
          <w:szCs w:val="28"/>
        </w:rPr>
        <w:t>3</w:t>
      </w:r>
      <w:r>
        <w:rPr>
          <w:rFonts w:hint="eastAsia" w:ascii="宋体" w:hAnsi="宋体" w:eastAsia="宋体" w:cs="Times New Roman"/>
          <w:color w:val="000000" w:themeColor="text1"/>
          <w:sz w:val="28"/>
          <w:szCs w:val="28"/>
        </w:rPr>
        <w:t>）投标人应确保，招标人在中华人民共和国使用货物或货物的任何一部分时，免受第三方提出侵犯其专利权、商标或工业设计权的起诉。</w:t>
      </w:r>
    </w:p>
    <w:p>
      <w:pPr>
        <w:spacing w:line="360" w:lineRule="auto"/>
        <w:ind w:firstLine="560" w:firstLineChars="200"/>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w:t>
      </w:r>
      <w:r>
        <w:rPr>
          <w:rFonts w:ascii="宋体" w:hAnsi="宋体" w:eastAsia="宋体" w:cs="Times New Roman"/>
          <w:color w:val="000000" w:themeColor="text1"/>
          <w:sz w:val="28"/>
          <w:szCs w:val="28"/>
        </w:rPr>
        <w:t>4</w:t>
      </w:r>
      <w:r>
        <w:rPr>
          <w:rFonts w:hint="eastAsia" w:ascii="宋体" w:hAnsi="宋体" w:eastAsia="宋体" w:cs="Times New Roman"/>
          <w:color w:val="000000" w:themeColor="text1"/>
          <w:sz w:val="28"/>
          <w:szCs w:val="28"/>
        </w:rPr>
        <w:t>）如果因为投标人投标文件填报的内容不详，或没有提供招标文件中所要求的全部资料及数据，由此造成的后果，其责任由投标人承担。</w:t>
      </w:r>
    </w:p>
    <w:p>
      <w:pPr>
        <w:spacing w:line="360" w:lineRule="auto"/>
        <w:ind w:firstLine="560" w:firstLineChars="200"/>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w:t>
      </w:r>
      <w:r>
        <w:rPr>
          <w:rFonts w:ascii="宋体" w:hAnsi="宋体" w:eastAsia="宋体" w:cs="Times New Roman"/>
          <w:color w:val="000000" w:themeColor="text1"/>
          <w:sz w:val="28"/>
          <w:szCs w:val="28"/>
        </w:rPr>
        <w:t>5</w:t>
      </w:r>
      <w:r>
        <w:rPr>
          <w:rFonts w:hint="eastAsia" w:ascii="宋体" w:hAnsi="宋体" w:eastAsia="宋体" w:cs="Times New Roman"/>
          <w:color w:val="000000" w:themeColor="text1"/>
          <w:sz w:val="28"/>
          <w:szCs w:val="28"/>
        </w:rPr>
        <w:t>）每一种规格的货物</w:t>
      </w:r>
      <w:r>
        <w:rPr>
          <w:rFonts w:ascii="宋体" w:hAnsi="宋体" w:eastAsia="宋体" w:cs="Times New Roman"/>
          <w:color w:val="000000" w:themeColor="text1"/>
          <w:sz w:val="28"/>
          <w:szCs w:val="28"/>
        </w:rPr>
        <w:t>/</w:t>
      </w:r>
      <w:r>
        <w:rPr>
          <w:rFonts w:hint="eastAsia" w:ascii="宋体" w:hAnsi="宋体" w:eastAsia="宋体" w:cs="Times New Roman"/>
          <w:color w:val="000000" w:themeColor="text1"/>
          <w:sz w:val="28"/>
          <w:szCs w:val="28"/>
        </w:rPr>
        <w:t>服务只允许有一个报价，否则将被视为无效投标。</w:t>
      </w:r>
    </w:p>
    <w:p>
      <w:pPr>
        <w:spacing w:line="360" w:lineRule="auto"/>
        <w:ind w:firstLine="560" w:firstLineChars="200"/>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w:t>
      </w:r>
      <w:r>
        <w:rPr>
          <w:rFonts w:ascii="宋体" w:hAnsi="宋体" w:eastAsia="宋体" w:cs="Times New Roman"/>
          <w:color w:val="000000" w:themeColor="text1"/>
          <w:sz w:val="28"/>
          <w:szCs w:val="28"/>
        </w:rPr>
        <w:t>6</w:t>
      </w:r>
      <w:r>
        <w:rPr>
          <w:rFonts w:hint="eastAsia" w:ascii="宋体" w:hAnsi="宋体" w:eastAsia="宋体" w:cs="Times New Roman"/>
          <w:color w:val="000000" w:themeColor="text1"/>
          <w:sz w:val="28"/>
          <w:szCs w:val="28"/>
        </w:rPr>
        <w:t>）只允许投标人有一个投标方案，否则将被视为无效投标。</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2.投标文件的组成</w:t>
      </w:r>
    </w:p>
    <w:p>
      <w:pPr>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投标文件</w:t>
      </w:r>
      <w:r>
        <w:rPr>
          <w:rFonts w:hint="eastAsia" w:asciiTheme="majorEastAsia" w:hAnsiTheme="majorEastAsia" w:eastAsiaTheme="majorEastAsia"/>
          <w:sz w:val="28"/>
          <w:szCs w:val="28"/>
        </w:rPr>
        <w:t>至少</w:t>
      </w:r>
      <w:r>
        <w:rPr>
          <w:rFonts w:asciiTheme="majorEastAsia" w:hAnsiTheme="majorEastAsia" w:eastAsiaTheme="majorEastAsia"/>
          <w:sz w:val="28"/>
          <w:szCs w:val="28"/>
        </w:rPr>
        <w:t>包括</w:t>
      </w:r>
      <w:r>
        <w:rPr>
          <w:rFonts w:hint="eastAsia" w:asciiTheme="majorEastAsia" w:hAnsiTheme="majorEastAsia" w:eastAsiaTheme="majorEastAsia"/>
          <w:sz w:val="28"/>
          <w:szCs w:val="28"/>
        </w:rPr>
        <w:t>下列应提供的文件资料，</w:t>
      </w:r>
      <w:r>
        <w:rPr>
          <w:rFonts w:asciiTheme="majorEastAsia" w:hAnsiTheme="majorEastAsia" w:eastAsiaTheme="majorEastAsia"/>
          <w:sz w:val="28"/>
          <w:szCs w:val="28"/>
        </w:rPr>
        <w:t>但不限于以下组成内容</w:t>
      </w:r>
      <w:r>
        <w:rPr>
          <w:rFonts w:hint="eastAsia" w:asciiTheme="majorEastAsia" w:hAnsiTheme="majorEastAsia" w:eastAsiaTheme="majorEastAsia"/>
          <w:sz w:val="28"/>
          <w:szCs w:val="28"/>
        </w:rPr>
        <w:t>。</w:t>
      </w:r>
      <w:r>
        <w:rPr>
          <w:rFonts w:asciiTheme="majorEastAsia" w:hAnsiTheme="majorEastAsia" w:eastAsiaTheme="majorEastAsia"/>
          <w:sz w:val="28"/>
          <w:szCs w:val="28"/>
        </w:rPr>
        <w:t>投标文件请使用 A4 规格</w:t>
      </w:r>
      <w:r>
        <w:rPr>
          <w:rFonts w:hint="eastAsia" w:asciiTheme="majorEastAsia" w:hAnsiTheme="majorEastAsia" w:eastAsiaTheme="majorEastAsia"/>
          <w:sz w:val="28"/>
          <w:szCs w:val="28"/>
        </w:rPr>
        <w:t>的</w:t>
      </w:r>
      <w:r>
        <w:rPr>
          <w:rFonts w:asciiTheme="majorEastAsia" w:hAnsiTheme="majorEastAsia" w:eastAsiaTheme="majorEastAsia"/>
          <w:sz w:val="28"/>
          <w:szCs w:val="28"/>
        </w:rPr>
        <w:t>纸张按顺序装订成册，应有明显的指引目录，每页应有页码，封面标明项目名称、投标单位名称并盖章，有提供格式文件的请按格式要求提交。</w:t>
      </w:r>
    </w:p>
    <w:p>
      <w:pPr>
        <w:spacing w:line="360" w:lineRule="auto"/>
        <w:ind w:right="206" w:firstLine="560" w:firstLineChars="200"/>
        <w:rPr>
          <w:rFonts w:asciiTheme="majorEastAsia" w:hAnsiTheme="majorEastAsia" w:eastAsiaTheme="majorEastAsia"/>
          <w:sz w:val="28"/>
          <w:szCs w:val="28"/>
        </w:rPr>
      </w:pPr>
    </w:p>
    <w:p>
      <w:pPr>
        <w:spacing w:line="360" w:lineRule="exact"/>
        <w:ind w:left="0" w:right="206" w:firstLine="0"/>
        <w:jc w:val="center"/>
        <w:rPr>
          <w:rFonts w:asciiTheme="majorEastAsia" w:hAnsiTheme="majorEastAsia" w:eastAsiaTheme="majorEastAsia"/>
          <w:sz w:val="28"/>
          <w:szCs w:val="28"/>
        </w:rPr>
      </w:pPr>
      <w:r>
        <w:rPr>
          <w:rFonts w:hint="eastAsia" w:asciiTheme="majorEastAsia" w:hAnsiTheme="majorEastAsia" w:eastAsiaTheme="majorEastAsia"/>
          <w:b/>
          <w:bCs/>
          <w:sz w:val="28"/>
          <w:szCs w:val="28"/>
        </w:rPr>
        <w:t>投标人应提供的文件资料索引</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68"/>
        <w:gridCol w:w="5811"/>
        <w:gridCol w:w="14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ascii="宋体" w:hAnsi="宋体" w:eastAsia="宋体"/>
                <w:sz w:val="28"/>
                <w:szCs w:val="28"/>
              </w:rPr>
              <w:t>序号</w:t>
            </w:r>
          </w:p>
        </w:tc>
        <w:tc>
          <w:tcPr>
            <w:tcW w:w="5811" w:type="dxa"/>
            <w:vAlign w:val="center"/>
          </w:tcPr>
          <w:p>
            <w:pPr>
              <w:spacing w:line="360" w:lineRule="exact"/>
              <w:ind w:right="206"/>
              <w:jc w:val="center"/>
              <w:rPr>
                <w:rFonts w:asciiTheme="majorEastAsia" w:hAnsiTheme="majorEastAsia" w:eastAsiaTheme="majorEastAsia"/>
                <w:sz w:val="28"/>
                <w:szCs w:val="28"/>
              </w:rPr>
            </w:pPr>
            <w:r>
              <w:rPr>
                <w:rFonts w:ascii="宋体" w:hAnsi="宋体" w:eastAsia="宋体"/>
                <w:sz w:val="28"/>
                <w:szCs w:val="28"/>
              </w:rPr>
              <w:t>内容</w:t>
            </w:r>
          </w:p>
        </w:tc>
        <w:tc>
          <w:tcPr>
            <w:tcW w:w="1418" w:type="dxa"/>
            <w:vAlign w:val="center"/>
          </w:tcPr>
          <w:p>
            <w:pPr>
              <w:spacing w:line="360" w:lineRule="exact"/>
              <w:ind w:right="206"/>
              <w:jc w:val="center"/>
              <w:rPr>
                <w:rFonts w:asciiTheme="majorEastAsia" w:hAnsiTheme="majorEastAsia" w:eastAsiaTheme="majorEastAsia"/>
                <w:sz w:val="28"/>
                <w:szCs w:val="28"/>
              </w:rPr>
            </w:pPr>
            <w:r>
              <w:rPr>
                <w:rFonts w:ascii="宋体" w:hAnsi="宋体" w:eastAsia="宋体"/>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68" w:type="dxa"/>
            <w:vAlign w:val="center"/>
          </w:tcPr>
          <w:p>
            <w:pPr>
              <w:spacing w:line="360" w:lineRule="exact"/>
              <w:ind w:right="94"/>
              <w:jc w:val="center"/>
              <w:rPr>
                <w:rFonts w:ascii="宋体" w:hAnsi="宋体" w:eastAsia="宋体"/>
                <w:sz w:val="28"/>
                <w:szCs w:val="28"/>
              </w:rPr>
            </w:pPr>
            <w:r>
              <w:rPr>
                <w:rFonts w:ascii="宋体" w:hAnsi="宋体" w:eastAsia="宋体"/>
                <w:sz w:val="28"/>
                <w:szCs w:val="28"/>
              </w:rPr>
              <w:t>1</w:t>
            </w:r>
          </w:p>
        </w:tc>
        <w:tc>
          <w:tcPr>
            <w:tcW w:w="5811" w:type="dxa"/>
            <w:vAlign w:val="center"/>
          </w:tcPr>
          <w:p>
            <w:pPr>
              <w:spacing w:line="360" w:lineRule="exact"/>
              <w:rPr>
                <w:rFonts w:ascii="宋体" w:hAnsi="宋体" w:eastAsia="宋体"/>
                <w:sz w:val="28"/>
                <w:szCs w:val="28"/>
              </w:rPr>
            </w:pPr>
            <w:r>
              <w:rPr>
                <w:rFonts w:ascii="宋体" w:hAnsi="宋体" w:eastAsia="宋体"/>
                <w:sz w:val="28"/>
                <w:szCs w:val="28"/>
              </w:rPr>
              <w:t>投标承诺函</w:t>
            </w:r>
            <w:r>
              <w:rPr>
                <w:rFonts w:hint="eastAsia" w:ascii="宋体" w:hAnsi="宋体" w:eastAsia="宋体"/>
                <w:sz w:val="28"/>
                <w:szCs w:val="28"/>
              </w:rPr>
              <w:t>（内容必要时可增加）</w:t>
            </w:r>
          </w:p>
        </w:tc>
        <w:tc>
          <w:tcPr>
            <w:tcW w:w="1418" w:type="dxa"/>
          </w:tcPr>
          <w:p>
            <w:pPr>
              <w:spacing w:line="360" w:lineRule="exact"/>
              <w:ind w:right="206"/>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0" w:hRule="atLeast"/>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2</w:t>
            </w:r>
          </w:p>
        </w:tc>
        <w:tc>
          <w:tcPr>
            <w:tcW w:w="5811" w:type="dxa"/>
            <w:vAlign w:val="center"/>
          </w:tcPr>
          <w:p>
            <w:pPr>
              <w:spacing w:line="360" w:lineRule="exact"/>
              <w:rPr>
                <w:rFonts w:ascii="宋体" w:hAnsi="宋体" w:eastAsia="宋体"/>
                <w:sz w:val="28"/>
                <w:szCs w:val="28"/>
              </w:rPr>
            </w:pPr>
            <w:r>
              <w:rPr>
                <w:rFonts w:ascii="宋体" w:hAnsi="宋体" w:eastAsia="宋体"/>
                <w:sz w:val="28"/>
                <w:szCs w:val="28"/>
              </w:rPr>
              <w:t>法定代表人证明书，法定代表人授权书（法定代表人亲自办理投标事宜的，则无需提交本证明书）</w:t>
            </w:r>
            <w:r>
              <w:rPr>
                <w:rFonts w:hint="eastAsia" w:ascii="宋体" w:hAnsi="宋体" w:eastAsia="宋体"/>
                <w:sz w:val="28"/>
                <w:szCs w:val="28"/>
              </w:rPr>
              <w:t>及身份证复印件</w:t>
            </w:r>
          </w:p>
        </w:tc>
        <w:tc>
          <w:tcPr>
            <w:tcW w:w="1418" w:type="dxa"/>
          </w:tcPr>
          <w:p>
            <w:pPr>
              <w:spacing w:line="360" w:lineRule="exact"/>
              <w:ind w:right="206"/>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3</w:t>
            </w:r>
          </w:p>
        </w:tc>
        <w:tc>
          <w:tcPr>
            <w:tcW w:w="5811" w:type="dxa"/>
            <w:vAlign w:val="center"/>
          </w:tcPr>
          <w:p>
            <w:pPr>
              <w:tabs>
                <w:tab w:val="left" w:pos="840"/>
              </w:tabs>
              <w:spacing w:line="360" w:lineRule="exact"/>
              <w:rPr>
                <w:rFonts w:ascii="宋体" w:hAnsi="宋体" w:eastAsia="宋体"/>
                <w:sz w:val="28"/>
                <w:szCs w:val="28"/>
              </w:rPr>
            </w:pPr>
            <w:r>
              <w:rPr>
                <w:rFonts w:ascii="宋体" w:hAnsi="宋体" w:eastAsia="宋体"/>
                <w:sz w:val="28"/>
                <w:szCs w:val="28"/>
              </w:rPr>
              <w:t>营业执照复印件</w:t>
            </w:r>
          </w:p>
        </w:tc>
        <w:tc>
          <w:tcPr>
            <w:tcW w:w="1418" w:type="dxa"/>
          </w:tcPr>
          <w:p>
            <w:pPr>
              <w:spacing w:line="360" w:lineRule="exact"/>
              <w:ind w:right="206"/>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4</w:t>
            </w:r>
          </w:p>
        </w:tc>
        <w:tc>
          <w:tcPr>
            <w:tcW w:w="5811" w:type="dxa"/>
            <w:vAlign w:val="center"/>
          </w:tcPr>
          <w:p>
            <w:pPr>
              <w:tabs>
                <w:tab w:val="left" w:pos="840"/>
              </w:tabs>
              <w:spacing w:line="360" w:lineRule="exact"/>
              <w:rPr>
                <w:rFonts w:ascii="宋体" w:hAnsi="宋体" w:eastAsia="宋体"/>
                <w:sz w:val="28"/>
                <w:szCs w:val="28"/>
              </w:rPr>
            </w:pPr>
            <w:r>
              <w:rPr>
                <w:rFonts w:ascii="宋体" w:hAnsi="宋体" w:eastAsia="宋体"/>
                <w:sz w:val="28"/>
                <w:szCs w:val="28"/>
              </w:rPr>
              <w:t>有效</w:t>
            </w:r>
            <w:r>
              <w:rPr>
                <w:rFonts w:hint="eastAsia" w:ascii="宋体" w:hAnsi="宋体" w:eastAsia="宋体"/>
                <w:sz w:val="28"/>
                <w:szCs w:val="28"/>
              </w:rPr>
              <w:t>的</w:t>
            </w:r>
            <w:r>
              <w:rPr>
                <w:rFonts w:ascii="宋体" w:hAnsi="宋体" w:eastAsia="宋体"/>
                <w:sz w:val="28"/>
                <w:szCs w:val="28"/>
              </w:rPr>
              <w:t>食品经营许可证复印件</w:t>
            </w:r>
          </w:p>
        </w:tc>
        <w:tc>
          <w:tcPr>
            <w:tcW w:w="1418" w:type="dxa"/>
          </w:tcPr>
          <w:p>
            <w:pPr>
              <w:spacing w:line="360" w:lineRule="exact"/>
              <w:ind w:right="206"/>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6" w:hRule="atLeast"/>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5</w:t>
            </w:r>
          </w:p>
        </w:tc>
        <w:tc>
          <w:tcPr>
            <w:tcW w:w="5811" w:type="dxa"/>
            <w:vAlign w:val="center"/>
          </w:tcPr>
          <w:p>
            <w:pPr>
              <w:tabs>
                <w:tab w:val="left" w:pos="840"/>
              </w:tabs>
              <w:spacing w:line="360" w:lineRule="exact"/>
              <w:rPr>
                <w:rFonts w:ascii="Times New Roman" w:hAnsi="Times New Roman" w:eastAsia="Times New Roman"/>
                <w:sz w:val="28"/>
                <w:szCs w:val="28"/>
              </w:rPr>
            </w:pPr>
            <w:r>
              <w:rPr>
                <w:rFonts w:ascii="宋体" w:hAnsi="宋体" w:eastAsia="宋体"/>
                <w:sz w:val="28"/>
                <w:szCs w:val="28"/>
              </w:rPr>
              <w:t>提供 20</w:t>
            </w:r>
            <w:r>
              <w:rPr>
                <w:rFonts w:hint="eastAsia" w:ascii="宋体" w:hAnsi="宋体" w:eastAsia="宋体"/>
                <w:sz w:val="28"/>
                <w:szCs w:val="28"/>
              </w:rPr>
              <w:t>20</w:t>
            </w:r>
            <w:r>
              <w:rPr>
                <w:rFonts w:ascii="宋体" w:hAnsi="宋体" w:eastAsia="宋体"/>
                <w:sz w:val="28"/>
                <w:szCs w:val="28"/>
              </w:rPr>
              <w:t xml:space="preserve"> 年度财务状况报告或基本开户行出具的资信证明复印件</w:t>
            </w:r>
          </w:p>
        </w:tc>
        <w:tc>
          <w:tcPr>
            <w:tcW w:w="1418" w:type="dxa"/>
          </w:tcPr>
          <w:p>
            <w:pPr>
              <w:spacing w:line="360" w:lineRule="exact"/>
              <w:ind w:right="206"/>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6</w:t>
            </w:r>
          </w:p>
        </w:tc>
        <w:tc>
          <w:tcPr>
            <w:tcW w:w="5811" w:type="dxa"/>
            <w:vAlign w:val="center"/>
          </w:tcPr>
          <w:p>
            <w:pPr>
              <w:tabs>
                <w:tab w:val="left" w:pos="840"/>
              </w:tabs>
              <w:spacing w:line="360" w:lineRule="exact"/>
              <w:ind w:right="3"/>
              <w:rPr>
                <w:rFonts w:ascii="Times New Roman" w:hAnsi="Times New Roman"/>
                <w:sz w:val="28"/>
                <w:szCs w:val="28"/>
                <w:vertAlign w:val="subscript"/>
              </w:rPr>
            </w:pPr>
            <w:r>
              <w:rPr>
                <w:rFonts w:ascii="宋体" w:hAnsi="宋体" w:eastAsia="宋体"/>
                <w:sz w:val="28"/>
                <w:szCs w:val="28"/>
              </w:rPr>
              <w:t>提供投标截止日前 6 个月内任意 1 个月依法缴纳税收和社会保障资金的相关材料。如依法免税或不需要缴纳社会保障资金的，</w:t>
            </w:r>
            <w:r>
              <w:rPr>
                <w:rFonts w:hint="eastAsia" w:ascii="宋体" w:hAnsi="宋体" w:eastAsia="宋体"/>
                <w:sz w:val="28"/>
                <w:szCs w:val="28"/>
              </w:rPr>
              <w:t>请</w:t>
            </w:r>
            <w:r>
              <w:rPr>
                <w:rFonts w:ascii="宋体" w:hAnsi="宋体" w:eastAsia="宋体"/>
                <w:sz w:val="28"/>
                <w:szCs w:val="28"/>
              </w:rPr>
              <w:t>提供相应证明材料</w:t>
            </w:r>
          </w:p>
        </w:tc>
        <w:tc>
          <w:tcPr>
            <w:tcW w:w="1418" w:type="dxa"/>
          </w:tcPr>
          <w:p>
            <w:pPr>
              <w:spacing w:line="360" w:lineRule="exact"/>
              <w:ind w:right="206"/>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7</w:t>
            </w:r>
          </w:p>
        </w:tc>
        <w:tc>
          <w:tcPr>
            <w:tcW w:w="5811" w:type="dxa"/>
            <w:vAlign w:val="center"/>
          </w:tcPr>
          <w:p>
            <w:pPr>
              <w:spacing w:line="360" w:lineRule="exact"/>
              <w:ind w:right="206"/>
              <w:rPr>
                <w:rFonts w:ascii="宋体" w:hAnsi="宋体" w:eastAsia="宋体"/>
                <w:sz w:val="28"/>
                <w:szCs w:val="28"/>
              </w:rPr>
            </w:pPr>
            <w:r>
              <w:rPr>
                <w:rFonts w:hint="eastAsia" w:ascii="宋体" w:hAnsi="宋体" w:eastAsia="宋体"/>
                <w:sz w:val="28"/>
                <w:szCs w:val="28"/>
              </w:rPr>
              <w:t>《服务与承诺评审、自查评分表》需提供的内容</w:t>
            </w:r>
          </w:p>
        </w:tc>
        <w:tc>
          <w:tcPr>
            <w:tcW w:w="1418" w:type="dxa"/>
          </w:tcPr>
          <w:p>
            <w:pPr>
              <w:spacing w:line="360" w:lineRule="exact"/>
              <w:ind w:right="206"/>
              <w:rPr>
                <w:rFonts w:asciiTheme="majorEastAsia" w:hAnsiTheme="majorEastAsia" w:eastAsiaTheme="majorEastAsia"/>
                <w:sz w:val="28"/>
                <w:szCs w:val="28"/>
              </w:rPr>
            </w:pPr>
            <w:r>
              <w:rPr>
                <w:rFonts w:hint="eastAsia" w:asciiTheme="majorEastAsia" w:hAnsiTheme="majorEastAsia" w:eastAsiaTheme="majorEastAsia"/>
                <w:sz w:val="28"/>
                <w:szCs w:val="28"/>
              </w:rPr>
              <w:t>附件10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8</w:t>
            </w:r>
          </w:p>
        </w:tc>
        <w:tc>
          <w:tcPr>
            <w:tcW w:w="5811" w:type="dxa"/>
            <w:vAlign w:val="center"/>
          </w:tcPr>
          <w:p>
            <w:pPr>
              <w:spacing w:line="360" w:lineRule="exact"/>
              <w:ind w:right="206"/>
              <w:rPr>
                <w:rFonts w:ascii="宋体" w:hAnsi="宋体" w:eastAsia="宋体"/>
                <w:sz w:val="28"/>
                <w:szCs w:val="28"/>
              </w:rPr>
            </w:pPr>
            <w:r>
              <w:rPr>
                <w:rFonts w:ascii="宋体" w:hAnsi="宋体" w:eastAsia="宋体"/>
                <w:sz w:val="28"/>
                <w:szCs w:val="28"/>
              </w:rPr>
              <w:t>投标人认为有必要说明的其他</w:t>
            </w:r>
            <w:r>
              <w:rPr>
                <w:rFonts w:hint="eastAsia" w:ascii="宋体" w:hAnsi="宋体" w:eastAsia="宋体"/>
                <w:sz w:val="28"/>
                <w:szCs w:val="28"/>
              </w:rPr>
              <w:t>服务内容或承诺事项</w:t>
            </w:r>
          </w:p>
        </w:tc>
        <w:tc>
          <w:tcPr>
            <w:tcW w:w="1418" w:type="dxa"/>
          </w:tcPr>
          <w:p>
            <w:pPr>
              <w:spacing w:line="360" w:lineRule="exact"/>
              <w:ind w:right="206"/>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9</w:t>
            </w:r>
          </w:p>
        </w:tc>
        <w:tc>
          <w:tcPr>
            <w:tcW w:w="5811" w:type="dxa"/>
            <w:vAlign w:val="center"/>
          </w:tcPr>
          <w:p>
            <w:pPr>
              <w:spacing w:line="360" w:lineRule="exact"/>
              <w:ind w:right="206"/>
              <w:rPr>
                <w:rFonts w:asciiTheme="majorEastAsia" w:hAnsiTheme="majorEastAsia" w:eastAsiaTheme="majorEastAsia"/>
                <w:sz w:val="28"/>
                <w:szCs w:val="28"/>
              </w:rPr>
            </w:pPr>
            <w:r>
              <w:rPr>
                <w:rFonts w:ascii="宋体" w:hAnsi="宋体" w:eastAsia="宋体"/>
                <w:sz w:val="28"/>
                <w:szCs w:val="28"/>
              </w:rPr>
              <w:t>《商务</w:t>
            </w:r>
            <w:r>
              <w:rPr>
                <w:rFonts w:hint="eastAsia" w:ascii="宋体" w:hAnsi="宋体" w:eastAsia="宋体"/>
                <w:sz w:val="28"/>
                <w:szCs w:val="28"/>
              </w:rPr>
              <w:t>评审、自查</w:t>
            </w:r>
            <w:r>
              <w:rPr>
                <w:rFonts w:ascii="宋体" w:hAnsi="宋体" w:eastAsia="宋体"/>
                <w:sz w:val="28"/>
                <w:szCs w:val="28"/>
              </w:rPr>
              <w:t>评分表》需提供的内容</w:t>
            </w:r>
          </w:p>
        </w:tc>
        <w:tc>
          <w:tcPr>
            <w:tcW w:w="1418" w:type="dxa"/>
          </w:tcPr>
          <w:p>
            <w:pPr>
              <w:spacing w:line="360" w:lineRule="exact"/>
              <w:ind w:right="206"/>
              <w:rPr>
                <w:rFonts w:asciiTheme="majorEastAsia" w:hAnsiTheme="majorEastAsia" w:eastAsiaTheme="majorEastAsia"/>
                <w:sz w:val="28"/>
                <w:szCs w:val="28"/>
              </w:rPr>
            </w:pPr>
            <w:r>
              <w:rPr>
                <w:rFonts w:hint="eastAsia" w:asciiTheme="majorEastAsia" w:hAnsiTheme="majorEastAsia" w:eastAsiaTheme="majorEastAsia"/>
                <w:sz w:val="28"/>
                <w:szCs w:val="28"/>
              </w:rPr>
              <w:t>附件11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10</w:t>
            </w:r>
          </w:p>
        </w:tc>
        <w:tc>
          <w:tcPr>
            <w:tcW w:w="5811" w:type="dxa"/>
            <w:vAlign w:val="center"/>
          </w:tcPr>
          <w:p>
            <w:pPr>
              <w:spacing w:line="360" w:lineRule="exact"/>
              <w:ind w:right="206"/>
              <w:rPr>
                <w:rFonts w:asciiTheme="majorEastAsia" w:hAnsiTheme="majorEastAsia" w:eastAsiaTheme="majorEastAsia"/>
                <w:sz w:val="28"/>
                <w:szCs w:val="28"/>
              </w:rPr>
            </w:pPr>
            <w:r>
              <w:rPr>
                <w:rFonts w:ascii="宋体" w:hAnsi="宋体" w:eastAsia="宋体"/>
                <w:sz w:val="28"/>
                <w:szCs w:val="28"/>
              </w:rPr>
              <w:t>投标人认为有必要说明的其他商务文件资料</w:t>
            </w:r>
          </w:p>
        </w:tc>
        <w:tc>
          <w:tcPr>
            <w:tcW w:w="1418" w:type="dxa"/>
          </w:tcPr>
          <w:p>
            <w:pPr>
              <w:spacing w:line="360" w:lineRule="exact"/>
              <w:ind w:right="206"/>
              <w:rPr>
                <w:rFonts w:asciiTheme="majorEastAsia" w:hAnsiTheme="majorEastAsia" w:eastAsiaTheme="majorEastAsi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11</w:t>
            </w:r>
          </w:p>
        </w:tc>
        <w:tc>
          <w:tcPr>
            <w:tcW w:w="5811" w:type="dxa"/>
            <w:vAlign w:val="center"/>
          </w:tcPr>
          <w:p>
            <w:pPr>
              <w:tabs>
                <w:tab w:val="left" w:pos="840"/>
              </w:tabs>
              <w:spacing w:line="360" w:lineRule="exact"/>
              <w:rPr>
                <w:rFonts w:asciiTheme="majorEastAsia" w:hAnsiTheme="majorEastAsia" w:eastAsiaTheme="majorEastAsia"/>
                <w:sz w:val="28"/>
                <w:szCs w:val="28"/>
              </w:rPr>
            </w:pPr>
            <w:r>
              <w:rPr>
                <w:rFonts w:ascii="宋体" w:hAnsi="宋体" w:eastAsia="宋体"/>
                <w:sz w:val="28"/>
                <w:szCs w:val="28"/>
              </w:rPr>
              <w:t>《技术</w:t>
            </w:r>
            <w:r>
              <w:rPr>
                <w:rFonts w:hint="eastAsia" w:ascii="宋体" w:hAnsi="宋体" w:eastAsia="宋体"/>
                <w:sz w:val="28"/>
                <w:szCs w:val="28"/>
              </w:rPr>
              <w:t>评审、自查</w:t>
            </w:r>
            <w:r>
              <w:rPr>
                <w:rFonts w:ascii="宋体" w:hAnsi="宋体" w:eastAsia="宋体"/>
                <w:sz w:val="28"/>
                <w:szCs w:val="28"/>
              </w:rPr>
              <w:t>评分表》需提供的内容</w:t>
            </w:r>
          </w:p>
        </w:tc>
        <w:tc>
          <w:tcPr>
            <w:tcW w:w="1418" w:type="dxa"/>
          </w:tcPr>
          <w:p>
            <w:pPr>
              <w:spacing w:line="360" w:lineRule="exact"/>
              <w:ind w:right="206"/>
              <w:rPr>
                <w:rFonts w:asciiTheme="majorEastAsia" w:hAnsiTheme="majorEastAsia" w:eastAsiaTheme="majorEastAsia"/>
                <w:sz w:val="28"/>
                <w:szCs w:val="28"/>
              </w:rPr>
            </w:pPr>
            <w:r>
              <w:rPr>
                <w:rFonts w:hint="eastAsia" w:asciiTheme="majorEastAsia" w:hAnsiTheme="majorEastAsia" w:eastAsiaTheme="majorEastAsia"/>
                <w:sz w:val="28"/>
                <w:szCs w:val="28"/>
              </w:rPr>
              <w:t>附件12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jc w:val="center"/>
        </w:trPr>
        <w:tc>
          <w:tcPr>
            <w:tcW w:w="1068" w:type="dxa"/>
            <w:vAlign w:val="center"/>
          </w:tcPr>
          <w:p>
            <w:pPr>
              <w:spacing w:line="360" w:lineRule="exact"/>
              <w:ind w:right="206"/>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12</w:t>
            </w:r>
          </w:p>
        </w:tc>
        <w:tc>
          <w:tcPr>
            <w:tcW w:w="5811" w:type="dxa"/>
            <w:vAlign w:val="center"/>
          </w:tcPr>
          <w:p>
            <w:pPr>
              <w:tabs>
                <w:tab w:val="left" w:pos="840"/>
              </w:tabs>
              <w:spacing w:line="360" w:lineRule="exact"/>
              <w:rPr>
                <w:rFonts w:asciiTheme="majorEastAsia" w:hAnsiTheme="majorEastAsia" w:eastAsiaTheme="majorEastAsia"/>
                <w:sz w:val="28"/>
                <w:szCs w:val="28"/>
              </w:rPr>
            </w:pPr>
            <w:r>
              <w:rPr>
                <w:rFonts w:ascii="宋体" w:hAnsi="宋体" w:eastAsia="宋体"/>
                <w:sz w:val="28"/>
                <w:szCs w:val="28"/>
              </w:rPr>
              <w:t>投标人认为有必要说明的其他技术文件资料</w:t>
            </w:r>
          </w:p>
        </w:tc>
        <w:tc>
          <w:tcPr>
            <w:tcW w:w="1418" w:type="dxa"/>
          </w:tcPr>
          <w:p>
            <w:pPr>
              <w:spacing w:line="360" w:lineRule="exact"/>
              <w:ind w:right="206"/>
              <w:rPr>
                <w:rFonts w:asciiTheme="majorEastAsia" w:hAnsiTheme="majorEastAsia" w:eastAsiaTheme="majorEastAsia"/>
                <w:sz w:val="28"/>
                <w:szCs w:val="28"/>
              </w:rPr>
            </w:pPr>
          </w:p>
        </w:tc>
      </w:tr>
    </w:tbl>
    <w:p>
      <w:pPr>
        <w:spacing w:line="500" w:lineRule="exact"/>
        <w:ind w:right="-399" w:firstLine="3200" w:firstLineChars="1000"/>
        <w:rPr>
          <w:rFonts w:ascii="黑体" w:hAnsi="黑体" w:eastAsia="黑体"/>
          <w:sz w:val="32"/>
          <w:szCs w:val="30"/>
        </w:rPr>
      </w:pPr>
      <w:r>
        <w:rPr>
          <w:rFonts w:ascii="黑体" w:hAnsi="黑体" w:eastAsia="黑体"/>
          <w:sz w:val="32"/>
          <w:szCs w:val="30"/>
        </w:rPr>
        <w:t>特别提示与要求！</w:t>
      </w:r>
    </w:p>
    <w:p>
      <w:pPr>
        <w:spacing w:line="500" w:lineRule="exact"/>
        <w:ind w:firstLine="551" w:firstLineChars="196"/>
        <w:rPr>
          <w:rFonts w:asciiTheme="majorEastAsia" w:hAnsiTheme="majorEastAsia" w:eastAsiaTheme="majorEastAsia"/>
          <w:b/>
          <w:sz w:val="28"/>
          <w:szCs w:val="30"/>
        </w:rPr>
      </w:pPr>
      <w:r>
        <w:rPr>
          <w:rFonts w:asciiTheme="majorEastAsia" w:hAnsiTheme="majorEastAsia" w:eastAsiaTheme="majorEastAsia"/>
          <w:b/>
          <w:sz w:val="28"/>
          <w:szCs w:val="30"/>
        </w:rPr>
        <w:t>请投标人严格按照表格内容及要求制作投标文件，所有证书类文件提供复印件且必须在有效期内。</w:t>
      </w:r>
    </w:p>
    <w:p>
      <w:pPr>
        <w:spacing w:line="500" w:lineRule="exact"/>
        <w:ind w:firstLine="560" w:firstLineChars="200"/>
        <w:rPr>
          <w:rFonts w:asciiTheme="majorEastAsia" w:hAnsiTheme="majorEastAsia" w:eastAsiaTheme="majorEastAsia"/>
          <w:sz w:val="28"/>
          <w:szCs w:val="28"/>
        </w:rPr>
      </w:pP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3.投标文件的提交</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（1）投标人提交的投标文件采用胶封装订成册，具体包括：</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投标文件一式8份（正本1份，副本7份），投标资料恕不退还。</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（2）投标文件正本与副本的内容应一致，如果正本与副本内容不符，以正本为准。</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（3）投标人对投标文件全部内容的真实性负责。</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（4）所有投标文件应在规定的投标时间,由投标法定代表人或其授权代表亲自送达投标地点，任何迟于投标截止时间的投标将被视为无效投标。邮寄、电报、电话、电子邮件、传真等方式投标视为无效投标。</w:t>
      </w:r>
    </w:p>
    <w:p>
      <w:pPr>
        <w:spacing w:line="360" w:lineRule="auto"/>
        <w:ind w:right="20"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（5）所有投标文件必须装入密封的信封或封套，并在封口上加盖投标人的公章。无密封</w:t>
      </w:r>
      <w:r>
        <w:rPr>
          <w:rFonts w:hint="eastAsia" w:asciiTheme="majorEastAsia" w:hAnsiTheme="majorEastAsia" w:eastAsiaTheme="majorEastAsia"/>
          <w:sz w:val="28"/>
          <w:szCs w:val="28"/>
        </w:rPr>
        <w:t>及</w:t>
      </w:r>
      <w:r>
        <w:rPr>
          <w:rFonts w:asciiTheme="majorEastAsia" w:hAnsiTheme="majorEastAsia" w:eastAsiaTheme="majorEastAsia"/>
          <w:sz w:val="28"/>
          <w:szCs w:val="28"/>
        </w:rPr>
        <w:t>未加盖公章的投标文件将被拒绝。投标文件一式8份（正本1份，副本7份），</w:t>
      </w:r>
      <w:r>
        <w:rPr>
          <w:rFonts w:asciiTheme="majorEastAsia" w:hAnsiTheme="majorEastAsia" w:eastAsiaTheme="majorEastAsia"/>
          <w:b/>
          <w:bCs/>
          <w:sz w:val="28"/>
          <w:szCs w:val="28"/>
        </w:rPr>
        <w:t>每份投标文件的封面上写明</w:t>
      </w:r>
      <w:r>
        <w:rPr>
          <w:rFonts w:asciiTheme="majorEastAsia" w:hAnsiTheme="majorEastAsia" w:eastAsiaTheme="majorEastAsia"/>
          <w:sz w:val="28"/>
          <w:szCs w:val="28"/>
        </w:rPr>
        <w:t>：</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①</w:t>
      </w:r>
      <w:r>
        <w:rPr>
          <w:rFonts w:asciiTheme="majorEastAsia" w:hAnsiTheme="majorEastAsia" w:eastAsiaTheme="majorEastAsia"/>
          <w:sz w:val="28"/>
          <w:szCs w:val="28"/>
        </w:rPr>
        <w:t>正本或副本；</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②</w:t>
      </w:r>
      <w:r>
        <w:rPr>
          <w:rFonts w:asciiTheme="majorEastAsia" w:hAnsiTheme="majorEastAsia" w:eastAsiaTheme="majorEastAsia"/>
          <w:sz w:val="28"/>
          <w:szCs w:val="28"/>
        </w:rPr>
        <w:t>项目名称；</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③</w:t>
      </w:r>
      <w:r>
        <w:rPr>
          <w:rFonts w:asciiTheme="majorEastAsia" w:hAnsiTheme="majorEastAsia" w:eastAsiaTheme="majorEastAsia"/>
          <w:sz w:val="28"/>
          <w:szCs w:val="28"/>
        </w:rPr>
        <w:t>投标时间；</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④</w:t>
      </w:r>
      <w:r>
        <w:rPr>
          <w:rFonts w:asciiTheme="majorEastAsia" w:hAnsiTheme="majorEastAsia" w:eastAsiaTheme="majorEastAsia"/>
          <w:sz w:val="28"/>
          <w:szCs w:val="28"/>
        </w:rPr>
        <w:t>投标人名称及地址。</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4.投标有效期</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投标有效期是投标截止日算起，投标文件中所有报价和承诺保持有效的时期</w:t>
      </w:r>
      <w:r>
        <w:rPr>
          <w:rFonts w:hint="eastAsia" w:asciiTheme="majorEastAsia" w:hAnsiTheme="majorEastAsia" w:eastAsiaTheme="majorEastAsia"/>
          <w:sz w:val="28"/>
          <w:szCs w:val="28"/>
        </w:rPr>
        <w:t>，要求投标有效期为</w:t>
      </w:r>
      <w:r>
        <w:rPr>
          <w:rFonts w:asciiTheme="majorEastAsia" w:hAnsiTheme="majorEastAsia" w:eastAsiaTheme="majorEastAsia"/>
          <w:sz w:val="28"/>
          <w:szCs w:val="28"/>
        </w:rPr>
        <w:t>90</w:t>
      </w:r>
      <w:r>
        <w:rPr>
          <w:rFonts w:hint="eastAsia" w:asciiTheme="majorEastAsia" w:hAnsiTheme="majorEastAsia" w:eastAsiaTheme="majorEastAsia"/>
          <w:sz w:val="28"/>
          <w:szCs w:val="28"/>
        </w:rPr>
        <w:t>天</w:t>
      </w:r>
      <w:r>
        <w:rPr>
          <w:rFonts w:asciiTheme="majorEastAsia" w:hAnsiTheme="majorEastAsia" w:eastAsiaTheme="majorEastAsia"/>
          <w:sz w:val="28"/>
          <w:szCs w:val="28"/>
        </w:rPr>
        <w:t>。</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5.投标的修改</w:t>
      </w:r>
    </w:p>
    <w:p>
      <w:pPr>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在投标截止时间前投标人可以修改其投标，但必须以书面形式通知招标人，投标截止时间后不得修改其投标。</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6.投标的撤回</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投标人在投标截止时间前可以撤标，但在投标截止后不允许撤标。</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7.开标、评标</w:t>
      </w:r>
    </w:p>
    <w:p>
      <w:pPr>
        <w:spacing w:line="360" w:lineRule="auto"/>
        <w:ind w:right="1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（1）将按《汕头大学</w:t>
      </w:r>
      <w:r>
        <w:rPr>
          <w:rFonts w:hint="eastAsia" w:asciiTheme="majorEastAsia" w:hAnsiTheme="majorEastAsia" w:eastAsiaTheme="majorEastAsia"/>
          <w:sz w:val="28"/>
          <w:szCs w:val="28"/>
        </w:rPr>
        <w:t>医学院</w:t>
      </w:r>
      <w:r>
        <w:rPr>
          <w:rFonts w:asciiTheme="majorEastAsia" w:hAnsiTheme="majorEastAsia" w:eastAsiaTheme="majorEastAsia"/>
          <w:sz w:val="28"/>
          <w:szCs w:val="28"/>
        </w:rPr>
        <w:t>采购与招投标管理办法》的规定组织开标、评标。</w:t>
      </w:r>
    </w:p>
    <w:p>
      <w:pPr>
        <w:spacing w:line="360" w:lineRule="auto"/>
        <w:ind w:right="1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（2）评标小组可以要求投标人对投标文件中含义不明确的内容作必要的澄清或者说明，但是澄清或者说明不得超出投标文件范围或者改变投标文件的实质性内容。</w:t>
      </w:r>
    </w:p>
    <w:p>
      <w:pPr>
        <w:spacing w:line="360" w:lineRule="auto"/>
        <w:ind w:right="1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（3）评标小组将按已定原则进行</w:t>
      </w:r>
      <w:r>
        <w:rPr>
          <w:rFonts w:hint="eastAsia" w:asciiTheme="majorEastAsia" w:hAnsiTheme="majorEastAsia" w:eastAsiaTheme="majorEastAsia"/>
          <w:sz w:val="28"/>
          <w:szCs w:val="28"/>
        </w:rPr>
        <w:t>开标与</w:t>
      </w:r>
      <w:r>
        <w:rPr>
          <w:rFonts w:asciiTheme="majorEastAsia" w:hAnsiTheme="majorEastAsia" w:eastAsiaTheme="majorEastAsia"/>
          <w:sz w:val="28"/>
          <w:szCs w:val="28"/>
        </w:rPr>
        <w:t>评标。</w:t>
      </w:r>
    </w:p>
    <w:p>
      <w:pPr>
        <w:spacing w:line="360" w:lineRule="auto"/>
        <w:ind w:right="1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（4）合同将授予符合招标文件条件并对招标人最为有利的投标人，招标人没有义务必须接受最低报价的投标。</w:t>
      </w:r>
    </w:p>
    <w:p>
      <w:pPr>
        <w:spacing w:line="360" w:lineRule="auto"/>
        <w:ind w:right="1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（5）招标结果在网上公告后，由招投标</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向中标人发出中标通知书。中标人应依时与招标人签约。</w:t>
      </w:r>
    </w:p>
    <w:p>
      <w:pPr>
        <w:spacing w:line="360" w:lineRule="auto"/>
        <w:ind w:right="1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（6）招标人与招投标</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没有义务向未中标的投标人解释不中标的理由。</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8.保密要求</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（1）凡与审查、澄清、评价、比较</w:t>
      </w:r>
      <w:r>
        <w:rPr>
          <w:rFonts w:hint="eastAsia" w:asciiTheme="majorEastAsia" w:hAnsiTheme="majorEastAsia" w:eastAsiaTheme="majorEastAsia"/>
          <w:sz w:val="28"/>
          <w:szCs w:val="28"/>
        </w:rPr>
        <w:t>等</w:t>
      </w:r>
      <w:r>
        <w:rPr>
          <w:rFonts w:asciiTheme="majorEastAsia" w:hAnsiTheme="majorEastAsia" w:eastAsiaTheme="majorEastAsia"/>
          <w:sz w:val="28"/>
          <w:szCs w:val="28"/>
        </w:rPr>
        <w:t>投标有关的资料以及授标意见等内容，任何人均不得向投标人及与评标无关的其他人透露。</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从投标截止日起到定标日止，投标人不得与参加评标的有关人员私下接触。在评标过程中，如果投标人试图在投标文件审查、澄清、比较及推荐中标人方面向参与评标的有关人员和甲方施加任何影响，其投标将被拒绝。</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（3）本项目任何当事人应当遵守保密原则，除法律、法规另有规定外，未经</w:t>
      </w:r>
      <w:r>
        <w:rPr>
          <w:rFonts w:hint="eastAsia" w:asciiTheme="majorEastAsia" w:hAnsiTheme="majorEastAsia" w:eastAsiaTheme="majorEastAsia"/>
          <w:sz w:val="28"/>
          <w:szCs w:val="28"/>
        </w:rPr>
        <w:t>招标</w:t>
      </w:r>
      <w:r>
        <w:rPr>
          <w:rFonts w:asciiTheme="majorEastAsia" w:hAnsiTheme="majorEastAsia" w:eastAsiaTheme="majorEastAsia"/>
          <w:sz w:val="28"/>
          <w:szCs w:val="28"/>
        </w:rPr>
        <w:t>人和招投标</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书面许可，不得泄露与本项目有关的商业秘密和业务资料。</w:t>
      </w:r>
    </w:p>
    <w:p>
      <w:pPr>
        <w:spacing w:line="360" w:lineRule="auto"/>
        <w:ind w:firstLine="562" w:firstLineChars="200"/>
        <w:rPr>
          <w:rFonts w:asciiTheme="majorEastAsia" w:hAnsiTheme="majorEastAsia" w:eastAsiaTheme="majorEastAsia"/>
          <w:b/>
          <w:sz w:val="28"/>
          <w:szCs w:val="28"/>
        </w:rPr>
      </w:pPr>
      <w:r>
        <w:rPr>
          <w:rFonts w:asciiTheme="majorEastAsia" w:hAnsiTheme="majorEastAsia" w:eastAsiaTheme="majorEastAsia"/>
          <w:b/>
          <w:sz w:val="28"/>
          <w:szCs w:val="28"/>
        </w:rPr>
        <w:t>四、签约</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中标人接到中标通知书后应在 10 天内与招标人签订合同。</w:t>
      </w:r>
    </w:p>
    <w:p>
      <w:pPr>
        <w:tabs>
          <w:tab w:val="left" w:pos="4700"/>
        </w:tabs>
        <w:spacing w:line="500" w:lineRule="exact"/>
        <w:jc w:val="center"/>
        <w:rPr>
          <w:rFonts w:asciiTheme="minorEastAsia" w:hAnsiTheme="minorEastAsia"/>
          <w:b/>
          <w:sz w:val="28"/>
          <w:szCs w:val="28"/>
        </w:rPr>
      </w:pPr>
    </w:p>
    <w:p>
      <w:pPr>
        <w:widowControl/>
        <w:jc w:val="left"/>
        <w:rPr>
          <w:rFonts w:asciiTheme="minorEastAsia" w:hAnsiTheme="minorEastAsia"/>
          <w:b/>
          <w:sz w:val="28"/>
          <w:szCs w:val="28"/>
        </w:rPr>
      </w:pPr>
      <w:r>
        <w:rPr>
          <w:rFonts w:asciiTheme="minorEastAsia" w:hAnsiTheme="minorEastAsia"/>
          <w:b/>
          <w:sz w:val="28"/>
          <w:szCs w:val="28"/>
        </w:rPr>
        <w:br w:type="page"/>
      </w:r>
    </w:p>
    <w:p>
      <w:pPr>
        <w:tabs>
          <w:tab w:val="left" w:pos="4700"/>
        </w:tabs>
        <w:spacing w:line="500" w:lineRule="exact"/>
        <w:jc w:val="center"/>
        <w:rPr>
          <w:rFonts w:asciiTheme="minorEastAsia" w:hAnsiTheme="minorEastAsia"/>
          <w:b/>
          <w:sz w:val="32"/>
          <w:szCs w:val="32"/>
        </w:rPr>
      </w:pPr>
      <w:r>
        <w:rPr>
          <w:rFonts w:asciiTheme="minorEastAsia" w:hAnsiTheme="minorEastAsia"/>
          <w:b/>
          <w:sz w:val="32"/>
          <w:szCs w:val="32"/>
        </w:rPr>
        <w:t>第三部分</w:t>
      </w:r>
      <w:r>
        <w:rPr>
          <w:rFonts w:hint="eastAsia" w:asciiTheme="minorEastAsia" w:hAnsiTheme="minorEastAsia"/>
          <w:b/>
          <w:sz w:val="32"/>
          <w:szCs w:val="32"/>
        </w:rPr>
        <w:t xml:space="preserve">  </w:t>
      </w:r>
      <w:r>
        <w:rPr>
          <w:rFonts w:asciiTheme="minorEastAsia" w:hAnsiTheme="minorEastAsia"/>
          <w:b/>
          <w:sz w:val="32"/>
          <w:szCs w:val="32"/>
        </w:rPr>
        <w:t>用户需求书</w:t>
      </w:r>
    </w:p>
    <w:p>
      <w:pPr>
        <w:spacing w:line="500" w:lineRule="exact"/>
        <w:rPr>
          <w:rFonts w:asciiTheme="majorEastAsia" w:hAnsiTheme="majorEastAsia" w:eastAsiaTheme="majorEastAsia"/>
          <w:sz w:val="30"/>
          <w:szCs w:val="30"/>
        </w:rPr>
      </w:pPr>
    </w:p>
    <w:p>
      <w:pPr>
        <w:spacing w:line="360" w:lineRule="auto"/>
        <w:ind w:firstLine="590" w:firstLineChars="196"/>
        <w:rPr>
          <w:rFonts w:asciiTheme="majorEastAsia" w:hAnsiTheme="majorEastAsia" w:eastAsiaTheme="majorEastAsia"/>
          <w:b/>
          <w:sz w:val="30"/>
          <w:szCs w:val="30"/>
        </w:rPr>
      </w:pPr>
      <w:r>
        <w:rPr>
          <w:rFonts w:hint="eastAsia" w:asciiTheme="majorEastAsia" w:hAnsiTheme="majorEastAsia" w:eastAsiaTheme="majorEastAsia"/>
          <w:b/>
          <w:sz w:val="30"/>
          <w:szCs w:val="30"/>
        </w:rPr>
        <w:t>一、汕头大学医学院学生食堂</w:t>
      </w:r>
      <w:r>
        <w:rPr>
          <w:rFonts w:asciiTheme="majorEastAsia" w:hAnsiTheme="majorEastAsia" w:eastAsiaTheme="majorEastAsia"/>
          <w:b/>
          <w:sz w:val="30"/>
          <w:szCs w:val="30"/>
        </w:rPr>
        <w:t>（含二楼</w:t>
      </w:r>
      <w:r>
        <w:rPr>
          <w:rFonts w:hint="eastAsia" w:asciiTheme="majorEastAsia" w:hAnsiTheme="majorEastAsia" w:eastAsiaTheme="majorEastAsia"/>
          <w:b/>
          <w:sz w:val="30"/>
          <w:szCs w:val="30"/>
        </w:rPr>
        <w:t>教工</w:t>
      </w:r>
      <w:r>
        <w:rPr>
          <w:rFonts w:asciiTheme="majorEastAsia" w:hAnsiTheme="majorEastAsia" w:eastAsiaTheme="majorEastAsia"/>
          <w:b/>
          <w:sz w:val="30"/>
          <w:szCs w:val="30"/>
        </w:rPr>
        <w:t>餐厅）</w:t>
      </w:r>
      <w:r>
        <w:rPr>
          <w:rFonts w:hint="eastAsia" w:asciiTheme="majorEastAsia" w:hAnsiTheme="majorEastAsia" w:eastAsiaTheme="majorEastAsia"/>
          <w:b/>
          <w:sz w:val="30"/>
          <w:szCs w:val="30"/>
        </w:rPr>
        <w:t>情况介绍</w:t>
      </w:r>
    </w:p>
    <w:p>
      <w:pPr>
        <w:spacing w:line="360" w:lineRule="auto"/>
        <w:ind w:firstLine="548" w:firstLineChars="196"/>
        <w:rPr>
          <w:rFonts w:asciiTheme="majorEastAsia" w:hAnsiTheme="majorEastAsia" w:eastAsiaTheme="majorEastAsia"/>
          <w:sz w:val="28"/>
          <w:szCs w:val="28"/>
        </w:rPr>
      </w:pPr>
      <w:r>
        <w:rPr>
          <w:rFonts w:asciiTheme="majorEastAsia" w:hAnsiTheme="majorEastAsia" w:eastAsiaTheme="majorEastAsia"/>
          <w:sz w:val="28"/>
          <w:szCs w:val="28"/>
        </w:rPr>
        <w:t>1．总面积：</w:t>
      </w:r>
      <w:r>
        <w:rPr>
          <w:rFonts w:hint="eastAsia" w:asciiTheme="majorEastAsia" w:hAnsiTheme="majorEastAsia" w:eastAsiaTheme="majorEastAsia"/>
          <w:sz w:val="28"/>
          <w:szCs w:val="28"/>
        </w:rPr>
        <w:t>1350</w:t>
      </w:r>
      <w:r>
        <w:rPr>
          <w:rFonts w:asciiTheme="majorEastAsia" w:hAnsiTheme="majorEastAsia" w:eastAsiaTheme="majorEastAsia"/>
          <w:sz w:val="28"/>
          <w:szCs w:val="28"/>
        </w:rPr>
        <w:t>平方米，一楼</w:t>
      </w:r>
      <w:r>
        <w:rPr>
          <w:rFonts w:hint="eastAsia" w:asciiTheme="majorEastAsia" w:hAnsiTheme="majorEastAsia" w:eastAsiaTheme="majorEastAsia"/>
          <w:sz w:val="28"/>
          <w:szCs w:val="28"/>
        </w:rPr>
        <w:t>东侧餐厅及西侧餐厅</w:t>
      </w:r>
      <w:r>
        <w:rPr>
          <w:rFonts w:asciiTheme="majorEastAsia" w:hAnsiTheme="majorEastAsia" w:eastAsiaTheme="majorEastAsia"/>
          <w:sz w:val="28"/>
          <w:szCs w:val="28"/>
        </w:rPr>
        <w:t xml:space="preserve">就餐位约 </w:t>
      </w:r>
      <w:r>
        <w:rPr>
          <w:rFonts w:hint="eastAsia" w:asciiTheme="majorEastAsia" w:hAnsiTheme="majorEastAsia" w:eastAsiaTheme="majorEastAsia"/>
          <w:sz w:val="28"/>
          <w:szCs w:val="28"/>
        </w:rPr>
        <w:t>3</w:t>
      </w:r>
      <w:r>
        <w:rPr>
          <w:rFonts w:asciiTheme="majorEastAsia" w:hAnsiTheme="majorEastAsia" w:eastAsiaTheme="majorEastAsia"/>
          <w:sz w:val="28"/>
          <w:szCs w:val="28"/>
        </w:rPr>
        <w:t>00 个，二楼</w:t>
      </w:r>
      <w:r>
        <w:rPr>
          <w:rFonts w:hint="eastAsia" w:asciiTheme="majorEastAsia" w:hAnsiTheme="majorEastAsia" w:eastAsiaTheme="majorEastAsia"/>
          <w:sz w:val="28"/>
          <w:szCs w:val="28"/>
        </w:rPr>
        <w:t>教工餐厅</w:t>
      </w:r>
      <w:r>
        <w:rPr>
          <w:rFonts w:asciiTheme="majorEastAsia" w:hAnsiTheme="majorEastAsia" w:eastAsiaTheme="majorEastAsia"/>
          <w:sz w:val="28"/>
          <w:szCs w:val="28"/>
        </w:rPr>
        <w:t xml:space="preserve">就餐位约 </w:t>
      </w:r>
      <w:r>
        <w:rPr>
          <w:rFonts w:hint="eastAsia" w:asciiTheme="majorEastAsia" w:hAnsiTheme="majorEastAsia" w:eastAsiaTheme="majorEastAsia"/>
          <w:sz w:val="28"/>
          <w:szCs w:val="28"/>
        </w:rPr>
        <w:t>84</w:t>
      </w:r>
      <w:r>
        <w:rPr>
          <w:rFonts w:asciiTheme="majorEastAsia" w:hAnsiTheme="majorEastAsia" w:eastAsiaTheme="majorEastAsia"/>
          <w:sz w:val="28"/>
          <w:szCs w:val="28"/>
        </w:rPr>
        <w:t>个及</w:t>
      </w:r>
      <w:r>
        <w:rPr>
          <w:rFonts w:hint="eastAsia" w:asciiTheme="majorEastAsia" w:hAnsiTheme="majorEastAsia" w:eastAsiaTheme="majorEastAsia"/>
          <w:sz w:val="28"/>
          <w:szCs w:val="28"/>
        </w:rPr>
        <w:t>接待量为3台圆桌的</w:t>
      </w:r>
      <w:r>
        <w:rPr>
          <w:rFonts w:asciiTheme="majorEastAsia" w:hAnsiTheme="majorEastAsia" w:eastAsiaTheme="majorEastAsia"/>
          <w:sz w:val="28"/>
          <w:szCs w:val="28"/>
        </w:rPr>
        <w:t>包厢</w:t>
      </w:r>
      <w:r>
        <w:rPr>
          <w:rFonts w:hint="eastAsia" w:asciiTheme="majorEastAsia" w:hAnsiTheme="majorEastAsia" w:eastAsiaTheme="majorEastAsia"/>
          <w:sz w:val="28"/>
          <w:szCs w:val="28"/>
        </w:rPr>
        <w:t>一个，一个约10平米的学生生活配套服务点；其中办公场地、仓库、男女宿舍等配套项目总约200平方米。</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w:t>
      </w:r>
      <w:r>
        <w:rPr>
          <w:rFonts w:hint="eastAsia" w:asciiTheme="majorEastAsia" w:hAnsiTheme="majorEastAsia" w:eastAsiaTheme="majorEastAsia"/>
          <w:sz w:val="28"/>
          <w:szCs w:val="28"/>
        </w:rPr>
        <w:t>在校就餐学生人数约550人，以及部分教职工。为鼓励学生到学院食堂就餐，医学院对到食堂就餐的本院学生有一定补助，每月最高补贴115元；食堂全年无休提供餐饮服务。</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w:t>
      </w:r>
      <w:r>
        <w:rPr>
          <w:rFonts w:hint="eastAsia" w:asciiTheme="majorEastAsia" w:hAnsiTheme="majorEastAsia" w:eastAsiaTheme="majorEastAsia"/>
          <w:sz w:val="28"/>
          <w:szCs w:val="28"/>
        </w:rPr>
        <w:t>按需求提供医学院有关会议工作餐及围餐。</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w:t>
      </w:r>
      <w:r>
        <w:rPr>
          <w:rFonts w:asciiTheme="majorEastAsia" w:hAnsiTheme="majorEastAsia" w:eastAsiaTheme="majorEastAsia"/>
          <w:sz w:val="28"/>
          <w:szCs w:val="28"/>
        </w:rPr>
        <w:t>为</w:t>
      </w:r>
      <w:r>
        <w:rPr>
          <w:rFonts w:hint="eastAsia" w:asciiTheme="majorEastAsia" w:hAnsiTheme="majorEastAsia" w:eastAsiaTheme="majorEastAsia"/>
          <w:sz w:val="28"/>
          <w:szCs w:val="28"/>
        </w:rPr>
        <w:t>本院</w:t>
      </w:r>
      <w:r>
        <w:rPr>
          <w:rFonts w:asciiTheme="majorEastAsia" w:hAnsiTheme="majorEastAsia" w:eastAsiaTheme="majorEastAsia"/>
          <w:sz w:val="28"/>
          <w:szCs w:val="28"/>
        </w:rPr>
        <w:t>师生提供大众饮食服务，同时开展餐饮特色服务、</w:t>
      </w:r>
      <w:r>
        <w:rPr>
          <w:rFonts w:hint="eastAsia" w:asciiTheme="majorEastAsia" w:hAnsiTheme="majorEastAsia" w:eastAsiaTheme="majorEastAsia"/>
          <w:sz w:val="28"/>
          <w:szCs w:val="28"/>
        </w:rPr>
        <w:t>满足</w:t>
      </w:r>
      <w:r>
        <w:rPr>
          <w:rFonts w:asciiTheme="majorEastAsia" w:hAnsiTheme="majorEastAsia" w:eastAsiaTheme="majorEastAsia"/>
          <w:sz w:val="28"/>
          <w:szCs w:val="28"/>
        </w:rPr>
        <w:t>不同层次消费</w:t>
      </w:r>
      <w:r>
        <w:rPr>
          <w:rFonts w:hint="eastAsia" w:asciiTheme="majorEastAsia" w:hAnsiTheme="majorEastAsia" w:eastAsiaTheme="majorEastAsia"/>
          <w:sz w:val="28"/>
          <w:szCs w:val="28"/>
        </w:rPr>
        <w:t>。</w:t>
      </w:r>
    </w:p>
    <w:p>
      <w:pPr>
        <w:spacing w:line="360" w:lineRule="auto"/>
        <w:ind w:firstLine="590" w:firstLineChars="196"/>
        <w:rPr>
          <w:rFonts w:asciiTheme="majorEastAsia" w:hAnsiTheme="majorEastAsia" w:eastAsiaTheme="majorEastAsia"/>
          <w:b/>
          <w:sz w:val="30"/>
          <w:szCs w:val="30"/>
        </w:rPr>
      </w:pPr>
      <w:r>
        <w:rPr>
          <w:rFonts w:hint="eastAsia" w:asciiTheme="majorEastAsia" w:hAnsiTheme="majorEastAsia" w:eastAsiaTheme="majorEastAsia"/>
          <w:b/>
          <w:sz w:val="30"/>
          <w:szCs w:val="30"/>
        </w:rPr>
        <w:t>二</w:t>
      </w:r>
      <w:r>
        <w:rPr>
          <w:rFonts w:asciiTheme="majorEastAsia" w:hAnsiTheme="majorEastAsia" w:eastAsiaTheme="majorEastAsia"/>
          <w:b/>
          <w:sz w:val="30"/>
          <w:szCs w:val="30"/>
        </w:rPr>
        <w:t>、承包经营的基本要求</w:t>
      </w:r>
    </w:p>
    <w:p>
      <w:pPr>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承包经营者应当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校食堂食品安全管理规定》《高等学校引入承包者承办学生食堂管理规范》等有关饮食卫生规定，防止出现饮食事故，做好安全生产和安全防火工作，防止重大责任事故发生。</w:t>
      </w:r>
    </w:p>
    <w:p>
      <w:pPr>
        <w:spacing w:line="360" w:lineRule="auto"/>
        <w:ind w:right="206"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w:t>
      </w:r>
      <w:r>
        <w:rPr>
          <w:rFonts w:asciiTheme="majorEastAsia" w:hAnsiTheme="majorEastAsia" w:eastAsiaTheme="majorEastAsia"/>
          <w:sz w:val="28"/>
          <w:szCs w:val="28"/>
        </w:rPr>
        <w:t>承包者要严格按照《汕头大学</w:t>
      </w:r>
      <w:r>
        <w:rPr>
          <w:rFonts w:hint="eastAsia" w:asciiTheme="majorEastAsia" w:hAnsiTheme="majorEastAsia" w:eastAsiaTheme="majorEastAsia"/>
          <w:sz w:val="28"/>
          <w:szCs w:val="28"/>
        </w:rPr>
        <w:t>医学院</w:t>
      </w:r>
      <w:r>
        <w:rPr>
          <w:rFonts w:asciiTheme="majorEastAsia" w:hAnsiTheme="majorEastAsia" w:eastAsiaTheme="majorEastAsia"/>
          <w:sz w:val="28"/>
          <w:szCs w:val="28"/>
        </w:rPr>
        <w:t>食堂管理实施细则》的管理要求进行经营，并承诺按《细则》的具体规定执行。</w:t>
      </w:r>
    </w:p>
    <w:p>
      <w:pPr>
        <w:spacing w:line="360" w:lineRule="auto"/>
        <w:ind w:right="206"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w:t>
      </w:r>
      <w:r>
        <w:rPr>
          <w:rFonts w:asciiTheme="majorEastAsia" w:hAnsiTheme="majorEastAsia" w:eastAsiaTheme="majorEastAsia"/>
          <w:sz w:val="28"/>
          <w:szCs w:val="28"/>
        </w:rPr>
        <w:t>．为确保食堂</w:t>
      </w:r>
      <w:r>
        <w:rPr>
          <w:rFonts w:hint="eastAsia" w:asciiTheme="majorEastAsia" w:hAnsiTheme="majorEastAsia" w:eastAsiaTheme="majorEastAsia"/>
          <w:sz w:val="28"/>
          <w:szCs w:val="28"/>
        </w:rPr>
        <w:t>采购原材</w:t>
      </w:r>
      <w:r>
        <w:rPr>
          <w:rFonts w:asciiTheme="majorEastAsia" w:hAnsiTheme="majorEastAsia" w:eastAsiaTheme="majorEastAsia"/>
          <w:sz w:val="28"/>
          <w:szCs w:val="28"/>
        </w:rPr>
        <w:t>料的卫生安全，食堂的米、面、食用油、肉、蔬菜</w:t>
      </w:r>
      <w:r>
        <w:rPr>
          <w:rFonts w:hint="eastAsia" w:asciiTheme="majorEastAsia" w:hAnsiTheme="majorEastAsia" w:eastAsiaTheme="majorEastAsia"/>
          <w:sz w:val="28"/>
          <w:szCs w:val="28"/>
        </w:rPr>
        <w:t>要求</w:t>
      </w:r>
      <w:r>
        <w:rPr>
          <w:rFonts w:asciiTheme="majorEastAsia" w:hAnsiTheme="majorEastAsia" w:eastAsiaTheme="majorEastAsia"/>
          <w:sz w:val="28"/>
          <w:szCs w:val="28"/>
        </w:rPr>
        <w:t>实行定点</w:t>
      </w:r>
      <w:r>
        <w:rPr>
          <w:rFonts w:hint="eastAsia" w:asciiTheme="majorEastAsia" w:hAnsiTheme="majorEastAsia" w:eastAsiaTheme="majorEastAsia"/>
          <w:sz w:val="28"/>
          <w:szCs w:val="28"/>
        </w:rPr>
        <w:t>供应商采购</w:t>
      </w:r>
      <w:r>
        <w:rPr>
          <w:rFonts w:asciiTheme="majorEastAsia" w:hAnsiTheme="majorEastAsia" w:eastAsiaTheme="majorEastAsia"/>
          <w:sz w:val="28"/>
          <w:szCs w:val="28"/>
        </w:rPr>
        <w:t>进货</w:t>
      </w:r>
      <w:r>
        <w:rPr>
          <w:rFonts w:hint="eastAsia" w:asciiTheme="majorEastAsia" w:hAnsiTheme="majorEastAsia" w:eastAsiaTheme="majorEastAsia"/>
          <w:sz w:val="28"/>
          <w:szCs w:val="28"/>
        </w:rPr>
        <w:t>的原则。</w:t>
      </w:r>
    </w:p>
    <w:p>
      <w:pPr>
        <w:spacing w:line="360" w:lineRule="auto"/>
        <w:ind w:firstLine="565" w:firstLineChars="202"/>
        <w:rPr>
          <w:rFonts w:ascii="宋体" w:hAnsi="宋体"/>
          <w:sz w:val="28"/>
          <w:szCs w:val="28"/>
        </w:rPr>
      </w:pPr>
      <w:r>
        <w:rPr>
          <w:rFonts w:hint="eastAsia" w:ascii="宋体" w:hAnsi="宋体"/>
          <w:sz w:val="28"/>
          <w:szCs w:val="28"/>
        </w:rPr>
        <w:t xml:space="preserve">4. </w:t>
      </w:r>
      <w:r>
        <w:rPr>
          <w:rFonts w:hint="eastAsia"/>
          <w:sz w:val="28"/>
          <w:szCs w:val="28"/>
        </w:rPr>
        <w:t>承包人须承诺按营业额的</w:t>
      </w:r>
      <w:r>
        <w:rPr>
          <w:rFonts w:hint="eastAsia"/>
          <w:b/>
          <w:sz w:val="28"/>
          <w:szCs w:val="28"/>
          <w:u w:val="single"/>
        </w:rPr>
        <w:t>5</w:t>
      </w:r>
      <w:r>
        <w:rPr>
          <w:rFonts w:hint="eastAsia"/>
          <w:sz w:val="28"/>
          <w:szCs w:val="28"/>
        </w:rPr>
        <w:t>% 缴交食堂维修基金。在承包经营期间，食堂基础设施的日常维修、维护，中小型设备购置更新</w:t>
      </w:r>
      <w:r>
        <w:rPr>
          <w:rFonts w:hint="eastAsia" w:ascii="宋体" w:hAnsi="宋体"/>
          <w:sz w:val="28"/>
          <w:szCs w:val="28"/>
        </w:rPr>
        <w:t>（易耗用具由</w:t>
      </w:r>
      <w:r>
        <w:rPr>
          <w:rFonts w:ascii="宋体" w:hAnsi="宋体"/>
          <w:sz w:val="28"/>
          <w:szCs w:val="28"/>
        </w:rPr>
        <w:t>乙方自负</w:t>
      </w:r>
      <w:r>
        <w:rPr>
          <w:rFonts w:hint="eastAsia" w:ascii="宋体" w:hAnsi="宋体"/>
          <w:sz w:val="28"/>
          <w:szCs w:val="28"/>
        </w:rPr>
        <w:t>）</w:t>
      </w:r>
      <w:r>
        <w:rPr>
          <w:rFonts w:hint="eastAsia"/>
          <w:sz w:val="28"/>
          <w:szCs w:val="28"/>
        </w:rPr>
        <w:t>统一由学校协调组织实施，</w:t>
      </w:r>
      <w:r>
        <w:rPr>
          <w:rFonts w:hint="eastAsia" w:ascii="宋体" w:hAnsi="宋体"/>
          <w:sz w:val="28"/>
          <w:szCs w:val="28"/>
        </w:rPr>
        <w:t>费用从食堂维修基金支付；</w:t>
      </w:r>
    </w:p>
    <w:p>
      <w:pPr>
        <w:spacing w:line="360" w:lineRule="auto"/>
        <w:ind w:right="206"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w:t>
      </w:r>
      <w:r>
        <w:rPr>
          <w:rFonts w:asciiTheme="majorEastAsia" w:hAnsiTheme="majorEastAsia" w:eastAsiaTheme="majorEastAsia"/>
          <w:sz w:val="28"/>
          <w:szCs w:val="28"/>
        </w:rPr>
        <w:t xml:space="preserve">. 承包者中标后，在签约时应当向学校交纳履约及风险保证金 </w:t>
      </w:r>
      <w:r>
        <w:rPr>
          <w:rFonts w:hint="eastAsia" w:asciiTheme="majorEastAsia" w:hAnsiTheme="majorEastAsia" w:eastAsiaTheme="majorEastAsia"/>
          <w:b/>
          <w:sz w:val="28"/>
          <w:szCs w:val="28"/>
          <w:u w:val="single"/>
        </w:rPr>
        <w:t>5</w:t>
      </w:r>
      <w:r>
        <w:rPr>
          <w:rFonts w:asciiTheme="majorEastAsia" w:hAnsiTheme="majorEastAsia" w:eastAsiaTheme="majorEastAsia"/>
          <w:b/>
          <w:sz w:val="28"/>
          <w:szCs w:val="28"/>
          <w:u w:val="single"/>
        </w:rPr>
        <w:t>万</w:t>
      </w:r>
      <w:r>
        <w:rPr>
          <w:rFonts w:asciiTheme="majorEastAsia" w:hAnsiTheme="majorEastAsia" w:eastAsiaTheme="majorEastAsia"/>
          <w:sz w:val="28"/>
          <w:szCs w:val="28"/>
        </w:rPr>
        <w:t>元。该保证金必须在中标单位接到中标通知后，一周内缴纳完毕。必须在确认保证金已缴纳完毕，才能签订正式的承包合同书。履约保证金在合约期满，解除承包经营关系后不计息退还承包者，承包者如违规，甲方有权扣除保证金抵偿学校及有关人员所受到的经济损失。</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6</w:t>
      </w:r>
      <w:r>
        <w:rPr>
          <w:rFonts w:asciiTheme="majorEastAsia" w:hAnsiTheme="majorEastAsia" w:eastAsiaTheme="majorEastAsia"/>
          <w:sz w:val="28"/>
          <w:szCs w:val="28"/>
        </w:rPr>
        <w:t>．其他管理要求</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w:t>
      </w:r>
      <w:r>
        <w:rPr>
          <w:rFonts w:asciiTheme="majorEastAsia" w:hAnsiTheme="majorEastAsia" w:eastAsiaTheme="majorEastAsia"/>
          <w:sz w:val="28"/>
          <w:szCs w:val="28"/>
        </w:rPr>
        <w:t>承包经营者应当文明守法，自觉接受和服从学校有关部门和有关行政管理机关的管理。所雇人员应当符合国家规定的用工条件，员工信息必须如实在</w:t>
      </w:r>
      <w:r>
        <w:rPr>
          <w:rFonts w:hint="eastAsia" w:asciiTheme="majorEastAsia" w:hAnsiTheme="majorEastAsia" w:eastAsiaTheme="majorEastAsia"/>
          <w:sz w:val="28"/>
          <w:szCs w:val="28"/>
        </w:rPr>
        <w:t>甲方派出的监管部门（</w:t>
      </w:r>
      <w:r>
        <w:rPr>
          <w:rFonts w:asciiTheme="majorEastAsia" w:hAnsiTheme="majorEastAsia" w:eastAsiaTheme="majorEastAsia"/>
          <w:sz w:val="28"/>
          <w:szCs w:val="28"/>
        </w:rPr>
        <w:t>膳食</w:t>
      </w:r>
      <w:r>
        <w:rPr>
          <w:rFonts w:hint="eastAsia" w:asciiTheme="majorEastAsia" w:hAnsiTheme="majorEastAsia" w:eastAsiaTheme="majorEastAsia"/>
          <w:sz w:val="28"/>
          <w:szCs w:val="28"/>
        </w:rPr>
        <w:t>科）</w:t>
      </w:r>
      <w:r>
        <w:rPr>
          <w:rFonts w:asciiTheme="majorEastAsia" w:hAnsiTheme="majorEastAsia" w:eastAsiaTheme="majorEastAsia"/>
          <w:sz w:val="28"/>
          <w:szCs w:val="28"/>
        </w:rPr>
        <w:t>备案，并及时更新。遵守《劳动合同法》，依法用工并与员工签订有效劳动合同</w:t>
      </w:r>
      <w:r>
        <w:rPr>
          <w:rFonts w:hint="eastAsia" w:asciiTheme="majorEastAsia" w:hAnsiTheme="majorEastAsia" w:eastAsiaTheme="majorEastAsia"/>
          <w:sz w:val="28"/>
          <w:szCs w:val="28"/>
        </w:rPr>
        <w:t>；</w:t>
      </w:r>
      <w:r>
        <w:rPr>
          <w:rFonts w:asciiTheme="majorEastAsia" w:hAnsiTheme="majorEastAsia" w:eastAsiaTheme="majorEastAsia"/>
          <w:sz w:val="28"/>
          <w:szCs w:val="28"/>
        </w:rPr>
        <w:t>所雇员工上岗前应当取得有效健康证</w:t>
      </w:r>
      <w:r>
        <w:rPr>
          <w:rFonts w:hint="eastAsia" w:asciiTheme="majorEastAsia" w:hAnsiTheme="majorEastAsia" w:eastAsiaTheme="majorEastAsia"/>
          <w:sz w:val="28"/>
          <w:szCs w:val="28"/>
        </w:rPr>
        <w:t>；</w:t>
      </w:r>
      <w:r>
        <w:rPr>
          <w:rFonts w:asciiTheme="majorEastAsia" w:hAnsiTheme="majorEastAsia" w:eastAsiaTheme="majorEastAsia"/>
          <w:sz w:val="28"/>
          <w:szCs w:val="28"/>
        </w:rPr>
        <w:t>应当加强对所雇人员的教育与管理，严禁在校内进行黄、赌、毒等非法活动。</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w:t>
      </w:r>
      <w:r>
        <w:rPr>
          <w:rFonts w:asciiTheme="majorEastAsia" w:hAnsiTheme="majorEastAsia" w:eastAsiaTheme="majorEastAsia"/>
          <w:sz w:val="28"/>
          <w:szCs w:val="28"/>
        </w:rPr>
        <w:t>食堂的售饭菜窗口一律采用“一卡通”结算。</w:t>
      </w:r>
    </w:p>
    <w:p>
      <w:pPr>
        <w:spacing w:line="360" w:lineRule="auto"/>
        <w:ind w:left="-2" w:firstLine="560" w:firstLineChars="200"/>
        <w:rPr>
          <w:rFonts w:ascii="宋体" w:hAnsi="宋体" w:eastAsia="宋体" w:cs="Times New Roman"/>
          <w:sz w:val="28"/>
          <w:szCs w:val="28"/>
        </w:rPr>
      </w:pPr>
      <w:r>
        <w:rPr>
          <w:rFonts w:hint="eastAsia" w:ascii="宋体" w:hAnsi="宋体" w:eastAsia="宋体" w:cs="Times New Roman"/>
          <w:sz w:val="28"/>
          <w:szCs w:val="28"/>
        </w:rPr>
        <w:t>具体要求如下：由汕头大学网络中心为食堂及餐厅提供“一卡通”收银系统的使用、管理、维修及收结帐服务。乙方租用的“一卡通”收银机，每月每台的租金为挂式机50元,卧式机100元，全年缴交的月数为10个月，乙方应在次月5日之前将上个月的租金与其它应交款一并交汕头大学财务处。汕头大学网络中心每月为乙方结算“一卡通”收银系统回收的营业款，根据乙方当月营业额的数额，由汕头大学</w:t>
      </w:r>
      <w:r>
        <w:rPr>
          <w:rFonts w:ascii="宋体" w:hAnsi="宋体" w:eastAsia="宋体" w:cs="Times New Roman"/>
          <w:sz w:val="28"/>
          <w:szCs w:val="28"/>
        </w:rPr>
        <w:t>财务</w:t>
      </w:r>
      <w:r>
        <w:rPr>
          <w:rFonts w:hint="eastAsia" w:ascii="宋体" w:hAnsi="宋体" w:eastAsia="宋体" w:cs="Times New Roman"/>
          <w:sz w:val="28"/>
          <w:szCs w:val="28"/>
        </w:rPr>
        <w:t>处按营业额数额的99</w:t>
      </w:r>
      <w:r>
        <w:rPr>
          <w:rFonts w:hint="eastAsia" w:ascii="宋体" w:hAnsi="宋体" w:eastAsia="宋体" w:cs="Times New Roman"/>
          <w:sz w:val="28"/>
          <w:szCs w:val="28"/>
          <w:lang w:val="en-US" w:eastAsia="zh-CN"/>
        </w:rPr>
        <w:t>.5</w:t>
      </w:r>
      <w:r>
        <w:rPr>
          <w:rFonts w:hint="eastAsia" w:ascii="宋体" w:hAnsi="宋体" w:eastAsia="宋体" w:cs="Times New Roman"/>
          <w:sz w:val="28"/>
          <w:szCs w:val="28"/>
        </w:rPr>
        <w:t>%转拨还乙方，剩余</w:t>
      </w:r>
      <w:r>
        <w:rPr>
          <w:rFonts w:hint="eastAsia" w:ascii="宋体" w:hAnsi="宋体" w:eastAsia="宋体" w:cs="Times New Roman"/>
          <w:sz w:val="28"/>
          <w:szCs w:val="28"/>
          <w:lang w:val="en-US" w:eastAsia="zh-CN"/>
        </w:rPr>
        <w:t>0.5</w:t>
      </w:r>
      <w:r>
        <w:rPr>
          <w:rFonts w:hint="eastAsia" w:ascii="宋体" w:hAnsi="宋体" w:eastAsia="宋体" w:cs="Times New Roman"/>
          <w:sz w:val="28"/>
          <w:szCs w:val="28"/>
        </w:rPr>
        <w:t>%作为乙方缴交给汕头大学网络中心的“一卡通”维护费。收银机若属人为损坏的，由承包者负责赔偿。</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（3）承</w:t>
      </w:r>
      <w:r>
        <w:rPr>
          <w:rFonts w:asciiTheme="majorEastAsia" w:hAnsiTheme="majorEastAsia" w:eastAsiaTheme="majorEastAsia"/>
          <w:sz w:val="28"/>
          <w:szCs w:val="28"/>
        </w:rPr>
        <w:t>包经营前将</w:t>
      </w:r>
      <w:r>
        <w:rPr>
          <w:rFonts w:hint="eastAsia" w:asciiTheme="majorEastAsia" w:hAnsiTheme="majorEastAsia" w:eastAsiaTheme="majorEastAsia"/>
          <w:sz w:val="28"/>
          <w:szCs w:val="28"/>
        </w:rPr>
        <w:t>由甲方的</w:t>
      </w:r>
      <w:r>
        <w:rPr>
          <w:rFonts w:asciiTheme="majorEastAsia" w:hAnsiTheme="majorEastAsia" w:eastAsiaTheme="majorEastAsia"/>
          <w:sz w:val="28"/>
          <w:szCs w:val="28"/>
        </w:rPr>
        <w:t>有关部门对现有设备、厨具用具等财产进行评估</w:t>
      </w:r>
      <w:r>
        <w:rPr>
          <w:rFonts w:hint="eastAsia" w:asciiTheme="majorEastAsia" w:hAnsiTheme="majorEastAsia" w:eastAsiaTheme="majorEastAsia"/>
          <w:sz w:val="28"/>
          <w:szCs w:val="28"/>
        </w:rPr>
        <w:t>清点</w:t>
      </w:r>
      <w:r>
        <w:rPr>
          <w:rFonts w:asciiTheme="majorEastAsia" w:hAnsiTheme="majorEastAsia" w:eastAsiaTheme="majorEastAsia"/>
          <w:sz w:val="28"/>
          <w:szCs w:val="28"/>
        </w:rPr>
        <w:t>移交，由承包经营者确认。承包合约期满，解除承包经营关系后，应将设备、厨具用具</w:t>
      </w:r>
      <w:r>
        <w:rPr>
          <w:rFonts w:hint="eastAsia" w:asciiTheme="majorEastAsia" w:hAnsiTheme="majorEastAsia" w:eastAsiaTheme="majorEastAsia"/>
          <w:sz w:val="28"/>
          <w:szCs w:val="28"/>
        </w:rPr>
        <w:t>等</w:t>
      </w:r>
      <w:r>
        <w:rPr>
          <w:rFonts w:asciiTheme="majorEastAsia" w:hAnsiTheme="majorEastAsia" w:eastAsiaTheme="majorEastAsia"/>
          <w:sz w:val="28"/>
          <w:szCs w:val="28"/>
        </w:rPr>
        <w:t>完整归还学校。如有损坏或丢失应按价赔偿。</w:t>
      </w:r>
      <w:r>
        <w:rPr>
          <w:rFonts w:asciiTheme="majorEastAsia" w:hAnsiTheme="majorEastAsia" w:eastAsiaTheme="majorEastAsia"/>
          <w:sz w:val="28"/>
          <w:szCs w:val="28"/>
        </w:rPr>
        <w:pict>
          <v:line id="直接连接符 1" o:spid="_x0000_s2050" o:spt="20" style="position:absolute;left:0pt;margin-left:164.05pt;margin-top:-37.6pt;height:0pt;width:15.8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">
            <v:path arrowok="t"/>
            <v:fill focussize="0,0"/>
            <v:stroke weight="0.95992125984252pt"/>
            <v:imagedata o:title=""/>
            <o:lock v:ext="edit"/>
          </v:line>
        </w:pic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（4）</w:t>
      </w:r>
      <w:r>
        <w:rPr>
          <w:rFonts w:asciiTheme="majorEastAsia" w:hAnsiTheme="majorEastAsia" w:eastAsiaTheme="majorEastAsia"/>
          <w:sz w:val="28"/>
          <w:szCs w:val="28"/>
        </w:rPr>
        <w:t>承包者因违反《汕头大学</w:t>
      </w:r>
      <w:r>
        <w:rPr>
          <w:rFonts w:hint="eastAsia" w:asciiTheme="majorEastAsia" w:hAnsiTheme="majorEastAsia" w:eastAsiaTheme="majorEastAsia"/>
          <w:sz w:val="28"/>
          <w:szCs w:val="28"/>
        </w:rPr>
        <w:t>医学院</w:t>
      </w:r>
      <w:r>
        <w:rPr>
          <w:rFonts w:asciiTheme="majorEastAsia" w:hAnsiTheme="majorEastAsia" w:eastAsiaTheme="majorEastAsia"/>
          <w:sz w:val="28"/>
          <w:szCs w:val="28"/>
        </w:rPr>
        <w:t>食堂管理实施细则》受处违约金的，由</w:t>
      </w:r>
      <w:r>
        <w:rPr>
          <w:rFonts w:hint="eastAsia" w:asciiTheme="majorEastAsia" w:hAnsiTheme="majorEastAsia" w:eastAsiaTheme="majorEastAsia"/>
          <w:sz w:val="28"/>
          <w:szCs w:val="28"/>
        </w:rPr>
        <w:t>甲方监管部门的</w:t>
      </w:r>
      <w:r>
        <w:rPr>
          <w:rFonts w:asciiTheme="majorEastAsia" w:hAnsiTheme="majorEastAsia" w:eastAsiaTheme="majorEastAsia"/>
          <w:sz w:val="28"/>
          <w:szCs w:val="28"/>
        </w:rPr>
        <w:t>管理人员现场检查记录和</w:t>
      </w:r>
      <w:r>
        <w:rPr>
          <w:rFonts w:hint="eastAsia" w:asciiTheme="majorEastAsia" w:hAnsiTheme="majorEastAsia" w:eastAsiaTheme="majorEastAsia"/>
          <w:sz w:val="28"/>
          <w:szCs w:val="28"/>
        </w:rPr>
        <w:t>开出</w:t>
      </w:r>
      <w:r>
        <w:rPr>
          <w:rFonts w:asciiTheme="majorEastAsia" w:hAnsiTheme="majorEastAsia" w:eastAsiaTheme="majorEastAsia"/>
          <w:sz w:val="28"/>
          <w:szCs w:val="28"/>
        </w:rPr>
        <w:t>违约</w:t>
      </w:r>
      <w:r>
        <w:rPr>
          <w:rFonts w:hint="eastAsia" w:asciiTheme="majorEastAsia" w:hAnsiTheme="majorEastAsia" w:eastAsiaTheme="majorEastAsia"/>
          <w:sz w:val="28"/>
          <w:szCs w:val="28"/>
        </w:rPr>
        <w:t>罚款</w:t>
      </w:r>
      <w:r>
        <w:rPr>
          <w:rFonts w:asciiTheme="majorEastAsia" w:hAnsiTheme="majorEastAsia" w:eastAsiaTheme="majorEastAsia"/>
          <w:sz w:val="28"/>
          <w:szCs w:val="28"/>
        </w:rPr>
        <w:t>通知，承包</w:t>
      </w:r>
      <w:r>
        <w:rPr>
          <w:rFonts w:hint="eastAsia" w:asciiTheme="majorEastAsia" w:hAnsiTheme="majorEastAsia" w:eastAsiaTheme="majorEastAsia"/>
          <w:sz w:val="28"/>
          <w:szCs w:val="28"/>
        </w:rPr>
        <w:t>者委派的管理人员</w:t>
      </w:r>
      <w:r>
        <w:rPr>
          <w:rFonts w:asciiTheme="majorEastAsia" w:hAnsiTheme="majorEastAsia" w:eastAsiaTheme="majorEastAsia"/>
          <w:sz w:val="28"/>
          <w:szCs w:val="28"/>
        </w:rPr>
        <w:t>签字确认。</w:t>
      </w:r>
      <w:r>
        <w:rPr>
          <w:rFonts w:hint="eastAsia" w:asciiTheme="majorEastAsia" w:hAnsiTheme="majorEastAsia" w:eastAsiaTheme="majorEastAsia"/>
          <w:sz w:val="28"/>
          <w:szCs w:val="28"/>
        </w:rPr>
        <w:t>由</w:t>
      </w:r>
      <w:r>
        <w:rPr>
          <w:rFonts w:asciiTheme="majorEastAsia" w:hAnsiTheme="majorEastAsia" w:eastAsiaTheme="majorEastAsia"/>
          <w:sz w:val="28"/>
          <w:szCs w:val="28"/>
        </w:rPr>
        <w:t>承包</w:t>
      </w:r>
      <w:r>
        <w:rPr>
          <w:rFonts w:hint="eastAsia" w:asciiTheme="majorEastAsia" w:hAnsiTheme="majorEastAsia" w:eastAsiaTheme="majorEastAsia"/>
          <w:sz w:val="28"/>
          <w:szCs w:val="28"/>
        </w:rPr>
        <w:t>人上缴我院计财处</w:t>
      </w:r>
      <w:r>
        <w:rPr>
          <w:rFonts w:asciiTheme="majorEastAsia" w:hAnsiTheme="majorEastAsia" w:eastAsiaTheme="majorEastAsia"/>
          <w:sz w:val="28"/>
          <w:szCs w:val="28"/>
        </w:rPr>
        <w:t>，甲方另开具相应的收据。</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（5）</w:t>
      </w:r>
      <w:r>
        <w:rPr>
          <w:rFonts w:asciiTheme="majorEastAsia" w:hAnsiTheme="majorEastAsia" w:eastAsiaTheme="majorEastAsia"/>
          <w:sz w:val="28"/>
          <w:szCs w:val="28"/>
        </w:rPr>
        <w:t>承包者因同一原因在一个月内连续</w:t>
      </w:r>
      <w:r>
        <w:rPr>
          <w:rFonts w:hint="eastAsia" w:asciiTheme="majorEastAsia" w:hAnsiTheme="majorEastAsia" w:eastAsiaTheme="majorEastAsia"/>
          <w:sz w:val="28"/>
          <w:szCs w:val="28"/>
        </w:rPr>
        <w:t>3</w:t>
      </w:r>
      <w:r>
        <w:rPr>
          <w:rFonts w:asciiTheme="majorEastAsia" w:hAnsiTheme="majorEastAsia" w:eastAsiaTheme="majorEastAsia"/>
          <w:sz w:val="28"/>
          <w:szCs w:val="28"/>
        </w:rPr>
        <w:t>次及</w:t>
      </w:r>
      <w:r>
        <w:rPr>
          <w:rFonts w:hint="eastAsia" w:asciiTheme="majorEastAsia" w:hAnsiTheme="majorEastAsia" w:eastAsiaTheme="majorEastAsia"/>
          <w:sz w:val="28"/>
          <w:szCs w:val="28"/>
        </w:rPr>
        <w:t>3</w:t>
      </w:r>
      <w:r>
        <w:rPr>
          <w:rFonts w:asciiTheme="majorEastAsia" w:hAnsiTheme="majorEastAsia" w:eastAsiaTheme="majorEastAsia"/>
          <w:sz w:val="28"/>
          <w:szCs w:val="28"/>
        </w:rPr>
        <w:t>次以上违约、违规受处理或者是在一个月内累计受处理超过10次的，</w:t>
      </w:r>
      <w:r>
        <w:rPr>
          <w:rFonts w:hint="eastAsia" w:asciiTheme="majorEastAsia" w:hAnsiTheme="majorEastAsia" w:eastAsiaTheme="majorEastAsia"/>
          <w:sz w:val="28"/>
          <w:szCs w:val="28"/>
        </w:rPr>
        <w:t>当</w:t>
      </w:r>
      <w:r>
        <w:rPr>
          <w:rFonts w:asciiTheme="majorEastAsia" w:hAnsiTheme="majorEastAsia" w:eastAsiaTheme="majorEastAsia"/>
          <w:sz w:val="28"/>
          <w:szCs w:val="28"/>
        </w:rPr>
        <w:t>月评估为不合格，甲方有权根据承包者的情节轻重，在</w:t>
      </w:r>
      <w:r>
        <w:rPr>
          <w:rFonts w:hint="eastAsia" w:asciiTheme="majorEastAsia" w:hAnsiTheme="majorEastAsia" w:eastAsiaTheme="majorEastAsia"/>
          <w:sz w:val="28"/>
          <w:szCs w:val="28"/>
          <w:lang w:val="en-US" w:eastAsia="zh-CN"/>
        </w:rPr>
        <w:t>2000-5000</w:t>
      </w:r>
      <w:r>
        <w:rPr>
          <w:rFonts w:asciiTheme="majorEastAsia" w:hAnsiTheme="majorEastAsia" w:eastAsiaTheme="majorEastAsia"/>
          <w:sz w:val="28"/>
          <w:szCs w:val="28"/>
        </w:rPr>
        <w:t>元人民币的幅度内决定对承包者的具体处理，并有权在承包者缴交的保证金中直接扣取。一年内评估不合格</w:t>
      </w:r>
      <w:r>
        <w:rPr>
          <w:rFonts w:hint="eastAsia" w:asciiTheme="majorEastAsia" w:hAnsiTheme="majorEastAsia" w:eastAsiaTheme="majorEastAsia"/>
          <w:sz w:val="28"/>
          <w:szCs w:val="28"/>
        </w:rPr>
        <w:t>3</w:t>
      </w:r>
      <w:r>
        <w:rPr>
          <w:rFonts w:asciiTheme="majorEastAsia" w:hAnsiTheme="majorEastAsia" w:eastAsiaTheme="majorEastAsia"/>
          <w:sz w:val="28"/>
          <w:szCs w:val="28"/>
        </w:rPr>
        <w:t>次以上者，甲方有权解除合同，并有权在承包者缴交的保证金中扣取20％，作为承包者应当向甲方支付的违约金。</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甲方监管</w:t>
      </w:r>
      <w:r>
        <w:rPr>
          <w:rFonts w:asciiTheme="majorEastAsia" w:hAnsiTheme="majorEastAsia" w:eastAsiaTheme="majorEastAsia"/>
          <w:sz w:val="28"/>
          <w:szCs w:val="28"/>
        </w:rPr>
        <w:t>部门每</w:t>
      </w:r>
      <w:r>
        <w:rPr>
          <w:rFonts w:hint="eastAsia" w:asciiTheme="majorEastAsia" w:hAnsiTheme="majorEastAsia" w:eastAsiaTheme="majorEastAsia"/>
          <w:sz w:val="28"/>
          <w:szCs w:val="28"/>
        </w:rPr>
        <w:t>学期</w:t>
      </w:r>
      <w:r>
        <w:rPr>
          <w:rFonts w:asciiTheme="majorEastAsia" w:hAnsiTheme="majorEastAsia" w:eastAsiaTheme="majorEastAsia"/>
          <w:sz w:val="28"/>
          <w:szCs w:val="28"/>
        </w:rPr>
        <w:t>将组织用餐师生员工对伙食状况进行评估，评估满意加基本满意率应当达到</w:t>
      </w:r>
      <w:r>
        <w:rPr>
          <w:rFonts w:hint="eastAsia" w:asciiTheme="majorEastAsia" w:hAnsiTheme="majorEastAsia" w:eastAsiaTheme="majorEastAsia"/>
          <w:sz w:val="28"/>
          <w:szCs w:val="28"/>
        </w:rPr>
        <w:t>7</w:t>
      </w:r>
      <w:r>
        <w:rPr>
          <w:rFonts w:asciiTheme="majorEastAsia" w:hAnsiTheme="majorEastAsia" w:eastAsiaTheme="majorEastAsia"/>
          <w:sz w:val="28"/>
          <w:szCs w:val="28"/>
        </w:rPr>
        <w:t>0％以上；如达不到规定标准者，甲方有权确定是否解除合同，并有权在承包者缴交的保证金中扣取20％，作为承包者应当向甲方支付的违约金</w:t>
      </w:r>
      <w:r>
        <w:rPr>
          <w:rFonts w:hint="eastAsia" w:asciiTheme="majorEastAsia" w:hAnsiTheme="majorEastAsia" w:eastAsiaTheme="majorEastAsia"/>
          <w:sz w:val="28"/>
          <w:szCs w:val="28"/>
        </w:rPr>
        <w:t>，</w:t>
      </w:r>
      <w:r>
        <w:rPr>
          <w:rFonts w:asciiTheme="majorEastAsia" w:hAnsiTheme="majorEastAsia" w:eastAsiaTheme="majorEastAsia"/>
          <w:sz w:val="28"/>
          <w:szCs w:val="28"/>
        </w:rPr>
        <w:t>同时取消承包者继续参加甲方食堂承包经营资格。</w:t>
      </w:r>
    </w:p>
    <w:p>
      <w:pPr>
        <w:spacing w:line="360" w:lineRule="auto"/>
        <w:ind w:firstLine="425" w:firstLineChars="152"/>
        <w:rPr>
          <w:rFonts w:asciiTheme="majorEastAsia" w:hAnsiTheme="majorEastAsia" w:eastAsiaTheme="majorEastAsia"/>
          <w:sz w:val="28"/>
          <w:szCs w:val="28"/>
        </w:rPr>
      </w:pPr>
      <w:r>
        <w:rPr>
          <w:rFonts w:hint="eastAsia" w:asciiTheme="majorEastAsia" w:hAnsiTheme="majorEastAsia" w:eastAsiaTheme="majorEastAsia"/>
          <w:sz w:val="28"/>
          <w:szCs w:val="28"/>
        </w:rPr>
        <w:t>（6）</w:t>
      </w:r>
      <w:r>
        <w:rPr>
          <w:rFonts w:asciiTheme="majorEastAsia" w:hAnsiTheme="majorEastAsia" w:eastAsiaTheme="majorEastAsia"/>
          <w:sz w:val="28"/>
          <w:szCs w:val="28"/>
        </w:rPr>
        <w:t>承包经营者应设置食品安全管理机构，并配备专职食品安全管理员，负责食堂食品安全管理工作。</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7)</w:t>
      </w:r>
      <w:r>
        <w:rPr>
          <w:rFonts w:asciiTheme="majorEastAsia" w:hAnsiTheme="majorEastAsia" w:eastAsiaTheme="majorEastAsia"/>
          <w:sz w:val="28"/>
          <w:szCs w:val="28"/>
        </w:rPr>
        <w:t>饭菜应实行明码标价，饭菜价格应按《高等学校学生食堂伙食结构及成本核算指导意见》的要求进行制定，并接受学校</w:t>
      </w:r>
      <w:r>
        <w:rPr>
          <w:rFonts w:hint="eastAsia" w:asciiTheme="majorEastAsia" w:hAnsiTheme="majorEastAsia" w:eastAsiaTheme="majorEastAsia"/>
          <w:sz w:val="28"/>
          <w:szCs w:val="28"/>
        </w:rPr>
        <w:t>监管部门的</w:t>
      </w:r>
      <w:r>
        <w:rPr>
          <w:rFonts w:asciiTheme="majorEastAsia" w:hAnsiTheme="majorEastAsia" w:eastAsiaTheme="majorEastAsia"/>
          <w:sz w:val="28"/>
          <w:szCs w:val="28"/>
        </w:rPr>
        <w:t>统一指导，基本伙食占比宜不低于50%，其价格应明显低于当地社会餐饮同类价格，以确保满足学生基本生活要求。</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w:t>
      </w:r>
      <w:r>
        <w:rPr>
          <w:rFonts w:hint="eastAsia" w:asciiTheme="majorEastAsia" w:hAnsiTheme="majorEastAsia" w:eastAsiaTheme="majorEastAsia"/>
          <w:sz w:val="28"/>
          <w:szCs w:val="28"/>
        </w:rPr>
        <w:t>8</w:t>
      </w:r>
      <w:r>
        <w:rPr>
          <w:rFonts w:asciiTheme="majorEastAsia" w:hAnsiTheme="majorEastAsia" w:eastAsiaTheme="majorEastAsia"/>
          <w:sz w:val="28"/>
          <w:szCs w:val="28"/>
        </w:rPr>
        <w:t>) 承包经营者应当在所投标经营场所规定的范围内合法经营</w:t>
      </w:r>
      <w:r>
        <w:rPr>
          <w:rFonts w:hint="eastAsia" w:asciiTheme="majorEastAsia" w:hAnsiTheme="majorEastAsia" w:eastAsiaTheme="majorEastAsia"/>
          <w:sz w:val="28"/>
          <w:szCs w:val="28"/>
        </w:rPr>
        <w:t>，</w:t>
      </w:r>
      <w:r>
        <w:rPr>
          <w:rFonts w:asciiTheme="majorEastAsia" w:hAnsiTheme="majorEastAsia" w:eastAsiaTheme="majorEastAsia"/>
          <w:sz w:val="28"/>
          <w:szCs w:val="28"/>
        </w:rPr>
        <w:t>按</w:t>
      </w:r>
      <w:r>
        <w:rPr>
          <w:rFonts w:hint="eastAsia" w:asciiTheme="majorEastAsia" w:hAnsiTheme="majorEastAsia" w:eastAsiaTheme="majorEastAsia"/>
          <w:sz w:val="28"/>
          <w:szCs w:val="28"/>
        </w:rPr>
        <w:t>食品安全操作规范的要求进行</w:t>
      </w:r>
      <w:r>
        <w:rPr>
          <w:rFonts w:asciiTheme="majorEastAsia" w:hAnsiTheme="majorEastAsia" w:eastAsiaTheme="majorEastAsia"/>
          <w:sz w:val="28"/>
          <w:szCs w:val="28"/>
        </w:rPr>
        <w:t>加工、生产、销售。</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7</w:t>
      </w:r>
      <w:r>
        <w:rPr>
          <w:rFonts w:asciiTheme="majorEastAsia" w:hAnsiTheme="majorEastAsia" w:eastAsiaTheme="majorEastAsia"/>
          <w:sz w:val="28"/>
          <w:szCs w:val="28"/>
        </w:rPr>
        <w:t>.退出管理</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（1）合同到期，</w:t>
      </w:r>
      <w:r>
        <w:rPr>
          <w:rFonts w:hint="eastAsia" w:asciiTheme="majorEastAsia" w:hAnsiTheme="majorEastAsia" w:eastAsiaTheme="majorEastAsia"/>
          <w:sz w:val="28"/>
          <w:szCs w:val="28"/>
        </w:rPr>
        <w:t>发包</w:t>
      </w:r>
      <w:r>
        <w:rPr>
          <w:rFonts w:asciiTheme="majorEastAsia" w:hAnsiTheme="majorEastAsia" w:eastAsiaTheme="majorEastAsia"/>
          <w:sz w:val="28"/>
          <w:szCs w:val="28"/>
        </w:rPr>
        <w:t>方与承包者自然终止双方合作（续约的除外），并交接清楚。</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（2）合同双方其中一方因故不能履行合同规定时，应按合同约定的时限提前告知对方，以便有序稳妥做好过渡期工作，确保师生餐饮供应。</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w:t>
      </w:r>
      <w:r>
        <w:rPr>
          <w:rFonts w:asciiTheme="majorEastAsia" w:hAnsiTheme="majorEastAsia" w:eastAsiaTheme="majorEastAsia"/>
          <w:sz w:val="28"/>
          <w:szCs w:val="28"/>
        </w:rPr>
        <w:t>承办学生食堂的承包者被校方取消经营服务资格及终止合同的情况包括：</w:t>
      </w:r>
    </w:p>
    <w:p>
      <w:pPr>
        <w:pStyle w:val="13"/>
        <w:tabs>
          <w:tab w:val="left" w:pos="1495"/>
        </w:tabs>
        <w:spacing w:line="360" w:lineRule="auto"/>
        <w:ind w:right="206" w:firstLine="560"/>
        <w:rPr>
          <w:rFonts w:asciiTheme="majorEastAsia" w:hAnsiTheme="majorEastAsia" w:eastAsiaTheme="majorEastAsia"/>
          <w:sz w:val="28"/>
          <w:szCs w:val="28"/>
        </w:rPr>
      </w:pPr>
      <w:r>
        <w:rPr>
          <w:rFonts w:asciiTheme="majorEastAsia" w:hAnsiTheme="majorEastAsia" w:eastAsiaTheme="majorEastAsia"/>
          <w:sz w:val="28"/>
          <w:szCs w:val="28"/>
        </w:rPr>
        <w:t>①企业未按相关法律法规、标准以及</w:t>
      </w:r>
      <w:r>
        <w:rPr>
          <w:rFonts w:hint="eastAsia" w:asciiTheme="majorEastAsia" w:hAnsiTheme="majorEastAsia" w:eastAsiaTheme="majorEastAsia"/>
          <w:sz w:val="28"/>
          <w:szCs w:val="28"/>
        </w:rPr>
        <w:t>未按</w:t>
      </w:r>
      <w:r>
        <w:rPr>
          <w:rFonts w:asciiTheme="majorEastAsia" w:hAnsiTheme="majorEastAsia" w:eastAsiaTheme="majorEastAsia"/>
          <w:sz w:val="28"/>
          <w:szCs w:val="28"/>
        </w:rPr>
        <w:t>与</w:t>
      </w:r>
      <w:r>
        <w:rPr>
          <w:rFonts w:hint="eastAsia" w:asciiTheme="majorEastAsia" w:hAnsiTheme="majorEastAsia" w:eastAsiaTheme="majorEastAsia"/>
          <w:sz w:val="28"/>
          <w:szCs w:val="28"/>
        </w:rPr>
        <w:t>甲</w:t>
      </w:r>
      <w:r>
        <w:rPr>
          <w:rFonts w:asciiTheme="majorEastAsia" w:hAnsiTheme="majorEastAsia" w:eastAsiaTheme="majorEastAsia"/>
          <w:sz w:val="28"/>
          <w:szCs w:val="28"/>
        </w:rPr>
        <w:t>方签订合同中的约定，导致经营管理混乱；</w:t>
      </w:r>
    </w:p>
    <w:p>
      <w:pPr>
        <w:tabs>
          <w:tab w:val="left" w:pos="1548"/>
        </w:tabs>
        <w:spacing w:line="360" w:lineRule="auto"/>
        <w:ind w:right="1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②拒绝接受有关政府行政管理部门、行业组织、</w:t>
      </w:r>
      <w:r>
        <w:rPr>
          <w:rFonts w:hint="eastAsia" w:asciiTheme="majorEastAsia" w:hAnsiTheme="majorEastAsia" w:eastAsiaTheme="majorEastAsia"/>
          <w:sz w:val="28"/>
          <w:szCs w:val="28"/>
        </w:rPr>
        <w:t>甲方</w:t>
      </w:r>
      <w:r>
        <w:rPr>
          <w:rFonts w:asciiTheme="majorEastAsia" w:hAnsiTheme="majorEastAsia" w:eastAsiaTheme="majorEastAsia"/>
          <w:sz w:val="28"/>
          <w:szCs w:val="28"/>
        </w:rPr>
        <w:t>相关管理部门的管理、检查、监督等工作</w:t>
      </w:r>
      <w:r>
        <w:rPr>
          <w:rFonts w:hint="eastAsia" w:asciiTheme="majorEastAsia" w:hAnsiTheme="majorEastAsia" w:eastAsiaTheme="majorEastAsia"/>
          <w:sz w:val="28"/>
          <w:szCs w:val="28"/>
        </w:rPr>
        <w:t>，</w:t>
      </w:r>
      <w:r>
        <w:rPr>
          <w:rFonts w:asciiTheme="majorEastAsia" w:hAnsiTheme="majorEastAsia" w:eastAsiaTheme="majorEastAsia"/>
          <w:sz w:val="28"/>
          <w:szCs w:val="28"/>
        </w:rPr>
        <w:t>且情节严重、影响恶劣；</w:t>
      </w:r>
    </w:p>
    <w:p>
      <w:pPr>
        <w:tabs>
          <w:tab w:val="left" w:pos="1500"/>
        </w:tabs>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③发生一般及以上级别的食品安全事故或其他重大安全责任事故；</w:t>
      </w:r>
    </w:p>
    <w:p>
      <w:pPr>
        <w:tabs>
          <w:tab w:val="left" w:pos="1548"/>
        </w:tabs>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④被食品安全监管部门或其他政府相关管理部门在日常监督检查中发现严重问题进行查处、受到处理且限期整改不力；</w:t>
      </w:r>
    </w:p>
    <w:p>
      <w:pPr>
        <w:tabs>
          <w:tab w:val="left" w:pos="1500"/>
        </w:tabs>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⑤因饭菜质量</w:t>
      </w:r>
      <w:r>
        <w:rPr>
          <w:rFonts w:hint="eastAsia" w:asciiTheme="majorEastAsia" w:hAnsiTheme="majorEastAsia" w:eastAsiaTheme="majorEastAsia"/>
          <w:sz w:val="28"/>
          <w:szCs w:val="28"/>
        </w:rPr>
        <w:t>、</w:t>
      </w:r>
      <w:r>
        <w:rPr>
          <w:rFonts w:asciiTheme="majorEastAsia" w:hAnsiTheme="majorEastAsia" w:eastAsiaTheme="majorEastAsia"/>
          <w:sz w:val="28"/>
          <w:szCs w:val="28"/>
        </w:rPr>
        <w:t>价格、食品卫生、民族政策</w:t>
      </w:r>
      <w:r>
        <w:rPr>
          <w:rFonts w:hint="eastAsia" w:asciiTheme="majorEastAsia" w:hAnsiTheme="majorEastAsia" w:eastAsiaTheme="majorEastAsia"/>
          <w:sz w:val="28"/>
          <w:szCs w:val="28"/>
        </w:rPr>
        <w:t>等方面，由</w:t>
      </w:r>
      <w:r>
        <w:rPr>
          <w:rFonts w:asciiTheme="majorEastAsia" w:hAnsiTheme="majorEastAsia" w:eastAsiaTheme="majorEastAsia"/>
          <w:sz w:val="28"/>
          <w:szCs w:val="28"/>
        </w:rPr>
        <w:t>企业自身原因引起学生罢餐等群体性事件；</w:t>
      </w:r>
    </w:p>
    <w:p>
      <w:pPr>
        <w:tabs>
          <w:tab w:val="left" w:pos="1500"/>
        </w:tabs>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⑥未按合同约定范围经营、违规采购、违规合作经营、擅自更换履约人等行为；</w:t>
      </w:r>
    </w:p>
    <w:p>
      <w:pPr>
        <w:tabs>
          <w:tab w:val="left" w:pos="1500"/>
        </w:tabs>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⑦掺杂使假，销售无证、过期、有害(变质、有毒)食品；</w:t>
      </w:r>
    </w:p>
    <w:p>
      <w:pPr>
        <w:tabs>
          <w:tab w:val="left" w:pos="1500"/>
        </w:tabs>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⑧自身原因导致经营状况较差，不能正常经营或有效履约；</w:t>
      </w:r>
    </w:p>
    <w:p>
      <w:pPr>
        <w:tabs>
          <w:tab w:val="left" w:pos="1500"/>
        </w:tabs>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⑨因雇佣人员的违法违规行为给</w:t>
      </w:r>
      <w:r>
        <w:rPr>
          <w:rFonts w:hint="eastAsia" w:asciiTheme="majorEastAsia" w:hAnsiTheme="majorEastAsia" w:eastAsiaTheme="majorEastAsia"/>
          <w:sz w:val="28"/>
          <w:szCs w:val="28"/>
        </w:rPr>
        <w:t>甲方</w:t>
      </w:r>
      <w:r>
        <w:rPr>
          <w:rFonts w:asciiTheme="majorEastAsia" w:hAnsiTheme="majorEastAsia" w:eastAsiaTheme="majorEastAsia"/>
          <w:sz w:val="28"/>
          <w:szCs w:val="28"/>
        </w:rPr>
        <w:t>造成重大社会不良影响；</w:t>
      </w:r>
    </w:p>
    <w:p>
      <w:pPr>
        <w:tabs>
          <w:tab w:val="left" w:pos="1495"/>
        </w:tabs>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⑩在政府相关行政管理部门和校方的安全、卫生、服务等检查或校方组织的满意度测评中成绩较差且存在严重问题。</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8．承包人应为本承包经营场所购买餐饮场所</w:t>
      </w:r>
      <w:r>
        <w:rPr>
          <w:rFonts w:asciiTheme="majorEastAsia" w:hAnsiTheme="majorEastAsia" w:eastAsiaTheme="majorEastAsia"/>
          <w:sz w:val="28"/>
          <w:szCs w:val="28"/>
        </w:rPr>
        <w:t>责任</w:t>
      </w:r>
      <w:r>
        <w:rPr>
          <w:rFonts w:hint="eastAsia" w:asciiTheme="majorEastAsia" w:hAnsiTheme="majorEastAsia" w:eastAsiaTheme="majorEastAsia"/>
          <w:sz w:val="28"/>
          <w:szCs w:val="28"/>
        </w:rPr>
        <w:t>保</w:t>
      </w:r>
      <w:r>
        <w:rPr>
          <w:rFonts w:asciiTheme="majorEastAsia" w:hAnsiTheme="majorEastAsia" w:eastAsiaTheme="majorEastAsia"/>
          <w:sz w:val="28"/>
          <w:szCs w:val="28"/>
        </w:rPr>
        <w:t>险</w:t>
      </w:r>
      <w:r>
        <w:rPr>
          <w:rFonts w:hint="eastAsia" w:asciiTheme="majorEastAsia" w:hAnsiTheme="majorEastAsia" w:eastAsiaTheme="majorEastAsia"/>
          <w:sz w:val="28"/>
          <w:szCs w:val="28"/>
        </w:rPr>
        <w:t>（或公众</w:t>
      </w:r>
      <w:r>
        <w:rPr>
          <w:rFonts w:asciiTheme="majorEastAsia" w:hAnsiTheme="majorEastAsia" w:eastAsiaTheme="majorEastAsia"/>
          <w:sz w:val="28"/>
          <w:szCs w:val="28"/>
        </w:rPr>
        <w:t>责任险</w:t>
      </w:r>
      <w:r>
        <w:rPr>
          <w:rFonts w:hint="eastAsia" w:asciiTheme="majorEastAsia" w:hAnsiTheme="majorEastAsia" w:eastAsiaTheme="majorEastAsia"/>
          <w:sz w:val="28"/>
          <w:szCs w:val="28"/>
        </w:rPr>
        <w:t>）</w:t>
      </w:r>
      <w:r>
        <w:rPr>
          <w:rFonts w:asciiTheme="majorEastAsia" w:hAnsiTheme="majorEastAsia" w:eastAsiaTheme="majorEastAsia"/>
          <w:sz w:val="28"/>
          <w:szCs w:val="28"/>
        </w:rPr>
        <w:t>。</w:t>
      </w:r>
    </w:p>
    <w:p>
      <w:pPr>
        <w:spacing w:line="360" w:lineRule="auto"/>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三</w:t>
      </w:r>
      <w:r>
        <w:rPr>
          <w:rFonts w:asciiTheme="majorEastAsia" w:hAnsiTheme="majorEastAsia" w:eastAsiaTheme="majorEastAsia"/>
          <w:b/>
          <w:sz w:val="30"/>
          <w:szCs w:val="30"/>
        </w:rPr>
        <w:t>、承包经营期限</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本次承包经营期限为 24 个月，自 20</w:t>
      </w:r>
      <w:r>
        <w:rPr>
          <w:rFonts w:hint="eastAsia" w:asciiTheme="majorEastAsia" w:hAnsiTheme="majorEastAsia" w:eastAsiaTheme="majorEastAsia"/>
          <w:sz w:val="28"/>
          <w:szCs w:val="28"/>
        </w:rPr>
        <w:t>21</w:t>
      </w:r>
      <w:r>
        <w:rPr>
          <w:rFonts w:asciiTheme="majorEastAsia" w:hAnsiTheme="majorEastAsia" w:eastAsiaTheme="majorEastAsia"/>
          <w:sz w:val="28"/>
          <w:szCs w:val="28"/>
        </w:rPr>
        <w:t xml:space="preserve"> 年 </w:t>
      </w:r>
      <w:r>
        <w:rPr>
          <w:rFonts w:hint="eastAsia" w:asciiTheme="majorEastAsia" w:hAnsiTheme="majorEastAsia" w:eastAsiaTheme="majorEastAsia"/>
          <w:sz w:val="28"/>
          <w:szCs w:val="28"/>
        </w:rPr>
        <w:t>10</w:t>
      </w:r>
      <w:r>
        <w:rPr>
          <w:rFonts w:asciiTheme="majorEastAsia" w:hAnsiTheme="majorEastAsia" w:eastAsiaTheme="majorEastAsia"/>
          <w:sz w:val="28"/>
          <w:szCs w:val="28"/>
        </w:rPr>
        <w:t xml:space="preserve">月 </w:t>
      </w:r>
      <w:r>
        <w:rPr>
          <w:rFonts w:hint="eastAsia" w:asciiTheme="majorEastAsia" w:hAnsiTheme="majorEastAsia" w:eastAsiaTheme="majorEastAsia"/>
          <w:sz w:val="28"/>
          <w:szCs w:val="28"/>
        </w:rPr>
        <w:t>16</w:t>
      </w:r>
      <w:r>
        <w:rPr>
          <w:rFonts w:asciiTheme="majorEastAsia" w:hAnsiTheme="majorEastAsia" w:eastAsiaTheme="majorEastAsia"/>
          <w:sz w:val="28"/>
          <w:szCs w:val="28"/>
        </w:rPr>
        <w:t>日起至 202</w:t>
      </w:r>
      <w:r>
        <w:rPr>
          <w:rFonts w:hint="eastAsia" w:asciiTheme="majorEastAsia" w:hAnsiTheme="majorEastAsia" w:eastAsiaTheme="majorEastAsia"/>
          <w:sz w:val="28"/>
          <w:szCs w:val="28"/>
        </w:rPr>
        <w:t>3</w:t>
      </w:r>
      <w:r>
        <w:rPr>
          <w:rFonts w:asciiTheme="majorEastAsia" w:hAnsiTheme="majorEastAsia" w:eastAsiaTheme="majorEastAsia"/>
          <w:sz w:val="28"/>
          <w:szCs w:val="28"/>
        </w:rPr>
        <w:t xml:space="preserve"> 年 </w:t>
      </w:r>
      <w:r>
        <w:rPr>
          <w:rFonts w:hint="eastAsia" w:asciiTheme="majorEastAsia" w:hAnsiTheme="majorEastAsia" w:eastAsiaTheme="majorEastAsia"/>
          <w:sz w:val="28"/>
          <w:szCs w:val="28"/>
        </w:rPr>
        <w:t>10</w:t>
      </w:r>
      <w:r>
        <w:rPr>
          <w:rFonts w:asciiTheme="majorEastAsia" w:hAnsiTheme="majorEastAsia" w:eastAsiaTheme="majorEastAsia"/>
          <w:sz w:val="28"/>
          <w:szCs w:val="28"/>
        </w:rPr>
        <w:t xml:space="preserve">月 </w:t>
      </w:r>
      <w:r>
        <w:rPr>
          <w:rFonts w:hint="eastAsia" w:asciiTheme="majorEastAsia" w:hAnsiTheme="majorEastAsia" w:eastAsiaTheme="majorEastAsia"/>
          <w:sz w:val="28"/>
          <w:szCs w:val="28"/>
        </w:rPr>
        <w:t>15</w:t>
      </w:r>
      <w:r>
        <w:rPr>
          <w:rFonts w:asciiTheme="majorEastAsia" w:hAnsiTheme="majorEastAsia" w:eastAsiaTheme="majorEastAsia"/>
          <w:sz w:val="28"/>
          <w:szCs w:val="28"/>
        </w:rPr>
        <w:t>日止，其中 20</w:t>
      </w:r>
      <w:r>
        <w:rPr>
          <w:rFonts w:hint="eastAsia" w:asciiTheme="majorEastAsia" w:hAnsiTheme="majorEastAsia" w:eastAsiaTheme="majorEastAsia"/>
          <w:sz w:val="28"/>
          <w:szCs w:val="28"/>
        </w:rPr>
        <w:t>22</w:t>
      </w:r>
      <w:r>
        <w:rPr>
          <w:rFonts w:asciiTheme="majorEastAsia" w:hAnsiTheme="majorEastAsia" w:eastAsiaTheme="majorEastAsia"/>
          <w:sz w:val="28"/>
          <w:szCs w:val="28"/>
        </w:rPr>
        <w:t xml:space="preserve">年 </w:t>
      </w:r>
      <w:r>
        <w:rPr>
          <w:rFonts w:hint="eastAsia" w:asciiTheme="majorEastAsia" w:hAnsiTheme="majorEastAsia" w:eastAsiaTheme="majorEastAsia"/>
          <w:sz w:val="28"/>
          <w:szCs w:val="28"/>
        </w:rPr>
        <w:t>7</w:t>
      </w:r>
      <w:r>
        <w:rPr>
          <w:rFonts w:asciiTheme="majorEastAsia" w:hAnsiTheme="majorEastAsia" w:eastAsiaTheme="majorEastAsia"/>
          <w:sz w:val="28"/>
          <w:szCs w:val="28"/>
        </w:rPr>
        <w:t>月</w:t>
      </w:r>
      <w:r>
        <w:rPr>
          <w:rFonts w:hint="eastAsia" w:asciiTheme="majorEastAsia" w:hAnsiTheme="majorEastAsia" w:eastAsiaTheme="majorEastAsia"/>
          <w:sz w:val="28"/>
          <w:szCs w:val="28"/>
        </w:rPr>
        <w:t>对乙方</w:t>
      </w:r>
      <w:r>
        <w:rPr>
          <w:rFonts w:asciiTheme="majorEastAsia" w:hAnsiTheme="majorEastAsia" w:eastAsiaTheme="majorEastAsia"/>
          <w:sz w:val="28"/>
          <w:szCs w:val="28"/>
        </w:rPr>
        <w:t>进行评估，结果合格，合同自动延至 202</w:t>
      </w:r>
      <w:r>
        <w:rPr>
          <w:rFonts w:hint="eastAsia" w:asciiTheme="majorEastAsia" w:hAnsiTheme="majorEastAsia" w:eastAsiaTheme="majorEastAsia"/>
          <w:sz w:val="28"/>
          <w:szCs w:val="28"/>
        </w:rPr>
        <w:t>3</w:t>
      </w:r>
      <w:r>
        <w:rPr>
          <w:rFonts w:asciiTheme="majorEastAsia" w:hAnsiTheme="majorEastAsia" w:eastAsiaTheme="majorEastAsia"/>
          <w:sz w:val="28"/>
          <w:szCs w:val="28"/>
        </w:rPr>
        <w:t xml:space="preserve"> 年 </w:t>
      </w:r>
      <w:r>
        <w:rPr>
          <w:rFonts w:hint="eastAsia" w:asciiTheme="majorEastAsia" w:hAnsiTheme="majorEastAsia" w:eastAsiaTheme="majorEastAsia"/>
          <w:sz w:val="28"/>
          <w:szCs w:val="28"/>
        </w:rPr>
        <w:t>10</w:t>
      </w:r>
      <w:r>
        <w:rPr>
          <w:rFonts w:asciiTheme="majorEastAsia" w:hAnsiTheme="majorEastAsia" w:eastAsiaTheme="majorEastAsia"/>
          <w:sz w:val="28"/>
          <w:szCs w:val="28"/>
        </w:rPr>
        <w:t xml:space="preserve">月 </w:t>
      </w:r>
      <w:r>
        <w:rPr>
          <w:rFonts w:hint="eastAsia" w:asciiTheme="majorEastAsia" w:hAnsiTheme="majorEastAsia" w:eastAsiaTheme="majorEastAsia"/>
          <w:sz w:val="28"/>
          <w:szCs w:val="28"/>
        </w:rPr>
        <w:t>15</w:t>
      </w:r>
      <w:r>
        <w:rPr>
          <w:rFonts w:asciiTheme="majorEastAsia" w:hAnsiTheme="majorEastAsia" w:eastAsiaTheme="majorEastAsia"/>
          <w:sz w:val="28"/>
          <w:szCs w:val="28"/>
        </w:rPr>
        <w:t>日。如果评估不合格或出现合同解除情形，则合同即时终止，另行招聘经营者。</w:t>
      </w:r>
      <w:r>
        <w:rPr>
          <w:rFonts w:hint="eastAsia" w:asciiTheme="majorEastAsia" w:hAnsiTheme="majorEastAsia" w:eastAsiaTheme="majorEastAsia"/>
          <w:sz w:val="28"/>
          <w:szCs w:val="28"/>
        </w:rPr>
        <w:t>合同</w:t>
      </w:r>
      <w:r>
        <w:rPr>
          <w:rFonts w:asciiTheme="majorEastAsia" w:hAnsiTheme="majorEastAsia" w:eastAsiaTheme="majorEastAsia"/>
          <w:sz w:val="28"/>
          <w:szCs w:val="28"/>
        </w:rPr>
        <w:t>期满前</w:t>
      </w:r>
      <w:r>
        <w:rPr>
          <w:rFonts w:hint="eastAsia" w:asciiTheme="majorEastAsia" w:hAnsiTheme="majorEastAsia" w:eastAsiaTheme="majorEastAsia"/>
          <w:sz w:val="28"/>
          <w:szCs w:val="28"/>
        </w:rPr>
        <w:t>将</w:t>
      </w:r>
      <w:r>
        <w:rPr>
          <w:rFonts w:asciiTheme="majorEastAsia" w:hAnsiTheme="majorEastAsia" w:eastAsiaTheme="majorEastAsia"/>
          <w:sz w:val="28"/>
          <w:szCs w:val="28"/>
        </w:rPr>
        <w:t>进行整体评估</w:t>
      </w:r>
      <w:r>
        <w:rPr>
          <w:rFonts w:hint="eastAsia" w:asciiTheme="majorEastAsia" w:hAnsiTheme="majorEastAsia" w:eastAsiaTheme="majorEastAsia"/>
          <w:sz w:val="28"/>
          <w:szCs w:val="28"/>
        </w:rPr>
        <w:t>，</w:t>
      </w:r>
      <w:r>
        <w:rPr>
          <w:rFonts w:asciiTheme="majorEastAsia" w:hAnsiTheme="majorEastAsia" w:eastAsiaTheme="majorEastAsia"/>
          <w:sz w:val="28"/>
          <w:szCs w:val="28"/>
        </w:rPr>
        <w:t>评估结果作为合同履约和决定是否续签下一期合同的依据。</w:t>
      </w:r>
    </w:p>
    <w:p>
      <w:pPr>
        <w:spacing w:line="360" w:lineRule="auto"/>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四</w:t>
      </w:r>
      <w:r>
        <w:rPr>
          <w:rFonts w:asciiTheme="majorEastAsia" w:hAnsiTheme="majorEastAsia" w:eastAsiaTheme="majorEastAsia"/>
          <w:b/>
          <w:sz w:val="30"/>
          <w:szCs w:val="30"/>
        </w:rPr>
        <w:t>、合同的签订、执行</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1．中标者根据本</w:t>
      </w:r>
      <w:r>
        <w:rPr>
          <w:rFonts w:hint="eastAsia" w:asciiTheme="majorEastAsia" w:hAnsiTheme="majorEastAsia" w:eastAsiaTheme="majorEastAsia"/>
          <w:sz w:val="28"/>
          <w:szCs w:val="28"/>
        </w:rPr>
        <w:t>项目</w:t>
      </w:r>
      <w:r>
        <w:rPr>
          <w:rFonts w:asciiTheme="majorEastAsia" w:hAnsiTheme="majorEastAsia" w:eastAsiaTheme="majorEastAsia"/>
          <w:sz w:val="28"/>
          <w:szCs w:val="28"/>
        </w:rPr>
        <w:t>招标要求的有关条款，与</w:t>
      </w:r>
      <w:r>
        <w:rPr>
          <w:rFonts w:hint="eastAsia" w:asciiTheme="majorEastAsia" w:hAnsiTheme="majorEastAsia" w:eastAsiaTheme="majorEastAsia"/>
          <w:sz w:val="28"/>
          <w:szCs w:val="28"/>
        </w:rPr>
        <w:t>医学院</w:t>
      </w:r>
      <w:r>
        <w:rPr>
          <w:rFonts w:asciiTheme="majorEastAsia" w:hAnsiTheme="majorEastAsia" w:eastAsiaTheme="majorEastAsia"/>
          <w:sz w:val="28"/>
          <w:szCs w:val="28"/>
        </w:rPr>
        <w:t>签订合同，双方共同严格遵守执行。合同书应由甲</w:t>
      </w:r>
      <w:r>
        <w:rPr>
          <w:rFonts w:hint="eastAsia" w:asciiTheme="majorEastAsia" w:hAnsiTheme="majorEastAsia" w:eastAsiaTheme="majorEastAsia"/>
          <w:sz w:val="28"/>
          <w:szCs w:val="28"/>
        </w:rPr>
        <w:t>方盖章和甲方代表签字及中标单位盖章及</w:t>
      </w:r>
      <w:r>
        <w:rPr>
          <w:rFonts w:asciiTheme="majorEastAsia" w:hAnsiTheme="majorEastAsia" w:eastAsiaTheme="majorEastAsia"/>
          <w:sz w:val="28"/>
          <w:szCs w:val="28"/>
        </w:rPr>
        <w:t>法人代表亲自签字（法人代表应带本人身份证原件）。</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2</w:t>
      </w:r>
      <w:r>
        <w:rPr>
          <w:rFonts w:asciiTheme="majorEastAsia" w:hAnsiTheme="majorEastAsia" w:eastAsiaTheme="majorEastAsia"/>
          <w:sz w:val="28"/>
          <w:szCs w:val="28"/>
        </w:rPr>
        <w:t>．在本合同签订后，承包者未经校方同意不得转包</w:t>
      </w:r>
      <w:r>
        <w:rPr>
          <w:rFonts w:hint="eastAsia" w:asciiTheme="majorEastAsia" w:hAnsiTheme="majorEastAsia" w:eastAsiaTheme="majorEastAsia"/>
          <w:sz w:val="28"/>
          <w:szCs w:val="28"/>
        </w:rPr>
        <w:t>或分包</w:t>
      </w:r>
      <w:r>
        <w:rPr>
          <w:rFonts w:asciiTheme="majorEastAsia" w:hAnsiTheme="majorEastAsia" w:eastAsiaTheme="majorEastAsia"/>
          <w:sz w:val="28"/>
          <w:szCs w:val="28"/>
        </w:rPr>
        <w:t>，如发现转包</w:t>
      </w:r>
      <w:r>
        <w:rPr>
          <w:rFonts w:hint="eastAsia" w:asciiTheme="majorEastAsia" w:hAnsiTheme="majorEastAsia" w:eastAsiaTheme="majorEastAsia"/>
          <w:sz w:val="28"/>
          <w:szCs w:val="28"/>
        </w:rPr>
        <w:t>或分包</w:t>
      </w:r>
      <w:r>
        <w:rPr>
          <w:rFonts w:asciiTheme="majorEastAsia" w:hAnsiTheme="majorEastAsia" w:eastAsiaTheme="majorEastAsia"/>
          <w:sz w:val="28"/>
          <w:szCs w:val="28"/>
        </w:rPr>
        <w:t xml:space="preserve">，校方有权解除合同，并扣罚承包者违约金 </w:t>
      </w:r>
      <w:r>
        <w:rPr>
          <w:rFonts w:hint="eastAsia" w:asciiTheme="majorEastAsia" w:hAnsiTheme="majorEastAsia" w:eastAsiaTheme="majorEastAsia"/>
          <w:sz w:val="28"/>
          <w:szCs w:val="28"/>
        </w:rPr>
        <w:t>5</w:t>
      </w:r>
      <w:r>
        <w:rPr>
          <w:rFonts w:asciiTheme="majorEastAsia" w:hAnsiTheme="majorEastAsia" w:eastAsiaTheme="majorEastAsia"/>
          <w:sz w:val="28"/>
          <w:szCs w:val="28"/>
        </w:rPr>
        <w:t>万元。</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3</w:t>
      </w:r>
      <w:r>
        <w:rPr>
          <w:rFonts w:asciiTheme="majorEastAsia" w:hAnsiTheme="majorEastAsia" w:eastAsiaTheme="majorEastAsia"/>
          <w:sz w:val="28"/>
          <w:szCs w:val="28"/>
        </w:rPr>
        <w:t>．签订合同后，任何一方如违约应赔偿对方的经济损失</w:t>
      </w:r>
      <w:r>
        <w:rPr>
          <w:rFonts w:hint="eastAsia" w:asciiTheme="majorEastAsia" w:hAnsiTheme="majorEastAsia" w:eastAsiaTheme="majorEastAsia"/>
          <w:sz w:val="28"/>
          <w:szCs w:val="28"/>
        </w:rPr>
        <w:t>，</w:t>
      </w:r>
      <w:r>
        <w:rPr>
          <w:rFonts w:asciiTheme="majorEastAsia" w:hAnsiTheme="majorEastAsia" w:eastAsiaTheme="majorEastAsia"/>
          <w:sz w:val="28"/>
          <w:szCs w:val="28"/>
        </w:rPr>
        <w:t>并支付对方违约金</w:t>
      </w:r>
      <w:r>
        <w:rPr>
          <w:rFonts w:hint="eastAsia" w:asciiTheme="majorEastAsia" w:hAnsiTheme="majorEastAsia" w:eastAsiaTheme="majorEastAsia"/>
          <w:sz w:val="28"/>
          <w:szCs w:val="28"/>
        </w:rPr>
        <w:t>5</w:t>
      </w:r>
      <w:r>
        <w:rPr>
          <w:rFonts w:asciiTheme="majorEastAsia" w:hAnsiTheme="majorEastAsia" w:eastAsiaTheme="majorEastAsia"/>
          <w:sz w:val="28"/>
          <w:szCs w:val="28"/>
        </w:rPr>
        <w:t>万元。如有一方因故要求提前终止合同，应</w:t>
      </w:r>
      <w:r>
        <w:rPr>
          <w:rFonts w:hint="eastAsia" w:asciiTheme="majorEastAsia" w:hAnsiTheme="majorEastAsia" w:eastAsiaTheme="majorEastAsia"/>
          <w:sz w:val="28"/>
          <w:szCs w:val="28"/>
        </w:rPr>
        <w:t>当</w:t>
      </w:r>
      <w:r>
        <w:rPr>
          <w:rFonts w:asciiTheme="majorEastAsia" w:hAnsiTheme="majorEastAsia" w:eastAsiaTheme="majorEastAsia"/>
          <w:sz w:val="28"/>
          <w:szCs w:val="28"/>
        </w:rPr>
        <w:t>提前</w:t>
      </w:r>
      <w:r>
        <w:rPr>
          <w:rFonts w:hint="eastAsia" w:asciiTheme="majorEastAsia" w:hAnsiTheme="majorEastAsia" w:eastAsiaTheme="majorEastAsia"/>
          <w:sz w:val="28"/>
          <w:szCs w:val="28"/>
        </w:rPr>
        <w:t>3</w:t>
      </w:r>
      <w:r>
        <w:rPr>
          <w:rFonts w:asciiTheme="majorEastAsia" w:hAnsiTheme="majorEastAsia" w:eastAsiaTheme="majorEastAsia"/>
          <w:sz w:val="28"/>
          <w:szCs w:val="28"/>
        </w:rPr>
        <w:t>个月通知对方，双方终止合同并协商交接事项，</w:t>
      </w:r>
      <w:r>
        <w:rPr>
          <w:rFonts w:hint="eastAsia" w:asciiTheme="majorEastAsia" w:hAnsiTheme="majorEastAsia" w:eastAsiaTheme="majorEastAsia"/>
          <w:sz w:val="28"/>
          <w:szCs w:val="28"/>
        </w:rPr>
        <w:t>则</w:t>
      </w:r>
      <w:r>
        <w:rPr>
          <w:rFonts w:asciiTheme="majorEastAsia" w:hAnsiTheme="majorEastAsia" w:eastAsiaTheme="majorEastAsia"/>
          <w:sz w:val="28"/>
          <w:szCs w:val="28"/>
        </w:rPr>
        <w:t>不需支付违约金及补偿金，交接期</w:t>
      </w:r>
      <w:r>
        <w:rPr>
          <w:rFonts w:hint="eastAsia" w:asciiTheme="majorEastAsia" w:hAnsiTheme="majorEastAsia" w:eastAsiaTheme="majorEastAsia"/>
          <w:sz w:val="28"/>
          <w:szCs w:val="28"/>
        </w:rPr>
        <w:t>尽量</w:t>
      </w:r>
      <w:r>
        <w:rPr>
          <w:rFonts w:asciiTheme="majorEastAsia" w:hAnsiTheme="majorEastAsia" w:eastAsiaTheme="majorEastAsia"/>
          <w:sz w:val="28"/>
          <w:szCs w:val="28"/>
        </w:rPr>
        <w:t xml:space="preserve">安排在寒暑假期间（有重大规划建设安排需要除外）。如不及时通知对方，擅自单方终止合同的，应赔偿对方违约金 </w:t>
      </w:r>
      <w:r>
        <w:rPr>
          <w:rFonts w:hint="eastAsia" w:asciiTheme="majorEastAsia" w:hAnsiTheme="majorEastAsia" w:eastAsiaTheme="majorEastAsia"/>
          <w:sz w:val="28"/>
          <w:szCs w:val="28"/>
        </w:rPr>
        <w:t>5</w:t>
      </w:r>
      <w:r>
        <w:rPr>
          <w:rFonts w:asciiTheme="majorEastAsia" w:hAnsiTheme="majorEastAsia" w:eastAsiaTheme="majorEastAsia"/>
          <w:sz w:val="28"/>
          <w:szCs w:val="28"/>
        </w:rPr>
        <w:t>万元，以补偿对方的损失。</w:t>
      </w:r>
    </w:p>
    <w:p>
      <w:pPr>
        <w:spacing w:line="360" w:lineRule="auto"/>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五</w:t>
      </w:r>
      <w:r>
        <w:rPr>
          <w:rFonts w:asciiTheme="majorEastAsia" w:hAnsiTheme="majorEastAsia" w:eastAsiaTheme="majorEastAsia"/>
          <w:b/>
          <w:sz w:val="30"/>
          <w:szCs w:val="30"/>
        </w:rPr>
        <w:t>、</w:t>
      </w:r>
      <w:r>
        <w:rPr>
          <w:rFonts w:hint="eastAsia" w:asciiTheme="majorEastAsia" w:hAnsiTheme="majorEastAsia" w:eastAsiaTheme="majorEastAsia"/>
          <w:b/>
          <w:sz w:val="30"/>
          <w:szCs w:val="30"/>
        </w:rPr>
        <w:t>特别条款</w:t>
      </w:r>
    </w:p>
    <w:p>
      <w:pPr>
        <w:spacing w:line="360" w:lineRule="auto"/>
        <w:ind w:firstLine="560" w:firstLineChars="200"/>
        <w:rPr>
          <w:rFonts w:ascii="宋体" w:hAnsi="宋体"/>
          <w:sz w:val="28"/>
          <w:szCs w:val="28"/>
        </w:rPr>
      </w:pPr>
      <w:r>
        <w:rPr>
          <w:rFonts w:hint="eastAsia" w:ascii="宋体" w:hAnsi="宋体"/>
          <w:sz w:val="28"/>
          <w:szCs w:val="28"/>
        </w:rPr>
        <w:t>甲方因正在酝酿后勤社会化改革，如在本合同执行期间，甲方完成后勤社会化招标，则本合同提前终止。甲方依据合同条款提前3个月通知乙方，乙方应无条件接受并配合；如因该原因提前终止合同，甲、乙双方均不需承担任何违约责任及赔偿责任。</w:t>
      </w:r>
    </w:p>
    <w:p>
      <w:pPr>
        <w:spacing w:line="360" w:lineRule="auto"/>
        <w:ind w:firstLine="602" w:firstLineChars="200"/>
        <w:rPr>
          <w:rFonts w:asciiTheme="majorEastAsia" w:hAnsiTheme="majorEastAsia" w:eastAsiaTheme="majorEastAsia"/>
          <w:b/>
          <w:sz w:val="30"/>
          <w:szCs w:val="30"/>
        </w:rPr>
      </w:pPr>
      <w:r>
        <w:rPr>
          <w:rFonts w:hint="eastAsia" w:asciiTheme="majorEastAsia" w:hAnsiTheme="majorEastAsia" w:eastAsiaTheme="majorEastAsia"/>
          <w:b/>
          <w:sz w:val="30"/>
          <w:szCs w:val="30"/>
        </w:rPr>
        <w:t>六</w:t>
      </w:r>
      <w:r>
        <w:rPr>
          <w:rFonts w:asciiTheme="majorEastAsia" w:hAnsiTheme="majorEastAsia" w:eastAsiaTheme="majorEastAsia"/>
          <w:b/>
          <w:sz w:val="30"/>
          <w:szCs w:val="30"/>
        </w:rPr>
        <w:t>、其他说明</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1</w:t>
      </w:r>
      <w:r>
        <w:rPr>
          <w:rFonts w:asciiTheme="majorEastAsia" w:hAnsiTheme="majorEastAsia" w:eastAsiaTheme="majorEastAsia"/>
          <w:sz w:val="28"/>
          <w:szCs w:val="28"/>
        </w:rPr>
        <w:t>.其它</w:t>
      </w:r>
      <w:r>
        <w:rPr>
          <w:rFonts w:hint="eastAsia" w:asciiTheme="majorEastAsia" w:hAnsiTheme="majorEastAsia" w:eastAsiaTheme="majorEastAsia"/>
          <w:sz w:val="28"/>
          <w:szCs w:val="28"/>
        </w:rPr>
        <w:t>的</w:t>
      </w:r>
      <w:r>
        <w:rPr>
          <w:rFonts w:asciiTheme="majorEastAsia" w:hAnsiTheme="majorEastAsia" w:eastAsiaTheme="majorEastAsia"/>
          <w:sz w:val="28"/>
          <w:szCs w:val="28"/>
        </w:rPr>
        <w:t>用户需求详见合同（样式）。</w:t>
      </w:r>
    </w:p>
    <w:p>
      <w:pPr>
        <w:spacing w:line="360" w:lineRule="auto"/>
        <w:ind w:firstLine="560" w:firstLineChars="200"/>
        <w:rPr>
          <w:rFonts w:asciiTheme="majorEastAsia" w:hAnsiTheme="majorEastAsia" w:eastAsiaTheme="majorEastAsia"/>
          <w:sz w:val="30"/>
          <w:szCs w:val="30"/>
        </w:rPr>
      </w:pPr>
      <w:r>
        <w:rPr>
          <w:rFonts w:hint="eastAsia" w:asciiTheme="majorEastAsia" w:hAnsiTheme="majorEastAsia" w:eastAsiaTheme="majorEastAsia"/>
          <w:sz w:val="28"/>
          <w:szCs w:val="28"/>
        </w:rPr>
        <w:t>2</w:t>
      </w:r>
      <w:r>
        <w:rPr>
          <w:rFonts w:asciiTheme="majorEastAsia" w:hAnsiTheme="majorEastAsia" w:eastAsiaTheme="majorEastAsia"/>
          <w:sz w:val="28"/>
          <w:szCs w:val="28"/>
        </w:rPr>
        <w:t>.招标人</w:t>
      </w:r>
      <w:r>
        <w:rPr>
          <w:rFonts w:hint="eastAsia" w:asciiTheme="majorEastAsia" w:hAnsiTheme="majorEastAsia" w:eastAsiaTheme="majorEastAsia"/>
          <w:sz w:val="28"/>
          <w:szCs w:val="28"/>
        </w:rPr>
        <w:t>将</w:t>
      </w:r>
      <w:r>
        <w:rPr>
          <w:rFonts w:asciiTheme="majorEastAsia" w:hAnsiTheme="majorEastAsia" w:eastAsiaTheme="majorEastAsia"/>
          <w:sz w:val="28"/>
          <w:szCs w:val="28"/>
        </w:rPr>
        <w:t>集中组织</w:t>
      </w:r>
      <w:r>
        <w:rPr>
          <w:rFonts w:hint="eastAsia" w:asciiTheme="majorEastAsia" w:hAnsiTheme="majorEastAsia" w:eastAsiaTheme="majorEastAsia"/>
          <w:sz w:val="28"/>
          <w:szCs w:val="28"/>
        </w:rPr>
        <w:t>本项目</w:t>
      </w:r>
      <w:r>
        <w:rPr>
          <w:rFonts w:asciiTheme="majorEastAsia" w:hAnsiTheme="majorEastAsia" w:eastAsiaTheme="majorEastAsia"/>
          <w:sz w:val="28"/>
          <w:szCs w:val="28"/>
        </w:rPr>
        <w:t>现场踏勘，投标人需要了解现场情况的，可</w:t>
      </w:r>
      <w:r>
        <w:rPr>
          <w:rFonts w:hint="eastAsia" w:asciiTheme="majorEastAsia" w:hAnsiTheme="majorEastAsia" w:eastAsiaTheme="majorEastAsia"/>
          <w:sz w:val="28"/>
          <w:szCs w:val="28"/>
        </w:rPr>
        <w:t>报名参加，时间：9月1</w:t>
      </w:r>
      <w:r>
        <w:rPr>
          <w:rFonts w:hint="eastAsia" w:asciiTheme="majorEastAsia" w:hAnsiTheme="majorEastAsia" w:eastAsiaTheme="majorEastAsia"/>
          <w:sz w:val="28"/>
          <w:szCs w:val="28"/>
          <w:lang w:val="en-US" w:eastAsia="zh-CN"/>
        </w:rPr>
        <w:t>4</w:t>
      </w:r>
      <w:r>
        <w:rPr>
          <w:rFonts w:hint="eastAsia" w:asciiTheme="majorEastAsia" w:hAnsiTheme="majorEastAsia" w:eastAsiaTheme="majorEastAsia"/>
          <w:sz w:val="28"/>
          <w:szCs w:val="28"/>
        </w:rPr>
        <w:t>日上午11:00</w:t>
      </w:r>
      <w:r>
        <w:rPr>
          <w:rFonts w:asciiTheme="majorEastAsia" w:hAnsiTheme="majorEastAsia" w:eastAsiaTheme="majorEastAsia"/>
          <w:sz w:val="28"/>
          <w:szCs w:val="28"/>
        </w:rPr>
        <w:t>。</w:t>
      </w:r>
    </w:p>
    <w:p>
      <w:pPr>
        <w:widowControl/>
        <w:jc w:val="left"/>
        <w:rPr>
          <w:rFonts w:asciiTheme="majorEastAsia" w:hAnsiTheme="majorEastAsia" w:eastAsiaTheme="majorEastAsia"/>
          <w:sz w:val="30"/>
          <w:szCs w:val="30"/>
        </w:rPr>
      </w:pPr>
      <w:r>
        <w:rPr>
          <w:rFonts w:asciiTheme="majorEastAsia" w:hAnsiTheme="majorEastAsia" w:eastAsiaTheme="majorEastAsia"/>
          <w:sz w:val="30"/>
          <w:szCs w:val="30"/>
        </w:rPr>
        <w:br w:type="page"/>
      </w:r>
    </w:p>
    <w:p>
      <w:pPr>
        <w:spacing w:line="500" w:lineRule="exact"/>
        <w:ind w:left="3360"/>
        <w:rPr>
          <w:rFonts w:ascii="黑体" w:hAnsi="黑体" w:eastAsia="黑体"/>
          <w:b/>
          <w:sz w:val="32"/>
          <w:szCs w:val="32"/>
        </w:rPr>
      </w:pPr>
      <w:r>
        <w:rPr>
          <w:rFonts w:ascii="黑体" w:hAnsi="黑体" w:eastAsia="黑体"/>
          <w:b/>
          <w:sz w:val="32"/>
          <w:szCs w:val="32"/>
        </w:rPr>
        <w:t>第四部分：评标办法</w:t>
      </w:r>
    </w:p>
    <w:p>
      <w:pPr>
        <w:spacing w:line="500" w:lineRule="exact"/>
        <w:rPr>
          <w:rFonts w:ascii="Times New Roman" w:hAnsi="Times New Roman" w:eastAsia="Times New Roman"/>
          <w:sz w:val="28"/>
          <w:szCs w:val="28"/>
        </w:rPr>
      </w:pPr>
    </w:p>
    <w:p>
      <w:pPr>
        <w:pStyle w:val="13"/>
        <w:numPr>
          <w:ilvl w:val="0"/>
          <w:numId w:val="2"/>
        </w:numPr>
        <w:spacing w:line="360" w:lineRule="auto"/>
        <w:ind w:firstLineChars="0"/>
        <w:rPr>
          <w:rFonts w:asciiTheme="majorEastAsia" w:hAnsiTheme="majorEastAsia" w:eastAsiaTheme="majorEastAsia"/>
          <w:b/>
          <w:sz w:val="28"/>
          <w:szCs w:val="28"/>
        </w:rPr>
      </w:pPr>
      <w:r>
        <w:rPr>
          <w:rFonts w:asciiTheme="majorEastAsia" w:hAnsiTheme="majorEastAsia" w:eastAsiaTheme="majorEastAsia"/>
          <w:b/>
          <w:sz w:val="28"/>
          <w:szCs w:val="28"/>
        </w:rPr>
        <w:t>概述</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本次招标由汕头大学</w:t>
      </w:r>
      <w:r>
        <w:rPr>
          <w:rFonts w:hint="eastAsia" w:asciiTheme="majorEastAsia" w:hAnsiTheme="majorEastAsia" w:eastAsiaTheme="majorEastAsia"/>
          <w:sz w:val="28"/>
          <w:szCs w:val="28"/>
        </w:rPr>
        <w:t>医学院</w:t>
      </w:r>
      <w:r>
        <w:rPr>
          <w:rFonts w:asciiTheme="majorEastAsia" w:hAnsiTheme="majorEastAsia" w:eastAsiaTheme="majorEastAsia"/>
          <w:sz w:val="28"/>
          <w:szCs w:val="28"/>
        </w:rPr>
        <w:t>采用自主招标方式进行，评标依据《汕头大学</w:t>
      </w:r>
      <w:r>
        <w:rPr>
          <w:rFonts w:hint="eastAsia" w:asciiTheme="majorEastAsia" w:hAnsiTheme="majorEastAsia" w:eastAsiaTheme="majorEastAsia"/>
          <w:sz w:val="28"/>
          <w:szCs w:val="28"/>
        </w:rPr>
        <w:t>医学院</w:t>
      </w:r>
      <w:r>
        <w:rPr>
          <w:rFonts w:asciiTheme="majorEastAsia" w:hAnsiTheme="majorEastAsia" w:eastAsiaTheme="majorEastAsia"/>
          <w:sz w:val="28"/>
          <w:szCs w:val="28"/>
        </w:rPr>
        <w:t>采购与招投标管理办法》组成的评标小组负责完成。</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本次招标的评标采用综合评分法。评标是以招标文件为依据，按公正、科学、客观、平等竞争的要求，推荐综合实力强的投标人为中标人。</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评标分</w:t>
      </w:r>
      <w:r>
        <w:rPr>
          <w:rFonts w:hint="eastAsia" w:asciiTheme="majorEastAsia" w:hAnsiTheme="majorEastAsia" w:eastAsiaTheme="majorEastAsia"/>
          <w:sz w:val="28"/>
          <w:szCs w:val="28"/>
        </w:rPr>
        <w:t>二</w:t>
      </w:r>
      <w:r>
        <w:rPr>
          <w:rFonts w:asciiTheme="majorEastAsia" w:hAnsiTheme="majorEastAsia" w:eastAsiaTheme="majorEastAsia"/>
          <w:sz w:val="28"/>
          <w:szCs w:val="28"/>
        </w:rPr>
        <w:t>个阶段：</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第一阶段符合性审查</w:t>
      </w:r>
      <w:r>
        <w:rPr>
          <w:rFonts w:hint="eastAsia" w:asciiTheme="majorEastAsia" w:hAnsiTheme="majorEastAsia" w:eastAsiaTheme="majorEastAsia"/>
          <w:sz w:val="28"/>
          <w:szCs w:val="28"/>
        </w:rPr>
        <w:t>；开标后进行</w:t>
      </w:r>
      <w:r>
        <w:rPr>
          <w:rFonts w:asciiTheme="majorEastAsia" w:hAnsiTheme="majorEastAsia" w:eastAsiaTheme="majorEastAsia"/>
          <w:sz w:val="28"/>
          <w:szCs w:val="28"/>
        </w:rPr>
        <w:t>符合性审查</w:t>
      </w:r>
      <w:r>
        <w:rPr>
          <w:rFonts w:hint="eastAsia" w:asciiTheme="majorEastAsia" w:hAnsiTheme="majorEastAsia" w:eastAsiaTheme="majorEastAsia"/>
          <w:sz w:val="28"/>
          <w:szCs w:val="28"/>
        </w:rPr>
        <w:t>，</w:t>
      </w:r>
      <w:r>
        <w:rPr>
          <w:rFonts w:asciiTheme="majorEastAsia" w:hAnsiTheme="majorEastAsia" w:eastAsiaTheme="majorEastAsia"/>
          <w:sz w:val="28"/>
          <w:szCs w:val="28"/>
        </w:rPr>
        <w:t>合格的投标才进入后续评审，符合性审查不合格的投标为无效投标，不进入后续评审；</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第二阶段</w:t>
      </w:r>
      <w:r>
        <w:rPr>
          <w:rFonts w:hint="eastAsia" w:asciiTheme="majorEastAsia" w:hAnsiTheme="majorEastAsia" w:eastAsiaTheme="majorEastAsia"/>
          <w:sz w:val="28"/>
          <w:szCs w:val="28"/>
        </w:rPr>
        <w:t>进行服务与承诺评审、</w:t>
      </w:r>
      <w:r>
        <w:rPr>
          <w:rFonts w:asciiTheme="majorEastAsia" w:hAnsiTheme="majorEastAsia" w:eastAsiaTheme="majorEastAsia"/>
          <w:sz w:val="28"/>
          <w:szCs w:val="28"/>
        </w:rPr>
        <w:t>商务</w:t>
      </w:r>
      <w:r>
        <w:rPr>
          <w:rFonts w:hint="eastAsia" w:asciiTheme="majorEastAsia" w:hAnsiTheme="majorEastAsia" w:eastAsiaTheme="majorEastAsia"/>
          <w:sz w:val="28"/>
          <w:szCs w:val="28"/>
        </w:rPr>
        <w:t>评审、</w:t>
      </w:r>
      <w:r>
        <w:rPr>
          <w:rFonts w:asciiTheme="majorEastAsia" w:hAnsiTheme="majorEastAsia" w:eastAsiaTheme="majorEastAsia"/>
          <w:sz w:val="28"/>
          <w:szCs w:val="28"/>
        </w:rPr>
        <w:t>技术评审</w:t>
      </w:r>
      <w:r>
        <w:rPr>
          <w:rFonts w:hint="eastAsia" w:asciiTheme="majorEastAsia" w:hAnsiTheme="majorEastAsia" w:eastAsiaTheme="majorEastAsia"/>
          <w:sz w:val="28"/>
          <w:szCs w:val="28"/>
        </w:rPr>
        <w:t>等三个方面的评审评分；其中，《服务与承诺评分表》中第一项（服务能力评价），将进行实地考察（对本地投标人）或观看（外地）投标人所经营场地的视频和照片进行评审评分，是否增加对（外地）投标人进行实地考察，则由招标人视具体情况确定。</w:t>
      </w:r>
    </w:p>
    <w:p>
      <w:pPr>
        <w:spacing w:line="360" w:lineRule="auto"/>
        <w:ind w:left="600"/>
        <w:rPr>
          <w:rFonts w:asciiTheme="majorEastAsia" w:hAnsiTheme="majorEastAsia" w:eastAsiaTheme="majorEastAsia"/>
          <w:b/>
          <w:sz w:val="28"/>
          <w:szCs w:val="28"/>
        </w:rPr>
      </w:pPr>
      <w:r>
        <w:rPr>
          <w:rFonts w:asciiTheme="majorEastAsia" w:hAnsiTheme="majorEastAsia" w:eastAsiaTheme="majorEastAsia"/>
          <w:b/>
          <w:sz w:val="28"/>
          <w:szCs w:val="28"/>
        </w:rPr>
        <w:t>二、评标程序</w:t>
      </w:r>
    </w:p>
    <w:p>
      <w:pPr>
        <w:spacing w:line="360" w:lineRule="auto"/>
        <w:ind w:left="600"/>
        <w:rPr>
          <w:rFonts w:asciiTheme="majorEastAsia" w:hAnsiTheme="majorEastAsia" w:eastAsiaTheme="majorEastAsia"/>
          <w:sz w:val="28"/>
          <w:szCs w:val="28"/>
        </w:rPr>
      </w:pPr>
      <w:r>
        <w:rPr>
          <w:rFonts w:asciiTheme="majorEastAsia" w:hAnsiTheme="majorEastAsia" w:eastAsiaTheme="majorEastAsia"/>
          <w:sz w:val="28"/>
          <w:szCs w:val="28"/>
        </w:rPr>
        <w:t>（一）投标文件的符合性审查</w:t>
      </w:r>
    </w:p>
    <w:p>
      <w:pPr>
        <w:spacing w:line="360" w:lineRule="auto"/>
        <w:ind w:left="504" w:leftChars="240"/>
        <w:rPr>
          <w:rFonts w:asciiTheme="majorEastAsia" w:hAnsiTheme="majorEastAsia" w:eastAsiaTheme="majorEastAsia"/>
          <w:sz w:val="28"/>
          <w:szCs w:val="28"/>
        </w:rPr>
      </w:pPr>
      <w:r>
        <w:rPr>
          <w:rFonts w:asciiTheme="majorEastAsia" w:hAnsiTheme="majorEastAsia" w:eastAsiaTheme="majorEastAsia"/>
          <w:sz w:val="28"/>
          <w:szCs w:val="28"/>
        </w:rPr>
        <w:t>评标小组首先根据招标文件的要求对所有投标文件进行符合性审查，检查项目包括：</w:t>
      </w:r>
    </w:p>
    <w:p>
      <w:pPr>
        <w:spacing w:line="360" w:lineRule="auto"/>
        <w:ind w:left="504" w:leftChars="240"/>
        <w:rPr>
          <w:rFonts w:asciiTheme="majorEastAsia" w:hAnsiTheme="majorEastAsia" w:eastAsiaTheme="majorEastAsia"/>
          <w:sz w:val="28"/>
          <w:szCs w:val="28"/>
        </w:rPr>
      </w:pPr>
      <w:r>
        <w:rPr>
          <w:rFonts w:asciiTheme="majorEastAsia" w:hAnsiTheme="majorEastAsia" w:eastAsiaTheme="majorEastAsia"/>
          <w:b/>
          <w:sz w:val="28"/>
          <w:szCs w:val="28"/>
          <w:u w:val="single"/>
        </w:rPr>
        <w:t>1.投标人是否满足招标文件“合格投标人资格”条款；</w:t>
      </w:r>
    </w:p>
    <w:p>
      <w:pPr>
        <w:spacing w:line="360" w:lineRule="auto"/>
        <w:ind w:firstLine="551" w:firstLineChars="196"/>
        <w:rPr>
          <w:rFonts w:asciiTheme="majorEastAsia" w:hAnsiTheme="majorEastAsia" w:eastAsiaTheme="majorEastAsia"/>
          <w:b/>
          <w:sz w:val="28"/>
          <w:szCs w:val="28"/>
          <w:u w:val="single"/>
        </w:rPr>
      </w:pPr>
      <w:r>
        <w:rPr>
          <w:rFonts w:asciiTheme="majorEastAsia" w:hAnsiTheme="majorEastAsia" w:eastAsiaTheme="majorEastAsia"/>
          <w:b/>
          <w:sz w:val="28"/>
          <w:szCs w:val="28"/>
          <w:u w:val="single"/>
        </w:rPr>
        <w:t>2.开标一览表内容的关键</w:t>
      </w:r>
      <w:r>
        <w:rPr>
          <w:rFonts w:hint="eastAsia" w:asciiTheme="majorEastAsia" w:hAnsiTheme="majorEastAsia" w:eastAsiaTheme="majorEastAsia"/>
          <w:b/>
          <w:sz w:val="28"/>
          <w:szCs w:val="28"/>
          <w:u w:val="single"/>
        </w:rPr>
        <w:t>及</w:t>
      </w:r>
      <w:r>
        <w:rPr>
          <w:rFonts w:asciiTheme="majorEastAsia" w:hAnsiTheme="majorEastAsia" w:eastAsiaTheme="majorEastAsia"/>
          <w:b/>
          <w:sz w:val="28"/>
          <w:szCs w:val="28"/>
          <w:u w:val="single"/>
        </w:rPr>
        <w:t>主要项，投标人没有</w:t>
      </w:r>
      <w:r>
        <w:rPr>
          <w:rFonts w:hint="eastAsia" w:asciiTheme="majorEastAsia" w:hAnsiTheme="majorEastAsia" w:eastAsiaTheme="majorEastAsia"/>
          <w:b/>
          <w:sz w:val="28"/>
          <w:szCs w:val="28"/>
          <w:u w:val="single"/>
        </w:rPr>
        <w:t>遗</w:t>
      </w:r>
      <w:r>
        <w:rPr>
          <w:rFonts w:asciiTheme="majorEastAsia" w:hAnsiTheme="majorEastAsia" w:eastAsiaTheme="majorEastAsia"/>
          <w:b/>
          <w:sz w:val="28"/>
          <w:szCs w:val="28"/>
          <w:u w:val="single"/>
        </w:rPr>
        <w:t>漏，并按要求签署、盖章的；</w:t>
      </w:r>
    </w:p>
    <w:p>
      <w:pPr>
        <w:spacing w:line="360" w:lineRule="auto"/>
        <w:ind w:firstLine="551" w:firstLineChars="196"/>
        <w:rPr>
          <w:rFonts w:asciiTheme="majorEastAsia" w:hAnsiTheme="majorEastAsia" w:eastAsiaTheme="majorEastAsia"/>
          <w:b/>
          <w:sz w:val="28"/>
          <w:szCs w:val="28"/>
          <w:u w:val="single"/>
        </w:rPr>
      </w:pPr>
      <w:r>
        <w:rPr>
          <w:rFonts w:asciiTheme="majorEastAsia" w:hAnsiTheme="majorEastAsia" w:eastAsiaTheme="majorEastAsia"/>
          <w:b/>
          <w:sz w:val="28"/>
          <w:szCs w:val="28"/>
          <w:u w:val="single"/>
        </w:rPr>
        <w:t>3.投标有效期是否符合要求；</w:t>
      </w:r>
    </w:p>
    <w:p>
      <w:pPr>
        <w:spacing w:line="360" w:lineRule="auto"/>
        <w:ind w:firstLine="551" w:firstLineChars="196"/>
        <w:rPr>
          <w:rFonts w:asciiTheme="majorEastAsia" w:hAnsiTheme="majorEastAsia" w:eastAsiaTheme="majorEastAsia"/>
          <w:b/>
          <w:sz w:val="28"/>
          <w:szCs w:val="28"/>
          <w:u w:val="single"/>
        </w:rPr>
      </w:pPr>
      <w:r>
        <w:rPr>
          <w:rFonts w:asciiTheme="majorEastAsia" w:hAnsiTheme="majorEastAsia" w:eastAsiaTheme="majorEastAsia"/>
          <w:b/>
          <w:sz w:val="28"/>
          <w:szCs w:val="28"/>
          <w:u w:val="single"/>
        </w:rPr>
        <w:t>4.投标文件中</w:t>
      </w:r>
      <w:r>
        <w:rPr>
          <w:rFonts w:hint="eastAsia" w:asciiTheme="majorEastAsia" w:hAnsiTheme="majorEastAsia" w:eastAsiaTheme="majorEastAsia"/>
          <w:b/>
          <w:sz w:val="28"/>
          <w:szCs w:val="28"/>
          <w:u w:val="single"/>
        </w:rPr>
        <w:t>有</w:t>
      </w:r>
      <w:r>
        <w:rPr>
          <w:rFonts w:asciiTheme="majorEastAsia" w:hAnsiTheme="majorEastAsia" w:eastAsiaTheme="majorEastAsia"/>
          <w:b/>
          <w:sz w:val="28"/>
          <w:szCs w:val="28"/>
          <w:u w:val="single"/>
        </w:rPr>
        <w:t>无招标人不能接受的条件的；</w:t>
      </w:r>
    </w:p>
    <w:p>
      <w:pPr>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符合性审查合格的投标进入后续评审，不合格的为无效投标，不进入后续评审。若有效投标人不足</w:t>
      </w:r>
      <w:r>
        <w:rPr>
          <w:rFonts w:hint="eastAsia" w:asciiTheme="majorEastAsia" w:hAnsiTheme="majorEastAsia" w:eastAsiaTheme="majorEastAsia"/>
          <w:sz w:val="28"/>
          <w:szCs w:val="28"/>
        </w:rPr>
        <w:t>3</w:t>
      </w:r>
      <w:r>
        <w:rPr>
          <w:rFonts w:asciiTheme="majorEastAsia" w:hAnsiTheme="majorEastAsia" w:eastAsiaTheme="majorEastAsia"/>
          <w:sz w:val="28"/>
          <w:szCs w:val="28"/>
        </w:rPr>
        <w:t>家，则该项目按废标处理。</w:t>
      </w:r>
    </w:p>
    <w:p>
      <w:pPr>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（二）招标文件的澄清</w:t>
      </w:r>
    </w:p>
    <w:p>
      <w:pPr>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1.对投标文件中含义不明确、同类问题表述不一致或者有明显文字和计算错误的内容，评标小组可以</w:t>
      </w:r>
      <w:r>
        <w:rPr>
          <w:rFonts w:hint="eastAsia" w:asciiTheme="majorEastAsia" w:hAnsiTheme="majorEastAsia" w:eastAsiaTheme="majorEastAsia"/>
          <w:sz w:val="28"/>
          <w:szCs w:val="28"/>
        </w:rPr>
        <w:t>电话或</w:t>
      </w:r>
      <w:r>
        <w:rPr>
          <w:rFonts w:asciiTheme="majorEastAsia" w:hAnsiTheme="majorEastAsia" w:eastAsiaTheme="majorEastAsia"/>
          <w:sz w:val="28"/>
          <w:szCs w:val="28"/>
        </w:rPr>
        <w:t>书面形式要求投标人作出必要的澄清、说明或者纠正。</w:t>
      </w:r>
    </w:p>
    <w:p>
      <w:pPr>
        <w:spacing w:line="360" w:lineRule="auto"/>
        <w:ind w:right="206"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2.投标人的澄清、说明或者补正应当采用书面形式，由其授权的代表签字，</w:t>
      </w:r>
      <w:r>
        <w:rPr>
          <w:rFonts w:hint="eastAsia" w:asciiTheme="majorEastAsia" w:hAnsiTheme="majorEastAsia" w:eastAsiaTheme="majorEastAsia"/>
          <w:sz w:val="28"/>
          <w:szCs w:val="28"/>
        </w:rPr>
        <w:t>且</w:t>
      </w:r>
      <w:r>
        <w:rPr>
          <w:rFonts w:asciiTheme="majorEastAsia" w:hAnsiTheme="majorEastAsia" w:eastAsiaTheme="majorEastAsia"/>
          <w:sz w:val="28"/>
          <w:szCs w:val="28"/>
        </w:rPr>
        <w:t>不得超出投标文件的范围或者改变投标文件的实质性内容。</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（三）废标处理</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投标人有以下情形之一的，其投标作废标处理：</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1.不同投标人委托同一单位或个人办理投标事宜</w:t>
      </w:r>
      <w:r>
        <w:rPr>
          <w:rFonts w:hint="eastAsia" w:asciiTheme="majorEastAsia" w:hAnsiTheme="majorEastAsia" w:eastAsiaTheme="majorEastAsia"/>
          <w:sz w:val="28"/>
          <w:szCs w:val="28"/>
        </w:rPr>
        <w:t>，或</w:t>
      </w:r>
      <w:r>
        <w:rPr>
          <w:rFonts w:asciiTheme="majorEastAsia" w:hAnsiTheme="majorEastAsia" w:eastAsiaTheme="majorEastAsia"/>
          <w:sz w:val="28"/>
          <w:szCs w:val="28"/>
        </w:rPr>
        <w:t>文件由同一单位或者个人编制；</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2.不同投标人的投标文件载明的项目管理成员为同一人；</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3.不同投标人的投标文件异常一致或者投标报价呈规律性差异；</w:t>
      </w:r>
    </w:p>
    <w:p>
      <w:pPr>
        <w:tabs>
          <w:tab w:val="left" w:pos="720"/>
          <w:tab w:val="left" w:pos="1080"/>
        </w:tabs>
        <w:spacing w:line="360" w:lineRule="auto"/>
        <w:ind w:firstLine="560" w:firstLineChars="200"/>
        <w:rPr>
          <w:rFonts w:cs="Times New Roman" w:asciiTheme="minorEastAsia" w:hAnsiTheme="minorEastAsia"/>
          <w:bCs/>
          <w:color w:val="000000" w:themeColor="text1"/>
          <w:sz w:val="28"/>
          <w:szCs w:val="28"/>
        </w:rPr>
      </w:pPr>
      <w:r>
        <w:rPr>
          <w:rFonts w:cs="Times New Roman" w:asciiTheme="minorEastAsia" w:hAnsiTheme="minorEastAsia"/>
          <w:bCs/>
          <w:color w:val="000000" w:themeColor="text1"/>
          <w:sz w:val="28"/>
          <w:szCs w:val="28"/>
        </w:rPr>
        <w:t>4.</w:t>
      </w:r>
      <w:r>
        <w:rPr>
          <w:rFonts w:hint="eastAsia" w:cs="Times New Roman" w:asciiTheme="minorEastAsia" w:hAnsiTheme="minorEastAsia"/>
          <w:bCs/>
          <w:color w:val="000000" w:themeColor="text1"/>
          <w:sz w:val="28"/>
          <w:szCs w:val="28"/>
        </w:rPr>
        <w:t>投标文件提供虚假材料的。</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（四）评标标准</w:t>
      </w:r>
    </w:p>
    <w:p>
      <w:pPr>
        <w:spacing w:line="360" w:lineRule="auto"/>
        <w:ind w:firstLine="565" w:firstLineChars="202"/>
        <w:rPr>
          <w:rFonts w:asciiTheme="majorEastAsia" w:hAnsiTheme="majorEastAsia" w:eastAsiaTheme="majorEastAsia"/>
          <w:sz w:val="28"/>
          <w:szCs w:val="28"/>
        </w:rPr>
      </w:pPr>
      <w:r>
        <w:rPr>
          <w:rFonts w:asciiTheme="majorEastAsia" w:hAnsiTheme="majorEastAsia" w:eastAsiaTheme="majorEastAsia"/>
          <w:sz w:val="28"/>
          <w:szCs w:val="28"/>
        </w:rPr>
        <w:t>本次招标采用综合评分法进行计分评定。评标小组从</w:t>
      </w:r>
      <w:r>
        <w:rPr>
          <w:rFonts w:hint="eastAsia" w:asciiTheme="majorEastAsia" w:hAnsiTheme="majorEastAsia" w:eastAsiaTheme="majorEastAsia"/>
          <w:sz w:val="28"/>
          <w:szCs w:val="28"/>
        </w:rPr>
        <w:t>服务与承诺、</w:t>
      </w:r>
      <w:r>
        <w:rPr>
          <w:rFonts w:asciiTheme="majorEastAsia" w:hAnsiTheme="majorEastAsia" w:eastAsiaTheme="majorEastAsia"/>
          <w:sz w:val="28"/>
          <w:szCs w:val="28"/>
        </w:rPr>
        <w:t>商务、技术</w:t>
      </w:r>
      <w:r>
        <w:rPr>
          <w:rFonts w:hint="eastAsia" w:asciiTheme="majorEastAsia" w:hAnsiTheme="majorEastAsia" w:eastAsiaTheme="majorEastAsia"/>
          <w:sz w:val="28"/>
          <w:szCs w:val="28"/>
        </w:rPr>
        <w:t>等三</w:t>
      </w:r>
      <w:r>
        <w:rPr>
          <w:rFonts w:asciiTheme="majorEastAsia" w:hAnsiTheme="majorEastAsia" w:eastAsiaTheme="majorEastAsia"/>
          <w:sz w:val="28"/>
          <w:szCs w:val="28"/>
        </w:rPr>
        <w:t>方面进行比较与评价，分值分别为：</w:t>
      </w:r>
    </w:p>
    <w:tbl>
      <w:tblPr>
        <w:tblStyle w:val="8"/>
        <w:tblW w:w="8220" w:type="dxa"/>
        <w:tblInd w:w="577" w:type="dxa"/>
        <w:tblLayout w:type="fixed"/>
        <w:tblCellMar>
          <w:top w:w="0" w:type="dxa"/>
          <w:left w:w="0" w:type="dxa"/>
          <w:bottom w:w="0" w:type="dxa"/>
          <w:right w:w="0" w:type="dxa"/>
        </w:tblCellMar>
      </w:tblPr>
      <w:tblGrid>
        <w:gridCol w:w="1386"/>
        <w:gridCol w:w="2484"/>
        <w:gridCol w:w="1456"/>
        <w:gridCol w:w="1455"/>
        <w:gridCol w:w="1439"/>
      </w:tblGrid>
      <w:tr>
        <w:tblPrEx>
          <w:tblCellMar>
            <w:top w:w="0" w:type="dxa"/>
            <w:left w:w="0" w:type="dxa"/>
            <w:bottom w:w="0" w:type="dxa"/>
            <w:right w:w="0" w:type="dxa"/>
          </w:tblCellMar>
        </w:tblPrEx>
        <w:trPr>
          <w:trHeight w:val="702" w:hRule="atLeast"/>
        </w:trPr>
        <w:tc>
          <w:tcPr>
            <w:tcW w:w="1386" w:type="dxa"/>
            <w:tcBorders>
              <w:top w:val="single" w:color="auto" w:sz="8" w:space="0"/>
              <w:left w:val="single" w:color="auto" w:sz="8" w:space="0"/>
              <w:right w:val="single" w:color="auto" w:sz="8" w:space="0"/>
            </w:tcBorders>
            <w:shd w:val="clear" w:color="auto" w:fill="E6E6E6"/>
            <w:vAlign w:val="center"/>
          </w:tcPr>
          <w:p>
            <w:pPr>
              <w:snapToGrid w:val="0"/>
              <w:spacing w:line="240" w:lineRule="auto"/>
              <w:jc w:val="center"/>
              <w:rPr>
                <w:rFonts w:ascii="宋体" w:hAnsi="宋体" w:eastAsia="宋体"/>
                <w:b/>
                <w:w w:val="99"/>
                <w:sz w:val="28"/>
                <w:szCs w:val="28"/>
              </w:rPr>
            </w:pPr>
            <w:r>
              <w:rPr>
                <w:rFonts w:ascii="宋体" w:hAnsi="宋体" w:eastAsia="宋体"/>
                <w:b/>
                <w:w w:val="99"/>
                <w:sz w:val="28"/>
                <w:szCs w:val="28"/>
              </w:rPr>
              <w:t>评分项目</w:t>
            </w:r>
          </w:p>
        </w:tc>
        <w:tc>
          <w:tcPr>
            <w:tcW w:w="2484" w:type="dxa"/>
            <w:tcBorders>
              <w:top w:val="single" w:color="auto" w:sz="8" w:space="0"/>
              <w:right w:val="single" w:color="auto" w:sz="8" w:space="0"/>
            </w:tcBorders>
            <w:shd w:val="clear" w:color="auto" w:fill="E6E6E6"/>
            <w:vAlign w:val="center"/>
          </w:tcPr>
          <w:p>
            <w:pPr>
              <w:snapToGrid w:val="0"/>
              <w:spacing w:line="240" w:lineRule="auto"/>
              <w:jc w:val="center"/>
              <w:rPr>
                <w:rFonts w:ascii="宋体" w:hAnsi="宋体" w:eastAsia="宋体"/>
                <w:b/>
                <w:sz w:val="28"/>
                <w:szCs w:val="28"/>
              </w:rPr>
            </w:pPr>
            <w:r>
              <w:rPr>
                <w:rFonts w:hint="eastAsia" w:ascii="宋体" w:hAnsi="宋体" w:eastAsia="宋体"/>
                <w:b/>
                <w:sz w:val="28"/>
                <w:szCs w:val="28"/>
              </w:rPr>
              <w:t>服务与承诺评分</w:t>
            </w:r>
          </w:p>
        </w:tc>
        <w:tc>
          <w:tcPr>
            <w:tcW w:w="1456" w:type="dxa"/>
            <w:tcBorders>
              <w:top w:val="single" w:color="auto" w:sz="8" w:space="0"/>
              <w:right w:val="single" w:color="auto" w:sz="8" w:space="0"/>
            </w:tcBorders>
            <w:shd w:val="clear" w:color="auto" w:fill="E6E6E6"/>
            <w:vAlign w:val="center"/>
          </w:tcPr>
          <w:p>
            <w:pPr>
              <w:snapToGrid w:val="0"/>
              <w:spacing w:line="240" w:lineRule="auto"/>
              <w:jc w:val="center"/>
              <w:rPr>
                <w:rFonts w:ascii="宋体" w:hAnsi="宋体" w:eastAsia="宋体"/>
                <w:b/>
                <w:w w:val="99"/>
                <w:sz w:val="28"/>
                <w:szCs w:val="28"/>
              </w:rPr>
            </w:pPr>
            <w:r>
              <w:rPr>
                <w:rFonts w:hint="eastAsia" w:ascii="宋体" w:hAnsi="宋体" w:eastAsia="宋体"/>
                <w:b/>
                <w:w w:val="99"/>
                <w:sz w:val="28"/>
                <w:szCs w:val="28"/>
              </w:rPr>
              <w:t>商务评分</w:t>
            </w:r>
          </w:p>
        </w:tc>
        <w:tc>
          <w:tcPr>
            <w:tcW w:w="1455" w:type="dxa"/>
            <w:tcBorders>
              <w:top w:val="single" w:color="auto" w:sz="8" w:space="0"/>
              <w:right w:val="single" w:color="auto" w:sz="4" w:space="0"/>
            </w:tcBorders>
            <w:shd w:val="clear" w:color="auto" w:fill="E6E6E6"/>
            <w:vAlign w:val="center"/>
          </w:tcPr>
          <w:p>
            <w:pPr>
              <w:snapToGrid w:val="0"/>
              <w:spacing w:line="240" w:lineRule="auto"/>
              <w:jc w:val="center"/>
              <w:rPr>
                <w:rFonts w:ascii="宋体" w:hAnsi="宋体" w:eastAsia="宋体"/>
                <w:b/>
                <w:w w:val="99"/>
                <w:sz w:val="28"/>
                <w:szCs w:val="28"/>
              </w:rPr>
            </w:pPr>
            <w:r>
              <w:rPr>
                <w:rFonts w:hint="eastAsia" w:ascii="宋体" w:hAnsi="宋体" w:eastAsia="宋体"/>
                <w:b/>
                <w:w w:val="99"/>
                <w:sz w:val="28"/>
                <w:szCs w:val="28"/>
              </w:rPr>
              <w:t>技术评分</w:t>
            </w:r>
          </w:p>
        </w:tc>
        <w:tc>
          <w:tcPr>
            <w:tcW w:w="1439" w:type="dxa"/>
            <w:tcBorders>
              <w:top w:val="single" w:color="auto" w:sz="8" w:space="0"/>
              <w:left w:val="single" w:color="auto" w:sz="4" w:space="0"/>
              <w:right w:val="single" w:color="auto" w:sz="8" w:space="0"/>
            </w:tcBorders>
            <w:shd w:val="clear" w:color="auto" w:fill="E6E6E6"/>
            <w:vAlign w:val="center"/>
          </w:tcPr>
          <w:p>
            <w:pPr>
              <w:snapToGrid w:val="0"/>
              <w:spacing w:line="240" w:lineRule="auto"/>
              <w:jc w:val="center"/>
              <w:rPr>
                <w:rFonts w:ascii="宋体" w:hAnsi="宋体" w:eastAsia="宋体"/>
                <w:b/>
                <w:w w:val="99"/>
                <w:sz w:val="28"/>
                <w:szCs w:val="28"/>
              </w:rPr>
            </w:pPr>
            <w:r>
              <w:rPr>
                <w:rFonts w:ascii="宋体" w:hAnsi="宋体" w:eastAsia="宋体"/>
                <w:b/>
                <w:w w:val="99"/>
                <w:sz w:val="28"/>
                <w:szCs w:val="28"/>
              </w:rPr>
              <w:t>总分</w:t>
            </w:r>
          </w:p>
        </w:tc>
      </w:tr>
      <w:tr>
        <w:tblPrEx>
          <w:tblCellMar>
            <w:top w:w="0" w:type="dxa"/>
            <w:left w:w="0" w:type="dxa"/>
            <w:bottom w:w="0" w:type="dxa"/>
            <w:right w:w="0" w:type="dxa"/>
          </w:tblCellMar>
        </w:tblPrEx>
        <w:trPr>
          <w:trHeight w:val="818" w:hRule="atLeast"/>
        </w:trPr>
        <w:tc>
          <w:tcPr>
            <w:tcW w:w="1386" w:type="dxa"/>
            <w:tcBorders>
              <w:left w:val="single" w:color="auto" w:sz="8" w:space="0"/>
              <w:bottom w:val="single" w:color="auto" w:sz="8" w:space="0"/>
              <w:right w:val="single" w:color="auto" w:sz="8" w:space="0"/>
            </w:tcBorders>
            <w:shd w:val="clear" w:color="auto" w:fill="auto"/>
            <w:vAlign w:val="center"/>
          </w:tcPr>
          <w:p>
            <w:pPr>
              <w:spacing w:line="240" w:lineRule="auto"/>
              <w:jc w:val="center"/>
              <w:rPr>
                <w:rFonts w:ascii="Times New Roman" w:hAnsi="Times New Roman" w:eastAsia="Times New Roman"/>
                <w:b/>
                <w:sz w:val="28"/>
                <w:szCs w:val="28"/>
              </w:rPr>
            </w:pPr>
            <w:r>
              <w:rPr>
                <w:rFonts w:ascii="宋体" w:hAnsi="宋体" w:eastAsia="宋体"/>
                <w:b/>
                <w:sz w:val="28"/>
                <w:szCs w:val="28"/>
              </w:rPr>
              <w:t>分值</w:t>
            </w:r>
          </w:p>
        </w:tc>
        <w:tc>
          <w:tcPr>
            <w:tcW w:w="2484" w:type="dxa"/>
            <w:tcBorders>
              <w:bottom w:val="single" w:color="auto" w:sz="8" w:space="0"/>
              <w:right w:val="single" w:color="auto" w:sz="8" w:space="0"/>
            </w:tcBorders>
            <w:shd w:val="clear" w:color="auto" w:fill="auto"/>
            <w:vAlign w:val="center"/>
          </w:tcPr>
          <w:p>
            <w:pPr>
              <w:spacing w:line="240" w:lineRule="auto"/>
              <w:ind w:right="0"/>
              <w:jc w:val="center"/>
              <w:rPr>
                <w:rFonts w:ascii="Times New Roman" w:hAnsi="Times New Roman" w:eastAsia="Times New Roman"/>
                <w:b/>
                <w:sz w:val="28"/>
                <w:szCs w:val="28"/>
              </w:rPr>
            </w:pPr>
            <w:r>
              <w:rPr>
                <w:rFonts w:ascii="宋体" w:hAnsi="宋体" w:eastAsia="宋体"/>
                <w:b/>
                <w:sz w:val="28"/>
                <w:szCs w:val="28"/>
              </w:rPr>
              <w:t>35</w:t>
            </w:r>
          </w:p>
        </w:tc>
        <w:tc>
          <w:tcPr>
            <w:tcW w:w="1456" w:type="dxa"/>
            <w:tcBorders>
              <w:bottom w:val="single" w:color="auto" w:sz="8" w:space="0"/>
              <w:right w:val="single" w:color="auto" w:sz="8" w:space="0"/>
            </w:tcBorders>
            <w:shd w:val="clear" w:color="auto" w:fill="auto"/>
            <w:vAlign w:val="center"/>
          </w:tcPr>
          <w:p>
            <w:pPr>
              <w:spacing w:line="240" w:lineRule="auto"/>
              <w:ind w:right="0"/>
              <w:jc w:val="center"/>
              <w:rPr>
                <w:rFonts w:ascii="Times New Roman" w:hAnsi="Times New Roman" w:eastAsia="Times New Roman"/>
                <w:b/>
                <w:sz w:val="28"/>
                <w:szCs w:val="28"/>
              </w:rPr>
            </w:pPr>
            <w:r>
              <w:rPr>
                <w:rFonts w:ascii="宋体" w:hAnsi="宋体" w:eastAsia="宋体"/>
                <w:b/>
                <w:sz w:val="28"/>
                <w:szCs w:val="28"/>
              </w:rPr>
              <w:t>25</w:t>
            </w:r>
          </w:p>
        </w:tc>
        <w:tc>
          <w:tcPr>
            <w:tcW w:w="1455" w:type="dxa"/>
            <w:tcBorders>
              <w:bottom w:val="single" w:color="auto" w:sz="8" w:space="0"/>
              <w:right w:val="single" w:color="auto" w:sz="4" w:space="0"/>
            </w:tcBorders>
            <w:shd w:val="clear" w:color="auto" w:fill="auto"/>
            <w:vAlign w:val="center"/>
          </w:tcPr>
          <w:p>
            <w:pPr>
              <w:spacing w:line="240" w:lineRule="auto"/>
              <w:ind w:right="0"/>
              <w:jc w:val="center"/>
              <w:rPr>
                <w:rFonts w:ascii="Times New Roman" w:hAnsi="Times New Roman" w:eastAsia="Times New Roman"/>
                <w:b/>
                <w:sz w:val="28"/>
                <w:szCs w:val="28"/>
              </w:rPr>
            </w:pPr>
            <w:r>
              <w:rPr>
                <w:rFonts w:ascii="宋体" w:hAnsi="宋体" w:eastAsia="宋体"/>
                <w:b/>
                <w:sz w:val="28"/>
                <w:szCs w:val="28"/>
              </w:rPr>
              <w:t>40</w:t>
            </w:r>
          </w:p>
        </w:tc>
        <w:tc>
          <w:tcPr>
            <w:tcW w:w="1439" w:type="dxa"/>
            <w:tcBorders>
              <w:left w:val="single" w:color="auto" w:sz="4" w:space="0"/>
              <w:bottom w:val="single" w:color="auto" w:sz="8" w:space="0"/>
              <w:right w:val="single" w:color="auto" w:sz="8" w:space="0"/>
            </w:tcBorders>
            <w:shd w:val="clear" w:color="auto" w:fill="auto"/>
            <w:vAlign w:val="center"/>
          </w:tcPr>
          <w:p>
            <w:pPr>
              <w:spacing w:line="240" w:lineRule="auto"/>
              <w:ind w:right="0" w:firstLine="141" w:firstLineChars="50"/>
              <w:jc w:val="center"/>
              <w:rPr>
                <w:rFonts w:ascii="Times New Roman" w:hAnsi="Times New Roman" w:eastAsia="Times New Roman"/>
                <w:b/>
                <w:sz w:val="28"/>
                <w:szCs w:val="28"/>
              </w:rPr>
            </w:pPr>
            <w:r>
              <w:rPr>
                <w:rFonts w:ascii="宋体" w:hAnsi="宋体" w:eastAsia="宋体"/>
                <w:b/>
                <w:sz w:val="28"/>
                <w:szCs w:val="28"/>
              </w:rPr>
              <w:t>100</w:t>
            </w:r>
          </w:p>
        </w:tc>
      </w:tr>
    </w:tbl>
    <w:p>
      <w:pPr>
        <w:spacing w:line="360" w:lineRule="auto"/>
        <w:rPr>
          <w:rFonts w:ascii="Times New Roman" w:hAnsi="Times New Roman" w:eastAsia="Times New Roman"/>
          <w:sz w:val="28"/>
          <w:szCs w:val="28"/>
        </w:rPr>
      </w:pP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各评分项目的评分</w:t>
      </w:r>
      <w:r>
        <w:rPr>
          <w:rFonts w:hint="eastAsia" w:asciiTheme="majorEastAsia" w:hAnsiTheme="majorEastAsia" w:eastAsiaTheme="majorEastAsia"/>
          <w:sz w:val="28"/>
          <w:szCs w:val="28"/>
        </w:rPr>
        <w:t>要求</w:t>
      </w:r>
      <w:r>
        <w:rPr>
          <w:rFonts w:asciiTheme="majorEastAsia" w:hAnsiTheme="majorEastAsia" w:eastAsiaTheme="majorEastAsia"/>
          <w:sz w:val="28"/>
          <w:szCs w:val="28"/>
        </w:rPr>
        <w:t>如下：</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w:t>
      </w:r>
      <w:r>
        <w:rPr>
          <w:rFonts w:hint="eastAsia" w:asciiTheme="majorEastAsia" w:hAnsiTheme="majorEastAsia" w:eastAsiaTheme="majorEastAsia"/>
          <w:sz w:val="28"/>
          <w:szCs w:val="28"/>
        </w:rPr>
        <w:t>服务与承诺、商务、技术的评分要求</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w:t>
      </w:r>
      <w:r>
        <w:rPr>
          <w:rFonts w:hint="eastAsia" w:asciiTheme="majorEastAsia" w:hAnsiTheme="majorEastAsia" w:eastAsiaTheme="majorEastAsia"/>
          <w:sz w:val="28"/>
          <w:szCs w:val="28"/>
        </w:rPr>
        <w:t>考察的经</w:t>
      </w:r>
      <w:r>
        <w:rPr>
          <w:rFonts w:asciiTheme="majorEastAsia" w:hAnsiTheme="majorEastAsia" w:eastAsiaTheme="majorEastAsia"/>
          <w:sz w:val="28"/>
          <w:szCs w:val="28"/>
        </w:rPr>
        <w:t>营场地为投标人正在经营的</w:t>
      </w:r>
      <w:r>
        <w:rPr>
          <w:rFonts w:hint="eastAsia" w:asciiTheme="majorEastAsia" w:hAnsiTheme="majorEastAsia" w:eastAsiaTheme="majorEastAsia"/>
          <w:sz w:val="28"/>
          <w:szCs w:val="28"/>
        </w:rPr>
        <w:t>场所</w:t>
      </w:r>
      <w:r>
        <w:rPr>
          <w:rFonts w:asciiTheme="majorEastAsia" w:hAnsiTheme="majorEastAsia" w:eastAsiaTheme="majorEastAsia"/>
          <w:sz w:val="28"/>
          <w:szCs w:val="28"/>
        </w:rPr>
        <w:t>，须提交</w:t>
      </w:r>
      <w:r>
        <w:rPr>
          <w:rFonts w:hint="eastAsia" w:asciiTheme="majorEastAsia" w:hAnsiTheme="majorEastAsia" w:eastAsiaTheme="majorEastAsia"/>
          <w:sz w:val="28"/>
          <w:szCs w:val="28"/>
        </w:rPr>
        <w:t>相</w:t>
      </w:r>
      <w:r>
        <w:rPr>
          <w:rFonts w:asciiTheme="majorEastAsia" w:hAnsiTheme="majorEastAsia" w:eastAsiaTheme="majorEastAsia"/>
          <w:sz w:val="28"/>
          <w:szCs w:val="28"/>
        </w:rPr>
        <w:t>关经营场所的合同复印件加盖公章，合同内容需能体现名称、</w:t>
      </w:r>
      <w:r>
        <w:rPr>
          <w:rFonts w:hint="eastAsia" w:asciiTheme="majorEastAsia" w:hAnsiTheme="majorEastAsia" w:eastAsiaTheme="majorEastAsia"/>
          <w:sz w:val="28"/>
          <w:szCs w:val="28"/>
        </w:rPr>
        <w:t>法人、</w:t>
      </w:r>
      <w:r>
        <w:rPr>
          <w:rFonts w:asciiTheme="majorEastAsia" w:hAnsiTheme="majorEastAsia" w:eastAsiaTheme="majorEastAsia"/>
          <w:sz w:val="28"/>
          <w:szCs w:val="28"/>
        </w:rPr>
        <w:t>地址、办公电话等相关信息。</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（2）投标人</w:t>
      </w:r>
      <w:r>
        <w:rPr>
          <w:rFonts w:hint="eastAsia" w:asciiTheme="majorEastAsia" w:hAnsiTheme="majorEastAsia" w:eastAsiaTheme="majorEastAsia"/>
          <w:sz w:val="28"/>
          <w:szCs w:val="28"/>
        </w:rPr>
        <w:t>提供的证明材料必须真实有效，名下多个公司或经营单位需同一法人登记，方为有效及认可同一投标人。</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（3）由评标小组</w:t>
      </w:r>
      <w:r>
        <w:rPr>
          <w:rFonts w:hint="eastAsia" w:asciiTheme="majorEastAsia" w:hAnsiTheme="majorEastAsia" w:eastAsiaTheme="majorEastAsia"/>
          <w:sz w:val="28"/>
          <w:szCs w:val="28"/>
        </w:rPr>
        <w:t>对服务与承诺、</w:t>
      </w:r>
      <w:r>
        <w:rPr>
          <w:rFonts w:asciiTheme="majorEastAsia" w:hAnsiTheme="majorEastAsia" w:eastAsiaTheme="majorEastAsia"/>
          <w:sz w:val="28"/>
          <w:szCs w:val="28"/>
        </w:rPr>
        <w:t>商务</w:t>
      </w:r>
      <w:r>
        <w:rPr>
          <w:rFonts w:hint="eastAsia" w:asciiTheme="majorEastAsia" w:hAnsiTheme="majorEastAsia" w:eastAsiaTheme="majorEastAsia"/>
          <w:sz w:val="28"/>
          <w:szCs w:val="28"/>
        </w:rPr>
        <w:t>、技术、等评分项目</w:t>
      </w:r>
      <w:r>
        <w:rPr>
          <w:rFonts w:asciiTheme="majorEastAsia" w:hAnsiTheme="majorEastAsia" w:eastAsiaTheme="majorEastAsia"/>
          <w:sz w:val="28"/>
          <w:szCs w:val="28"/>
        </w:rPr>
        <w:t>进行审核</w:t>
      </w:r>
      <w:r>
        <w:rPr>
          <w:rFonts w:hint="eastAsia" w:asciiTheme="majorEastAsia" w:hAnsiTheme="majorEastAsia" w:eastAsiaTheme="majorEastAsia"/>
          <w:sz w:val="28"/>
          <w:szCs w:val="28"/>
        </w:rPr>
        <w:t>、</w:t>
      </w:r>
      <w:r>
        <w:rPr>
          <w:rFonts w:asciiTheme="majorEastAsia" w:hAnsiTheme="majorEastAsia" w:eastAsiaTheme="majorEastAsia"/>
          <w:sz w:val="28"/>
          <w:szCs w:val="28"/>
        </w:rPr>
        <w:t>分析</w:t>
      </w:r>
      <w:r>
        <w:rPr>
          <w:rFonts w:hint="eastAsia" w:asciiTheme="majorEastAsia" w:hAnsiTheme="majorEastAsia" w:eastAsiaTheme="majorEastAsia"/>
          <w:sz w:val="28"/>
          <w:szCs w:val="28"/>
        </w:rPr>
        <w:t>和评分</w:t>
      </w:r>
      <w:r>
        <w:rPr>
          <w:rFonts w:asciiTheme="majorEastAsia" w:hAnsiTheme="majorEastAsia" w:eastAsiaTheme="majorEastAsia"/>
          <w:sz w:val="28"/>
          <w:szCs w:val="28"/>
        </w:rPr>
        <w:t>；</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（4）评标</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独立进行文字评价和评分，填写“</w:t>
      </w:r>
      <w:r>
        <w:rPr>
          <w:rFonts w:hint="eastAsia" w:asciiTheme="majorEastAsia" w:hAnsiTheme="majorEastAsia" w:eastAsiaTheme="majorEastAsia"/>
          <w:sz w:val="28"/>
          <w:szCs w:val="28"/>
        </w:rPr>
        <w:t>服务与承诺、</w:t>
      </w:r>
      <w:r>
        <w:rPr>
          <w:rFonts w:asciiTheme="majorEastAsia" w:hAnsiTheme="majorEastAsia" w:eastAsiaTheme="majorEastAsia"/>
          <w:sz w:val="28"/>
          <w:szCs w:val="28"/>
        </w:rPr>
        <w:t>商务、技术</w:t>
      </w:r>
      <w:r>
        <w:rPr>
          <w:rFonts w:hint="eastAsia" w:asciiTheme="majorEastAsia" w:hAnsiTheme="majorEastAsia" w:eastAsiaTheme="majorEastAsia"/>
          <w:sz w:val="28"/>
          <w:szCs w:val="28"/>
        </w:rPr>
        <w:t>等</w:t>
      </w:r>
      <w:r>
        <w:rPr>
          <w:rFonts w:asciiTheme="majorEastAsia" w:hAnsiTheme="majorEastAsia" w:eastAsiaTheme="majorEastAsia"/>
          <w:sz w:val="28"/>
          <w:szCs w:val="28"/>
        </w:rPr>
        <w:t>评分表”。</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（5）将每一个评委的评分汇集后进行算术平均（精确到小数点后两位），得出该投标人的</w:t>
      </w:r>
      <w:r>
        <w:rPr>
          <w:rFonts w:hint="eastAsia" w:asciiTheme="majorEastAsia" w:hAnsiTheme="majorEastAsia" w:eastAsiaTheme="majorEastAsia"/>
          <w:sz w:val="28"/>
          <w:szCs w:val="28"/>
        </w:rPr>
        <w:t>总</w:t>
      </w:r>
      <w:r>
        <w:rPr>
          <w:rFonts w:asciiTheme="majorEastAsia" w:hAnsiTheme="majorEastAsia" w:eastAsiaTheme="majorEastAsia"/>
          <w:sz w:val="28"/>
          <w:szCs w:val="28"/>
        </w:rPr>
        <w:t>分。</w:t>
      </w:r>
      <w:r>
        <w:rPr>
          <w:rFonts w:hint="eastAsia" w:asciiTheme="majorEastAsia" w:hAnsiTheme="majorEastAsia" w:eastAsiaTheme="majorEastAsia"/>
          <w:sz w:val="28"/>
          <w:szCs w:val="28"/>
        </w:rPr>
        <w:t>总分由（书面材料评审分</w:t>
      </w:r>
      <w:r>
        <w:rPr>
          <w:rFonts w:asciiTheme="majorEastAsia" w:hAnsiTheme="majorEastAsia" w:eastAsiaTheme="majorEastAsia"/>
          <w:sz w:val="28"/>
          <w:szCs w:val="28"/>
        </w:rPr>
        <w:t>+</w:t>
      </w:r>
      <w:r>
        <w:rPr>
          <w:rFonts w:hint="eastAsia" w:asciiTheme="majorEastAsia" w:hAnsiTheme="majorEastAsia" w:eastAsiaTheme="majorEastAsia"/>
          <w:sz w:val="28"/>
          <w:szCs w:val="28"/>
        </w:rPr>
        <w:t>实地评审分）组成</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2.投标文件差异修正原则</w:t>
      </w:r>
      <w:r>
        <w:rPr>
          <w:rFonts w:hint="eastAsia" w:asciiTheme="majorEastAsia" w:hAnsiTheme="majorEastAsia" w:eastAsiaTheme="majorEastAsia"/>
          <w:sz w:val="28"/>
          <w:szCs w:val="28"/>
        </w:rPr>
        <w:t>，</w:t>
      </w:r>
      <w:r>
        <w:rPr>
          <w:rFonts w:asciiTheme="majorEastAsia" w:hAnsiTheme="majorEastAsia" w:eastAsiaTheme="majorEastAsia"/>
          <w:sz w:val="28"/>
          <w:szCs w:val="28"/>
        </w:rPr>
        <w:t>投标文件出现差异时，修正原则及优先修正顺序如下：</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（1）开标内容与投标文件对应内容不一致的，均以开标内容为准；</w:t>
      </w:r>
    </w:p>
    <w:p>
      <w:pPr>
        <w:spacing w:line="360" w:lineRule="auto"/>
        <w:ind w:firstLine="560" w:firstLineChars="200"/>
        <w:rPr>
          <w:rFonts w:asciiTheme="majorEastAsia" w:hAnsiTheme="majorEastAsia" w:eastAsiaTheme="majorEastAsia"/>
          <w:color w:val="000000" w:themeColor="text1"/>
          <w:sz w:val="28"/>
          <w:szCs w:val="28"/>
        </w:rPr>
      </w:pPr>
      <w:r>
        <w:rPr>
          <w:rFonts w:asciiTheme="majorEastAsia" w:hAnsiTheme="majorEastAsia" w:eastAsiaTheme="majorEastAsia"/>
          <w:color w:val="000000" w:themeColor="text1"/>
          <w:sz w:val="28"/>
          <w:szCs w:val="28"/>
        </w:rPr>
        <w:t>（2）投标文件描述内容与原始材料引述内容不一致的，以原始材料内容为准；</w:t>
      </w:r>
    </w:p>
    <w:p>
      <w:pPr>
        <w:spacing w:line="360" w:lineRule="auto"/>
        <w:ind w:firstLine="840" w:firstLineChars="300"/>
        <w:rPr>
          <w:rFonts w:asciiTheme="majorEastAsia" w:hAnsiTheme="majorEastAsia" w:eastAsiaTheme="majorEastAsia"/>
          <w:sz w:val="28"/>
          <w:szCs w:val="28"/>
        </w:rPr>
      </w:pPr>
      <w:r>
        <w:rPr>
          <w:rFonts w:asciiTheme="majorEastAsia" w:hAnsiTheme="majorEastAsia" w:eastAsiaTheme="majorEastAsia"/>
          <w:color w:val="000000" w:themeColor="text1"/>
          <w:sz w:val="28"/>
          <w:szCs w:val="28"/>
        </w:rPr>
        <w:t>3.投标</w:t>
      </w:r>
      <w:r>
        <w:rPr>
          <w:rFonts w:asciiTheme="majorEastAsia" w:hAnsiTheme="majorEastAsia" w:eastAsiaTheme="majorEastAsia"/>
          <w:sz w:val="28"/>
          <w:szCs w:val="28"/>
        </w:rPr>
        <w:t>文件的澄清</w:t>
      </w:r>
    </w:p>
    <w:p>
      <w:pPr>
        <w:spacing w:line="360" w:lineRule="auto"/>
        <w:ind w:right="400"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（1）对投标文件中含义不明确、同类问题表述不一致或者有明显文字和计算错误的内容，评标</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可以</w:t>
      </w:r>
      <w:r>
        <w:rPr>
          <w:rFonts w:hint="eastAsia" w:asciiTheme="majorEastAsia" w:hAnsiTheme="majorEastAsia" w:eastAsiaTheme="majorEastAsia"/>
          <w:sz w:val="28"/>
          <w:szCs w:val="28"/>
        </w:rPr>
        <w:t>电话或</w:t>
      </w:r>
      <w:r>
        <w:rPr>
          <w:rFonts w:asciiTheme="majorEastAsia" w:hAnsiTheme="majorEastAsia" w:eastAsiaTheme="majorEastAsia"/>
          <w:sz w:val="28"/>
          <w:szCs w:val="28"/>
        </w:rPr>
        <w:t>书面形式要求投标人作出必要的澄清、说明或者纠正。</w:t>
      </w:r>
    </w:p>
    <w:p>
      <w:pPr>
        <w:spacing w:line="360" w:lineRule="auto"/>
        <w:ind w:right="400"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（2）投标人的澄清、说明或者补正应当采用书面形式，由其授权代表签字，并不得超出投标文件的范围或者改变投标文件的实质性内容。</w:t>
      </w:r>
    </w:p>
    <w:p>
      <w:pPr>
        <w:spacing w:line="360" w:lineRule="auto"/>
        <w:ind w:right="400" w:firstLine="560" w:firstLineChars="200"/>
        <w:rPr>
          <w:rFonts w:asciiTheme="majorEastAsia" w:hAnsiTheme="majorEastAsia" w:eastAsiaTheme="majorEastAsia"/>
          <w:sz w:val="28"/>
          <w:szCs w:val="28"/>
        </w:rPr>
        <w:sectPr>
          <w:footerReference r:id="rId3" w:type="default"/>
          <w:pgSz w:w="11900" w:h="16838"/>
          <w:pgMar w:top="978" w:right="1440" w:bottom="672" w:left="1440" w:header="0" w:footer="0" w:gutter="0"/>
          <w:cols w:equalWidth="0" w:num="1">
            <w:col w:w="9026"/>
          </w:cols>
          <w:docGrid w:linePitch="360" w:charSpace="0"/>
        </w:sectPr>
      </w:pPr>
      <w:r>
        <w:rPr>
          <w:rFonts w:asciiTheme="majorEastAsia" w:hAnsiTheme="majorEastAsia" w:eastAsiaTheme="majorEastAsia"/>
          <w:sz w:val="28"/>
          <w:szCs w:val="28"/>
        </w:rPr>
        <w:t>（3）除上述规定的情形之外，评标</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在评审过程中，不得接收来自评审现场以外的任何形式的文件资料</w:t>
      </w:r>
      <w:r>
        <w:rPr>
          <w:rFonts w:hint="eastAsia" w:asciiTheme="majorEastAsia" w:hAnsiTheme="majorEastAsia" w:eastAsiaTheme="majorEastAsia"/>
          <w:sz w:val="28"/>
          <w:szCs w:val="28"/>
        </w:rPr>
        <w:t>。</w:t>
      </w:r>
    </w:p>
    <w:p>
      <w:pPr>
        <w:spacing w:line="360" w:lineRule="auto"/>
        <w:rPr>
          <w:rFonts w:asciiTheme="majorEastAsia" w:hAnsiTheme="majorEastAsia" w:eastAsiaTheme="majorEastAsia"/>
          <w:sz w:val="28"/>
          <w:szCs w:val="28"/>
        </w:rPr>
      </w:pPr>
      <w:bookmarkStart w:id="2" w:name="page16"/>
      <w:bookmarkEnd w:id="2"/>
      <w:r>
        <w:rPr>
          <w:rFonts w:asciiTheme="majorEastAsia" w:hAnsiTheme="majorEastAsia" w:eastAsiaTheme="majorEastAsia"/>
          <w:sz w:val="28"/>
          <w:szCs w:val="28"/>
        </w:rPr>
        <w:t>评标小组按照以下表格</w:t>
      </w:r>
      <w:r>
        <w:rPr>
          <w:rFonts w:hint="eastAsia" w:asciiTheme="majorEastAsia" w:hAnsiTheme="majorEastAsia" w:eastAsiaTheme="majorEastAsia"/>
          <w:sz w:val="28"/>
          <w:szCs w:val="28"/>
        </w:rPr>
        <w:t>的评分表</w:t>
      </w:r>
      <w:r>
        <w:rPr>
          <w:rFonts w:asciiTheme="majorEastAsia" w:hAnsiTheme="majorEastAsia" w:eastAsiaTheme="majorEastAsia"/>
          <w:sz w:val="28"/>
          <w:szCs w:val="28"/>
        </w:rPr>
        <w:t>进行打分：</w:t>
      </w:r>
    </w:p>
    <w:p>
      <w:pPr>
        <w:spacing w:line="500" w:lineRule="exact"/>
        <w:ind w:left="600"/>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服务与承诺评分表（</w:t>
      </w:r>
      <w:r>
        <w:rPr>
          <w:rFonts w:asciiTheme="majorEastAsia" w:hAnsiTheme="majorEastAsia" w:eastAsiaTheme="majorEastAsia"/>
          <w:b/>
          <w:sz w:val="28"/>
          <w:szCs w:val="28"/>
        </w:rPr>
        <w:t>35</w:t>
      </w:r>
      <w:r>
        <w:rPr>
          <w:rFonts w:hint="eastAsia" w:asciiTheme="majorEastAsia" w:hAnsiTheme="majorEastAsia" w:eastAsiaTheme="majorEastAsia"/>
          <w:b/>
          <w:sz w:val="28"/>
          <w:szCs w:val="28"/>
        </w:rPr>
        <w:t>分）</w:t>
      </w:r>
    </w:p>
    <w:tbl>
      <w:tblPr>
        <w:tblStyle w:val="9"/>
        <w:tblW w:w="934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669"/>
        <w:gridCol w:w="823"/>
        <w:gridCol w:w="5297"/>
        <w:gridCol w:w="8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序号</w:t>
            </w:r>
          </w:p>
        </w:tc>
        <w:tc>
          <w:tcPr>
            <w:tcW w:w="1669" w:type="dxa"/>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评审项目</w:t>
            </w:r>
          </w:p>
        </w:tc>
        <w:tc>
          <w:tcPr>
            <w:tcW w:w="823" w:type="dxa"/>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分值</w:t>
            </w:r>
          </w:p>
        </w:tc>
        <w:tc>
          <w:tcPr>
            <w:tcW w:w="5297" w:type="dxa"/>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打分细则</w:t>
            </w:r>
          </w:p>
        </w:tc>
        <w:tc>
          <w:tcPr>
            <w:tcW w:w="844" w:type="dxa"/>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1</w:t>
            </w:r>
          </w:p>
        </w:tc>
        <w:tc>
          <w:tcPr>
            <w:tcW w:w="1669"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服务能力评价</w:t>
            </w:r>
          </w:p>
          <w:p>
            <w:pPr>
              <w:jc w:val="center"/>
              <w:rPr>
                <w:rFonts w:asciiTheme="majorEastAsia" w:hAnsiTheme="majorEastAsia" w:eastAsiaTheme="majorEastAsia" w:cstheme="majorEastAsia"/>
                <w:w w:val="99"/>
                <w:sz w:val="24"/>
                <w:szCs w:val="24"/>
              </w:rPr>
            </w:pPr>
          </w:p>
        </w:tc>
        <w:tc>
          <w:tcPr>
            <w:tcW w:w="823"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10分</w:t>
            </w:r>
          </w:p>
        </w:tc>
        <w:tc>
          <w:tcPr>
            <w:tcW w:w="5297" w:type="dxa"/>
          </w:tcPr>
          <w:p>
            <w:pPr>
              <w:pStyle w:val="13"/>
              <w:numPr>
                <w:ilvl w:val="0"/>
                <w:numId w:val="3"/>
              </w:numPr>
              <w:spacing w:line="360" w:lineRule="exact"/>
              <w:ind w:firstLineChars="0"/>
              <w:rPr>
                <w:rFonts w:asciiTheme="majorEastAsia" w:hAnsiTheme="majorEastAsia" w:eastAsiaTheme="majorEastAsia"/>
                <w:sz w:val="22"/>
                <w:szCs w:val="28"/>
              </w:rPr>
            </w:pPr>
            <w:r>
              <w:rPr>
                <w:rFonts w:hint="eastAsia" w:asciiTheme="majorEastAsia" w:hAnsiTheme="majorEastAsia" w:eastAsiaTheme="majorEastAsia"/>
                <w:sz w:val="22"/>
                <w:szCs w:val="28"/>
              </w:rPr>
              <w:t>考察投标人正在经营的餐饮服务项目。无提供，得0分。（外地投标人，可提供视频及图片）</w:t>
            </w:r>
          </w:p>
          <w:p>
            <w:pPr>
              <w:pStyle w:val="13"/>
              <w:spacing w:line="360" w:lineRule="exact"/>
              <w:ind w:left="360" w:firstLine="0" w:firstLineChars="0"/>
              <w:rPr>
                <w:rFonts w:asciiTheme="majorEastAsia" w:hAnsiTheme="majorEastAsia" w:eastAsiaTheme="majorEastAsia"/>
                <w:sz w:val="24"/>
                <w:szCs w:val="30"/>
              </w:rPr>
            </w:pPr>
            <w:r>
              <w:rPr>
                <w:rFonts w:hint="eastAsia" w:asciiTheme="majorEastAsia" w:hAnsiTheme="majorEastAsia" w:eastAsiaTheme="majorEastAsia"/>
                <w:sz w:val="22"/>
                <w:szCs w:val="28"/>
              </w:rPr>
              <w:t>考察评价项目：食品安全管理、管理制度、农药残留记录、留样记录、仓库冷库管理、生产加工操作，日常管理记录、菜品品种与品尝、食堂卫生状况、餐用具消毒管理。  发现问题及缺项，每小项扣1分，10分扣完为止，全部合格得10分。</w:t>
            </w:r>
          </w:p>
        </w:tc>
        <w:tc>
          <w:tcPr>
            <w:tcW w:w="844" w:type="dxa"/>
          </w:tcPr>
          <w:p>
            <w:pPr>
              <w:pStyle w:val="13"/>
              <w:spacing w:line="360" w:lineRule="exact"/>
              <w:ind w:left="360" w:firstLine="0" w:firstLineChars="0"/>
              <w:rPr>
                <w:rFonts w:asciiTheme="majorEastAsia" w:hAnsiTheme="majorEastAsia" w:eastAsiaTheme="majorEastAsia"/>
                <w:sz w:val="24"/>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2</w:t>
            </w:r>
          </w:p>
        </w:tc>
        <w:tc>
          <w:tcPr>
            <w:tcW w:w="1669"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定点采购与配送服务的保障能力</w:t>
            </w:r>
          </w:p>
        </w:tc>
        <w:tc>
          <w:tcPr>
            <w:tcW w:w="823"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6分</w:t>
            </w:r>
          </w:p>
        </w:tc>
        <w:tc>
          <w:tcPr>
            <w:tcW w:w="5297" w:type="dxa"/>
          </w:tcPr>
          <w:p>
            <w:pPr>
              <w:pStyle w:val="13"/>
              <w:numPr>
                <w:ilvl w:val="0"/>
                <w:numId w:val="4"/>
              </w:numPr>
              <w:spacing w:line="360" w:lineRule="exact"/>
              <w:ind w:firstLineChars="0"/>
              <w:rPr>
                <w:rFonts w:asciiTheme="majorEastAsia" w:hAnsiTheme="majorEastAsia" w:eastAsiaTheme="majorEastAsia"/>
                <w:sz w:val="22"/>
                <w:szCs w:val="28"/>
              </w:rPr>
            </w:pPr>
            <w:r>
              <w:rPr>
                <w:rFonts w:hint="eastAsia" w:asciiTheme="majorEastAsia" w:hAnsiTheme="majorEastAsia" w:eastAsiaTheme="majorEastAsia"/>
                <w:sz w:val="22"/>
                <w:szCs w:val="28"/>
              </w:rPr>
              <w:t>米、面、油等大宗食材定点采购，有定点采购每单项得1分，最高得3分。</w:t>
            </w:r>
          </w:p>
          <w:p>
            <w:pPr>
              <w:pStyle w:val="13"/>
              <w:numPr>
                <w:ilvl w:val="0"/>
                <w:numId w:val="4"/>
              </w:numPr>
              <w:spacing w:line="360" w:lineRule="exact"/>
              <w:ind w:firstLineChars="0"/>
              <w:rPr>
                <w:rFonts w:asciiTheme="majorEastAsia" w:hAnsiTheme="majorEastAsia" w:eastAsiaTheme="majorEastAsia"/>
                <w:sz w:val="22"/>
                <w:szCs w:val="28"/>
              </w:rPr>
            </w:pPr>
            <w:r>
              <w:rPr>
                <w:rFonts w:hint="eastAsia" w:asciiTheme="majorEastAsia" w:hAnsiTheme="majorEastAsia" w:eastAsiaTheme="majorEastAsia"/>
                <w:sz w:val="22"/>
                <w:szCs w:val="28"/>
              </w:rPr>
              <w:t>自设配送中心及冷藏车辆 得3分</w:t>
            </w:r>
          </w:p>
          <w:p>
            <w:pPr>
              <w:pStyle w:val="13"/>
              <w:spacing w:line="360" w:lineRule="exact"/>
              <w:ind w:left="360" w:firstLine="0" w:firstLineChars="0"/>
              <w:rPr>
                <w:rFonts w:asciiTheme="majorEastAsia" w:hAnsiTheme="majorEastAsia" w:eastAsiaTheme="majorEastAsia"/>
                <w:sz w:val="22"/>
                <w:szCs w:val="28"/>
              </w:rPr>
            </w:pPr>
            <w:r>
              <w:rPr>
                <w:rFonts w:hint="eastAsia" w:asciiTheme="majorEastAsia" w:hAnsiTheme="majorEastAsia" w:eastAsiaTheme="majorEastAsia"/>
                <w:sz w:val="22"/>
                <w:szCs w:val="28"/>
              </w:rPr>
              <w:t>其他配送方式  得1分 。</w:t>
            </w:r>
          </w:p>
          <w:p>
            <w:pPr>
              <w:spacing w:line="360" w:lineRule="exact"/>
              <w:rPr>
                <w:rFonts w:asciiTheme="majorEastAsia" w:hAnsiTheme="majorEastAsia" w:eastAsiaTheme="majorEastAsia"/>
                <w:sz w:val="24"/>
                <w:szCs w:val="30"/>
              </w:rPr>
            </w:pPr>
            <w:r>
              <w:rPr>
                <w:rFonts w:hint="eastAsia" w:asciiTheme="majorEastAsia" w:hAnsiTheme="majorEastAsia" w:eastAsiaTheme="majorEastAsia"/>
                <w:sz w:val="22"/>
                <w:szCs w:val="28"/>
              </w:rPr>
              <w:t xml:space="preserve">    须提供定点采购供货协议及配送中心证明材料和投标人名下车辆行驶证。</w:t>
            </w:r>
          </w:p>
        </w:tc>
        <w:tc>
          <w:tcPr>
            <w:tcW w:w="844" w:type="dxa"/>
          </w:tcPr>
          <w:p>
            <w:pPr>
              <w:pStyle w:val="13"/>
              <w:spacing w:line="360" w:lineRule="exact"/>
              <w:ind w:left="360" w:firstLine="0" w:firstLineChars="0"/>
              <w:rPr>
                <w:rFonts w:asciiTheme="majorEastAsia" w:hAnsiTheme="majorEastAsia" w:eastAsiaTheme="majorEastAsia"/>
                <w:sz w:val="24"/>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3</w:t>
            </w:r>
          </w:p>
        </w:tc>
        <w:tc>
          <w:tcPr>
            <w:tcW w:w="1669"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蔬菜类、鱼肉类供应保障能力</w:t>
            </w:r>
          </w:p>
        </w:tc>
        <w:tc>
          <w:tcPr>
            <w:tcW w:w="823"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6分</w:t>
            </w:r>
          </w:p>
        </w:tc>
        <w:tc>
          <w:tcPr>
            <w:tcW w:w="5297" w:type="dxa"/>
          </w:tcPr>
          <w:p>
            <w:pPr>
              <w:pStyle w:val="13"/>
              <w:numPr>
                <w:ilvl w:val="0"/>
                <w:numId w:val="5"/>
              </w:numPr>
              <w:spacing w:line="360" w:lineRule="exact"/>
              <w:ind w:firstLineChars="0"/>
              <w:rPr>
                <w:rFonts w:asciiTheme="majorEastAsia" w:hAnsiTheme="majorEastAsia" w:eastAsiaTheme="majorEastAsia"/>
                <w:sz w:val="22"/>
                <w:szCs w:val="28"/>
              </w:rPr>
            </w:pPr>
            <w:r>
              <w:rPr>
                <w:rFonts w:hint="eastAsia" w:asciiTheme="majorEastAsia" w:hAnsiTheme="majorEastAsia" w:eastAsiaTheme="majorEastAsia"/>
                <w:sz w:val="22"/>
                <w:szCs w:val="28"/>
              </w:rPr>
              <w:t>投标人拥有自己名下的蔬菜种植场或蔬菜经营单位，有得3分；无得0分。</w:t>
            </w:r>
          </w:p>
          <w:p>
            <w:pPr>
              <w:pStyle w:val="13"/>
              <w:numPr>
                <w:ilvl w:val="0"/>
                <w:numId w:val="5"/>
              </w:numPr>
              <w:spacing w:line="360" w:lineRule="exact"/>
              <w:ind w:firstLineChars="0"/>
              <w:rPr>
                <w:rFonts w:asciiTheme="majorEastAsia" w:hAnsiTheme="majorEastAsia" w:eastAsiaTheme="majorEastAsia"/>
                <w:sz w:val="22"/>
                <w:szCs w:val="28"/>
              </w:rPr>
            </w:pPr>
            <w:r>
              <w:rPr>
                <w:rFonts w:hint="eastAsia" w:asciiTheme="majorEastAsia" w:hAnsiTheme="majorEastAsia" w:eastAsiaTheme="majorEastAsia"/>
                <w:sz w:val="22"/>
                <w:szCs w:val="28"/>
              </w:rPr>
              <w:t>投标人拥有自己名下的鱼肉类养殖场或鱼肉类经营单位，有得3分；无得0分。</w:t>
            </w:r>
          </w:p>
          <w:p>
            <w:pPr>
              <w:pStyle w:val="13"/>
              <w:spacing w:line="360" w:lineRule="exact"/>
              <w:ind w:left="360" w:firstLine="0" w:firstLineChars="0"/>
              <w:rPr>
                <w:rFonts w:asciiTheme="majorEastAsia" w:hAnsiTheme="majorEastAsia" w:eastAsiaTheme="majorEastAsia"/>
                <w:sz w:val="24"/>
                <w:szCs w:val="30"/>
              </w:rPr>
            </w:pPr>
            <w:r>
              <w:rPr>
                <w:rFonts w:hint="eastAsia" w:asciiTheme="majorEastAsia" w:hAnsiTheme="majorEastAsia" w:eastAsiaTheme="majorEastAsia"/>
                <w:sz w:val="22"/>
                <w:szCs w:val="28"/>
              </w:rPr>
              <w:t>须提供投标人自己名下的营业执照、经营等相关证明材料。</w:t>
            </w:r>
          </w:p>
        </w:tc>
        <w:tc>
          <w:tcPr>
            <w:tcW w:w="844" w:type="dxa"/>
          </w:tcPr>
          <w:p>
            <w:pPr>
              <w:pStyle w:val="13"/>
              <w:spacing w:line="360" w:lineRule="exact"/>
              <w:ind w:left="360" w:firstLine="0" w:firstLineChars="0"/>
              <w:rPr>
                <w:rFonts w:asciiTheme="majorEastAsia" w:hAnsiTheme="majorEastAsia" w:eastAsiaTheme="majorEastAsia"/>
                <w:sz w:val="24"/>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4</w:t>
            </w:r>
          </w:p>
        </w:tc>
        <w:tc>
          <w:tcPr>
            <w:tcW w:w="1669"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食堂文明建设</w:t>
            </w:r>
          </w:p>
        </w:tc>
        <w:tc>
          <w:tcPr>
            <w:tcW w:w="823"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5分</w:t>
            </w:r>
          </w:p>
        </w:tc>
        <w:tc>
          <w:tcPr>
            <w:tcW w:w="5297" w:type="dxa"/>
          </w:tcPr>
          <w:p>
            <w:pPr>
              <w:spacing w:line="360" w:lineRule="exact"/>
              <w:rPr>
                <w:rFonts w:asciiTheme="majorEastAsia" w:hAnsiTheme="majorEastAsia" w:eastAsiaTheme="majorEastAsia"/>
                <w:sz w:val="22"/>
                <w:szCs w:val="28"/>
              </w:rPr>
            </w:pPr>
            <w:r>
              <w:rPr>
                <w:rFonts w:hint="eastAsia" w:asciiTheme="majorEastAsia" w:hAnsiTheme="majorEastAsia" w:eastAsiaTheme="majorEastAsia"/>
                <w:sz w:val="22"/>
                <w:szCs w:val="28"/>
              </w:rPr>
              <w:t>根据投标人提供食堂文明建设的方案进行评分</w:t>
            </w:r>
          </w:p>
          <w:p>
            <w:pPr>
              <w:spacing w:line="360" w:lineRule="exact"/>
              <w:rPr>
                <w:rFonts w:asciiTheme="majorEastAsia" w:hAnsiTheme="majorEastAsia" w:eastAsiaTheme="majorEastAsia"/>
                <w:sz w:val="24"/>
                <w:szCs w:val="30"/>
              </w:rPr>
            </w:pPr>
            <w:r>
              <w:rPr>
                <w:rFonts w:hint="eastAsia" w:asciiTheme="majorEastAsia" w:hAnsiTheme="majorEastAsia" w:eastAsiaTheme="majorEastAsia"/>
                <w:sz w:val="22"/>
                <w:szCs w:val="28"/>
              </w:rPr>
              <w:t>优5分；良3分；一般1分</w:t>
            </w:r>
          </w:p>
        </w:tc>
        <w:tc>
          <w:tcPr>
            <w:tcW w:w="844" w:type="dxa"/>
          </w:tcPr>
          <w:p>
            <w:pPr>
              <w:spacing w:line="360" w:lineRule="exact"/>
              <w:rPr>
                <w:rFonts w:asciiTheme="majorEastAsia" w:hAnsiTheme="majorEastAsia" w:eastAsiaTheme="majorEastAsia"/>
                <w:sz w:val="24"/>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5</w:t>
            </w:r>
          </w:p>
        </w:tc>
        <w:tc>
          <w:tcPr>
            <w:tcW w:w="1669"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服务响应</w:t>
            </w:r>
          </w:p>
        </w:tc>
        <w:tc>
          <w:tcPr>
            <w:tcW w:w="823"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3分</w:t>
            </w:r>
          </w:p>
        </w:tc>
        <w:tc>
          <w:tcPr>
            <w:tcW w:w="5297" w:type="dxa"/>
          </w:tcPr>
          <w:p>
            <w:pPr>
              <w:spacing w:line="360" w:lineRule="exact"/>
              <w:rPr>
                <w:rFonts w:asciiTheme="majorEastAsia" w:hAnsiTheme="majorEastAsia" w:eastAsiaTheme="majorEastAsia"/>
                <w:sz w:val="22"/>
                <w:szCs w:val="28"/>
              </w:rPr>
            </w:pPr>
            <w:r>
              <w:rPr>
                <w:rFonts w:hint="eastAsia" w:asciiTheme="majorEastAsia" w:hAnsiTheme="majorEastAsia" w:eastAsiaTheme="majorEastAsia"/>
                <w:sz w:val="22"/>
                <w:szCs w:val="28"/>
              </w:rPr>
              <w:t>根据投标人在学校重大活动的配合、校方监管响应、上级部门检查响应，师生建议与投诉的响应等服务承诺，及上述服务必要的资源投入的承诺进行评分。</w:t>
            </w:r>
          </w:p>
          <w:p>
            <w:pPr>
              <w:spacing w:line="360" w:lineRule="exact"/>
              <w:rPr>
                <w:rFonts w:asciiTheme="majorEastAsia" w:hAnsiTheme="majorEastAsia" w:eastAsiaTheme="majorEastAsia"/>
                <w:sz w:val="24"/>
                <w:szCs w:val="30"/>
              </w:rPr>
            </w:pPr>
            <w:r>
              <w:rPr>
                <w:rFonts w:hint="eastAsia" w:asciiTheme="majorEastAsia" w:hAnsiTheme="majorEastAsia" w:eastAsiaTheme="majorEastAsia"/>
                <w:sz w:val="22"/>
                <w:szCs w:val="28"/>
              </w:rPr>
              <w:t>优3分；良2分；一般1分</w:t>
            </w:r>
          </w:p>
        </w:tc>
        <w:tc>
          <w:tcPr>
            <w:tcW w:w="844" w:type="dxa"/>
          </w:tcPr>
          <w:p>
            <w:pPr>
              <w:spacing w:line="360" w:lineRule="exact"/>
              <w:rPr>
                <w:rFonts w:asciiTheme="majorEastAsia" w:hAnsiTheme="majorEastAsia" w:eastAsiaTheme="majorEastAsia"/>
                <w:sz w:val="24"/>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6</w:t>
            </w:r>
          </w:p>
        </w:tc>
        <w:tc>
          <w:tcPr>
            <w:tcW w:w="1669"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餐饮场所责任保险承诺</w:t>
            </w:r>
          </w:p>
        </w:tc>
        <w:tc>
          <w:tcPr>
            <w:tcW w:w="823"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2分</w:t>
            </w:r>
          </w:p>
        </w:tc>
        <w:tc>
          <w:tcPr>
            <w:tcW w:w="5297" w:type="dxa"/>
          </w:tcPr>
          <w:p>
            <w:pPr>
              <w:spacing w:line="360" w:lineRule="exact"/>
              <w:rPr>
                <w:rFonts w:asciiTheme="majorEastAsia" w:hAnsiTheme="majorEastAsia" w:eastAsiaTheme="majorEastAsia"/>
                <w:sz w:val="22"/>
                <w:szCs w:val="28"/>
              </w:rPr>
            </w:pPr>
            <w:r>
              <w:rPr>
                <w:rFonts w:hint="eastAsia" w:asciiTheme="majorEastAsia" w:hAnsiTheme="majorEastAsia" w:eastAsiaTheme="majorEastAsia"/>
                <w:sz w:val="22"/>
                <w:szCs w:val="28"/>
              </w:rPr>
              <w:t>投标人承诺为本项目购买餐饮场所责任保险（或公众责任险）</w:t>
            </w:r>
          </w:p>
          <w:p>
            <w:pPr>
              <w:spacing w:line="360" w:lineRule="exact"/>
              <w:rPr>
                <w:rFonts w:asciiTheme="majorEastAsia" w:hAnsiTheme="majorEastAsia" w:eastAsiaTheme="majorEastAsia"/>
                <w:sz w:val="22"/>
                <w:szCs w:val="28"/>
              </w:rPr>
            </w:pPr>
            <w:r>
              <w:rPr>
                <w:rFonts w:hint="eastAsia" w:asciiTheme="majorEastAsia" w:hAnsiTheme="majorEastAsia" w:eastAsiaTheme="majorEastAsia"/>
                <w:sz w:val="22"/>
                <w:szCs w:val="28"/>
              </w:rPr>
              <w:t>承诺为本项目购买保险并已为名下其他承包服务项目购买过保险的得2分，承诺为本项目购买得1分。</w:t>
            </w:r>
          </w:p>
          <w:p>
            <w:pPr>
              <w:spacing w:line="360" w:lineRule="exact"/>
              <w:rPr>
                <w:rFonts w:asciiTheme="majorEastAsia" w:hAnsiTheme="majorEastAsia" w:eastAsiaTheme="majorEastAsia"/>
                <w:sz w:val="24"/>
                <w:szCs w:val="30"/>
              </w:rPr>
            </w:pPr>
            <w:r>
              <w:rPr>
                <w:rFonts w:hint="eastAsia" w:asciiTheme="majorEastAsia" w:hAnsiTheme="majorEastAsia" w:eastAsiaTheme="majorEastAsia"/>
                <w:sz w:val="22"/>
                <w:szCs w:val="28"/>
              </w:rPr>
              <w:t>（需提供已购买本年度的保险复印件，原件校对后退回，购买的保险必须为投标人自己经营的服务项目）</w:t>
            </w:r>
          </w:p>
        </w:tc>
        <w:tc>
          <w:tcPr>
            <w:tcW w:w="844" w:type="dxa"/>
          </w:tcPr>
          <w:p>
            <w:pPr>
              <w:spacing w:line="360" w:lineRule="exact"/>
              <w:rPr>
                <w:rFonts w:asciiTheme="majorEastAsia" w:hAnsiTheme="majorEastAsia" w:eastAsiaTheme="majorEastAsia"/>
                <w:sz w:val="24"/>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7</w:t>
            </w:r>
          </w:p>
        </w:tc>
        <w:tc>
          <w:tcPr>
            <w:tcW w:w="1669"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供餐保障承诺</w:t>
            </w:r>
          </w:p>
        </w:tc>
        <w:tc>
          <w:tcPr>
            <w:tcW w:w="823" w:type="dxa"/>
            <w:vAlign w:val="center"/>
          </w:tcPr>
          <w:p>
            <w:pPr>
              <w:spacing w:line="360" w:lineRule="exact"/>
              <w:jc w:val="center"/>
              <w:rPr>
                <w:rFonts w:asciiTheme="majorEastAsia" w:hAnsiTheme="majorEastAsia" w:eastAsiaTheme="majorEastAsia"/>
                <w:sz w:val="24"/>
                <w:szCs w:val="30"/>
              </w:rPr>
            </w:pPr>
            <w:r>
              <w:rPr>
                <w:rFonts w:hint="eastAsia" w:asciiTheme="majorEastAsia" w:hAnsiTheme="majorEastAsia" w:eastAsiaTheme="majorEastAsia"/>
                <w:sz w:val="24"/>
                <w:szCs w:val="30"/>
              </w:rPr>
              <w:t>3分</w:t>
            </w:r>
          </w:p>
        </w:tc>
        <w:tc>
          <w:tcPr>
            <w:tcW w:w="5297" w:type="dxa"/>
          </w:tcPr>
          <w:p>
            <w:pPr>
              <w:spacing w:line="360" w:lineRule="exact"/>
              <w:rPr>
                <w:rFonts w:asciiTheme="majorEastAsia" w:hAnsiTheme="majorEastAsia" w:eastAsiaTheme="majorEastAsia"/>
                <w:sz w:val="22"/>
                <w:szCs w:val="28"/>
              </w:rPr>
            </w:pPr>
            <w:r>
              <w:rPr>
                <w:rFonts w:hint="eastAsia" w:asciiTheme="majorEastAsia" w:hAnsiTheme="majorEastAsia" w:eastAsiaTheme="majorEastAsia"/>
                <w:sz w:val="22"/>
                <w:szCs w:val="28"/>
              </w:rPr>
              <w:t>根据投标人承诺在午餐和晚餐营业时间临结束前，仍能较好提供菜品的供餐保障方案进行评分</w:t>
            </w:r>
          </w:p>
          <w:p>
            <w:pPr>
              <w:spacing w:line="360" w:lineRule="exact"/>
              <w:rPr>
                <w:rFonts w:asciiTheme="majorEastAsia" w:hAnsiTheme="majorEastAsia" w:eastAsiaTheme="majorEastAsia"/>
                <w:sz w:val="24"/>
                <w:szCs w:val="30"/>
              </w:rPr>
            </w:pPr>
            <w:r>
              <w:rPr>
                <w:rFonts w:hint="eastAsia" w:asciiTheme="majorEastAsia" w:hAnsiTheme="majorEastAsia" w:eastAsiaTheme="majorEastAsia"/>
                <w:sz w:val="22"/>
                <w:szCs w:val="28"/>
              </w:rPr>
              <w:t>优3分；良2分；一般1分</w:t>
            </w:r>
          </w:p>
        </w:tc>
        <w:tc>
          <w:tcPr>
            <w:tcW w:w="844" w:type="dxa"/>
          </w:tcPr>
          <w:p>
            <w:pPr>
              <w:spacing w:line="360" w:lineRule="exact"/>
              <w:rPr>
                <w:rFonts w:asciiTheme="majorEastAsia" w:hAnsiTheme="majorEastAsia" w:eastAsiaTheme="majorEastAsia"/>
                <w:sz w:val="24"/>
                <w:szCs w:val="30"/>
              </w:rPr>
            </w:pPr>
          </w:p>
        </w:tc>
      </w:tr>
    </w:tbl>
    <w:p>
      <w:pPr>
        <w:spacing w:line="500" w:lineRule="exact"/>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商务评分表（25分）</w:t>
      </w:r>
    </w:p>
    <w:tbl>
      <w:tblPr>
        <w:tblStyle w:val="9"/>
        <w:tblW w:w="921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1701"/>
        <w:gridCol w:w="850"/>
        <w:gridCol w:w="4962"/>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line="5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序号</w:t>
            </w:r>
          </w:p>
        </w:tc>
        <w:tc>
          <w:tcPr>
            <w:tcW w:w="1701" w:type="dxa"/>
          </w:tcPr>
          <w:p>
            <w:pPr>
              <w:spacing w:line="5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评审项目</w:t>
            </w:r>
          </w:p>
        </w:tc>
        <w:tc>
          <w:tcPr>
            <w:tcW w:w="850" w:type="dxa"/>
          </w:tcPr>
          <w:p>
            <w:pPr>
              <w:spacing w:line="5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分值</w:t>
            </w:r>
          </w:p>
        </w:tc>
        <w:tc>
          <w:tcPr>
            <w:tcW w:w="4962" w:type="dxa"/>
            <w:tcBorders>
              <w:right w:val="single" w:color="auto" w:sz="4" w:space="0"/>
            </w:tcBorders>
          </w:tcPr>
          <w:p>
            <w:pPr>
              <w:spacing w:line="5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打分细则</w:t>
            </w:r>
          </w:p>
        </w:tc>
        <w:tc>
          <w:tcPr>
            <w:tcW w:w="850" w:type="dxa"/>
            <w:tcBorders>
              <w:left w:val="single" w:color="auto" w:sz="4" w:space="0"/>
            </w:tcBorders>
          </w:tcPr>
          <w:p>
            <w:pPr>
              <w:spacing w:line="5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701"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政府及行业</w:t>
            </w:r>
          </w:p>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管理机构认证</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7分</w:t>
            </w:r>
          </w:p>
        </w:tc>
        <w:tc>
          <w:tcPr>
            <w:tcW w:w="4962" w:type="dxa"/>
            <w:tcBorders>
              <w:right w:val="single" w:color="auto" w:sz="4" w:space="0"/>
            </w:tcBorders>
          </w:tcPr>
          <w:p>
            <w:r>
              <w:rPr>
                <w:rFonts w:hint="eastAsia"/>
              </w:rPr>
              <w:t>1、投标人通过（质量、食品安全、环境、健康）等管理体系认证，获得认证每项得1分，最高得4分；</w:t>
            </w:r>
          </w:p>
          <w:p>
            <w:pPr>
              <w:rPr>
                <w:rFonts w:asciiTheme="majorEastAsia" w:hAnsiTheme="majorEastAsia" w:eastAsiaTheme="majorEastAsia" w:cstheme="majorEastAsia"/>
                <w:sz w:val="24"/>
                <w:szCs w:val="24"/>
              </w:rPr>
            </w:pPr>
            <w:r>
              <w:rPr>
                <w:rFonts w:hint="eastAsia"/>
              </w:rPr>
              <w:t>2、 根据投标人2018-2020年度经营过的食堂获得市级或以上教育、食品行政部门颁发的“优秀食堂”、“A级食堂”、“食品安全示范食堂”称号。获称号1个得1分，获称号2个得2分，获称号3个或以上得3分，最高得3分，无获得的，得0分。</w:t>
            </w:r>
          </w:p>
        </w:tc>
        <w:tc>
          <w:tcPr>
            <w:tcW w:w="850" w:type="dxa"/>
            <w:tcBorders>
              <w:left w:val="single" w:color="auto" w:sz="4" w:space="0"/>
            </w:tcBorders>
          </w:tcPr>
          <w:p>
            <w:pPr>
              <w:rPr>
                <w:rFonts w:asciiTheme="majorEastAsia" w:hAnsiTheme="majorEastAsia" w:eastAsiaTheme="majorEastAsia" w:cs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ind w:firstLine="240" w:firstLineChars="10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w:t>
            </w:r>
          </w:p>
        </w:tc>
        <w:tc>
          <w:tcPr>
            <w:tcW w:w="1701"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企业信誉</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6分</w:t>
            </w:r>
          </w:p>
        </w:tc>
        <w:tc>
          <w:tcPr>
            <w:tcW w:w="4962" w:type="dxa"/>
            <w:tcBorders>
              <w:right w:val="single" w:color="auto" w:sz="4" w:space="0"/>
            </w:tcBorders>
          </w:tcPr>
          <w:p>
            <w:r>
              <w:rPr>
                <w:rFonts w:hint="eastAsia"/>
              </w:rPr>
              <w:t>根据投标人经营的公司2018-2020年度每一年度获得一次市级以上重合同守信用单位称号，得2分，最高得6分。</w:t>
            </w:r>
          </w:p>
          <w:p>
            <w:pPr>
              <w:rPr>
                <w:rFonts w:asciiTheme="majorEastAsia" w:hAnsiTheme="majorEastAsia" w:eastAsiaTheme="majorEastAsia" w:cstheme="majorEastAsia"/>
                <w:sz w:val="24"/>
                <w:szCs w:val="24"/>
              </w:rPr>
            </w:pPr>
            <w:r>
              <w:rPr>
                <w:rFonts w:hint="eastAsia"/>
              </w:rPr>
              <w:t>（以上须提供相关证书复印件加盖公章，没有提供不得分。招标人有权核查原件备查。）</w:t>
            </w:r>
          </w:p>
        </w:tc>
        <w:tc>
          <w:tcPr>
            <w:tcW w:w="850" w:type="dxa"/>
            <w:tcBorders>
              <w:left w:val="single" w:color="auto" w:sz="4" w:space="0"/>
            </w:tcBorders>
          </w:tcPr>
          <w:p>
            <w:pPr>
              <w:rPr>
                <w:rFonts w:asciiTheme="majorEastAsia" w:hAnsiTheme="majorEastAsia" w:eastAsiaTheme="majorEastAsia" w:cs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p>
        </w:tc>
        <w:tc>
          <w:tcPr>
            <w:tcW w:w="1701" w:type="dxa"/>
            <w:vAlign w:val="center"/>
          </w:tcPr>
          <w:p>
            <w:pPr>
              <w:jc w:val="center"/>
              <w:rPr>
                <w:rFonts w:asciiTheme="majorEastAsia" w:hAnsiTheme="majorEastAsia" w:eastAsiaTheme="majorEastAsia" w:cstheme="majorEastAsia"/>
                <w:w w:val="99"/>
                <w:sz w:val="24"/>
                <w:szCs w:val="24"/>
              </w:rPr>
            </w:pPr>
            <w:r>
              <w:rPr>
                <w:rFonts w:hint="eastAsia" w:asciiTheme="majorEastAsia" w:hAnsiTheme="majorEastAsia" w:eastAsiaTheme="majorEastAsia" w:cstheme="majorEastAsia"/>
                <w:w w:val="99"/>
                <w:sz w:val="24"/>
                <w:szCs w:val="24"/>
              </w:rPr>
              <w:t>企业经营能力</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6分</w:t>
            </w:r>
          </w:p>
        </w:tc>
        <w:tc>
          <w:tcPr>
            <w:tcW w:w="4962" w:type="dxa"/>
            <w:tcBorders>
              <w:right w:val="single" w:color="auto" w:sz="4" w:space="0"/>
            </w:tcBorders>
          </w:tcPr>
          <w:p>
            <w:r>
              <w:rPr>
                <w:rFonts w:hint="eastAsia"/>
              </w:rPr>
              <w:t>考察企业经营能力（盈利和纳税情况）：</w:t>
            </w:r>
          </w:p>
          <w:p>
            <w:r>
              <w:rPr>
                <w:rFonts w:hint="eastAsia"/>
              </w:rPr>
              <w:t>①、根据投标人提供近三年由第三方会计师事务所审计的《审计报告》。2018 年盈利的得1分，2019 年盈利的得1分，2020 年盈利的得1分。最高得3分（没有盈利或没有提供的，该年度得0分。）</w:t>
            </w:r>
          </w:p>
          <w:p>
            <w:r>
              <w:rPr>
                <w:rFonts w:hint="eastAsia"/>
              </w:rPr>
              <w:t>②、根据投标人在（2018 -2020） 年度获得税务行政部门颁发的“纳税信用等级A级”证书，连续2年及以上得3分，不连续但获得其中二年得2分，获得其中一年得1分，无获得的，得0分。</w:t>
            </w:r>
          </w:p>
          <w:p>
            <w:pPr>
              <w:rPr>
                <w:rFonts w:asciiTheme="majorEastAsia" w:hAnsiTheme="majorEastAsia" w:eastAsiaTheme="majorEastAsia" w:cstheme="majorEastAsia"/>
                <w:sz w:val="24"/>
                <w:szCs w:val="24"/>
              </w:rPr>
            </w:pPr>
            <w:r>
              <w:rPr>
                <w:rFonts w:hint="eastAsia"/>
              </w:rPr>
              <w:t>（以税务部分颁发的证件为准，原件备查）</w:t>
            </w:r>
          </w:p>
        </w:tc>
        <w:tc>
          <w:tcPr>
            <w:tcW w:w="850" w:type="dxa"/>
            <w:tcBorders>
              <w:left w:val="single" w:color="auto" w:sz="4" w:space="0"/>
            </w:tcBorders>
          </w:tcPr>
          <w:p>
            <w:pPr>
              <w:rPr>
                <w:rFonts w:asciiTheme="majorEastAsia" w:hAnsiTheme="majorEastAsia" w:eastAsiaTheme="majorEastAsia" w:cstheme="maj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w:t>
            </w:r>
          </w:p>
        </w:tc>
        <w:tc>
          <w:tcPr>
            <w:tcW w:w="1701" w:type="dxa"/>
            <w:vAlign w:val="center"/>
          </w:tcPr>
          <w:p>
            <w:pPr>
              <w:jc w:val="center"/>
              <w:rPr>
                <w:rFonts w:asciiTheme="majorEastAsia" w:hAnsiTheme="majorEastAsia" w:eastAsiaTheme="majorEastAsia" w:cstheme="majorEastAsia"/>
                <w:w w:val="99"/>
                <w:sz w:val="24"/>
                <w:szCs w:val="24"/>
              </w:rPr>
            </w:pPr>
          </w:p>
          <w:p>
            <w:pPr>
              <w:ind w:left="236" w:hanging="237" w:hangingChars="100"/>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w w:val="99"/>
                <w:sz w:val="24"/>
                <w:szCs w:val="24"/>
              </w:rPr>
              <w:t>承包餐饮服务项目的业绩</w:t>
            </w:r>
          </w:p>
        </w:tc>
        <w:tc>
          <w:tcPr>
            <w:tcW w:w="850" w:type="dxa"/>
            <w:vAlign w:val="center"/>
          </w:tcPr>
          <w:p>
            <w:pPr>
              <w:jc w:val="center"/>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6分</w:t>
            </w:r>
          </w:p>
        </w:tc>
        <w:tc>
          <w:tcPr>
            <w:tcW w:w="4962" w:type="dxa"/>
            <w:tcBorders>
              <w:right w:val="single" w:color="auto" w:sz="4" w:space="0"/>
            </w:tcBorders>
          </w:tcPr>
          <w:p>
            <w:r>
              <w:rPr>
                <w:rFonts w:hint="eastAsia"/>
              </w:rPr>
              <w:t>根据投标人2021年承包具有 200人以上规模的高校、企事业单位食堂、经营中型餐饮店（每餐不低于 100 人次）项目业绩进行评审，每提供 1 个合同，得1分，最高得6分，无提供的，得0分。</w:t>
            </w:r>
          </w:p>
          <w:p>
            <w:pPr>
              <w:rPr>
                <w:rFonts w:asciiTheme="majorEastAsia" w:hAnsiTheme="majorEastAsia" w:eastAsiaTheme="majorEastAsia" w:cstheme="majorEastAsia"/>
                <w:sz w:val="24"/>
                <w:szCs w:val="24"/>
              </w:rPr>
            </w:pPr>
            <w:r>
              <w:rPr>
                <w:rFonts w:hint="eastAsia"/>
              </w:rPr>
              <w:t>（以上须提供合同复印件及实地核查，原件备查）</w:t>
            </w:r>
          </w:p>
        </w:tc>
        <w:tc>
          <w:tcPr>
            <w:tcW w:w="850" w:type="dxa"/>
            <w:tcBorders>
              <w:left w:val="single" w:color="auto" w:sz="4" w:space="0"/>
            </w:tcBorders>
          </w:tcPr>
          <w:p>
            <w:pPr>
              <w:rPr>
                <w:rFonts w:asciiTheme="majorEastAsia" w:hAnsiTheme="majorEastAsia" w:eastAsiaTheme="majorEastAsia" w:cstheme="majorEastAsia"/>
                <w:sz w:val="24"/>
                <w:szCs w:val="24"/>
              </w:rPr>
            </w:pPr>
          </w:p>
        </w:tc>
      </w:tr>
    </w:tbl>
    <w:p>
      <w:pPr>
        <w:spacing w:line="480" w:lineRule="auto"/>
        <w:jc w:val="center"/>
        <w:rPr>
          <w:rFonts w:ascii="Times New Roman" w:hAnsi="Times New Roman"/>
          <w:sz w:val="32"/>
          <w:szCs w:val="30"/>
        </w:rPr>
      </w:pPr>
      <w:bookmarkStart w:id="3" w:name="page19"/>
      <w:bookmarkEnd w:id="3"/>
      <w:r>
        <w:rPr>
          <w:rFonts w:hint="eastAsia" w:ascii="Times New Roman" w:hAnsi="Times New Roman"/>
          <w:sz w:val="32"/>
          <w:szCs w:val="30"/>
        </w:rPr>
        <w:t xml:space="preserve">      </w:t>
      </w:r>
    </w:p>
    <w:p>
      <w:pPr>
        <w:widowControl/>
        <w:jc w:val="left"/>
        <w:rPr>
          <w:rFonts w:ascii="Times New Roman" w:hAnsi="Times New Roman"/>
          <w:sz w:val="32"/>
          <w:szCs w:val="30"/>
        </w:rPr>
      </w:pPr>
      <w:r>
        <w:rPr>
          <w:rFonts w:ascii="Times New Roman" w:hAnsi="Times New Roman"/>
          <w:sz w:val="32"/>
          <w:szCs w:val="30"/>
        </w:rPr>
        <w:br w:type="page"/>
      </w:r>
    </w:p>
    <w:p>
      <w:pPr>
        <w:spacing w:line="480" w:lineRule="auto"/>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技术评分表（40分）</w:t>
      </w:r>
    </w:p>
    <w:tbl>
      <w:tblPr>
        <w:tblStyle w:val="9"/>
        <w:tblW w:w="874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7"/>
        <w:gridCol w:w="1315"/>
        <w:gridCol w:w="656"/>
        <w:gridCol w:w="5396"/>
        <w:gridCol w:w="7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 w:hRule="atLeast"/>
        </w:trPr>
        <w:tc>
          <w:tcPr>
            <w:tcW w:w="657" w:type="dxa"/>
          </w:tcPr>
          <w:p>
            <w:pPr>
              <w:spacing w:line="400" w:lineRule="exact"/>
              <w:jc w:val="center"/>
              <w:rPr>
                <w:rFonts w:ascii="Times New Roman" w:hAnsi="Times New Roman"/>
                <w:sz w:val="21"/>
                <w:szCs w:val="21"/>
              </w:rPr>
            </w:pPr>
            <w:r>
              <w:rPr>
                <w:rFonts w:hint="eastAsia" w:ascii="Times New Roman" w:hAnsi="Times New Roman"/>
                <w:sz w:val="21"/>
                <w:szCs w:val="21"/>
              </w:rPr>
              <w:t>序号</w:t>
            </w:r>
          </w:p>
        </w:tc>
        <w:tc>
          <w:tcPr>
            <w:tcW w:w="1315" w:type="dxa"/>
          </w:tcPr>
          <w:p>
            <w:pPr>
              <w:spacing w:line="400" w:lineRule="exact"/>
              <w:jc w:val="center"/>
              <w:rPr>
                <w:rFonts w:ascii="Times New Roman" w:hAnsi="Times New Roman"/>
                <w:sz w:val="21"/>
                <w:szCs w:val="21"/>
              </w:rPr>
            </w:pPr>
            <w:r>
              <w:rPr>
                <w:rFonts w:hint="eastAsia" w:ascii="Times New Roman" w:hAnsi="Times New Roman"/>
                <w:sz w:val="21"/>
                <w:szCs w:val="21"/>
              </w:rPr>
              <w:t>评审项目</w:t>
            </w:r>
          </w:p>
        </w:tc>
        <w:tc>
          <w:tcPr>
            <w:tcW w:w="656" w:type="dxa"/>
          </w:tcPr>
          <w:p>
            <w:pPr>
              <w:spacing w:line="400" w:lineRule="exact"/>
              <w:jc w:val="center"/>
              <w:rPr>
                <w:rFonts w:ascii="Times New Roman" w:hAnsi="Times New Roman"/>
                <w:sz w:val="21"/>
                <w:szCs w:val="21"/>
              </w:rPr>
            </w:pPr>
            <w:r>
              <w:rPr>
                <w:rFonts w:hint="eastAsia" w:ascii="Times New Roman" w:hAnsi="Times New Roman"/>
                <w:sz w:val="21"/>
                <w:szCs w:val="21"/>
              </w:rPr>
              <w:t>分值</w:t>
            </w:r>
          </w:p>
        </w:tc>
        <w:tc>
          <w:tcPr>
            <w:tcW w:w="5396" w:type="dxa"/>
            <w:vAlign w:val="center"/>
          </w:tcPr>
          <w:p>
            <w:pPr>
              <w:jc w:val="center"/>
              <w:rPr>
                <w:szCs w:val="21"/>
              </w:rPr>
            </w:pPr>
            <w:r>
              <w:rPr>
                <w:rFonts w:hint="eastAsia"/>
                <w:szCs w:val="21"/>
              </w:rPr>
              <w:t>打分细则</w:t>
            </w:r>
          </w:p>
        </w:tc>
        <w:tc>
          <w:tcPr>
            <w:tcW w:w="722" w:type="dxa"/>
          </w:tcPr>
          <w:p>
            <w:pPr>
              <w:spacing w:line="400" w:lineRule="exact"/>
              <w:jc w:val="center"/>
              <w:rPr>
                <w:rFonts w:ascii="Times New Roman" w:hAnsi="Times New Roman"/>
                <w:sz w:val="21"/>
                <w:szCs w:val="21"/>
              </w:rPr>
            </w:pPr>
            <w:r>
              <w:rPr>
                <w:rFonts w:hint="eastAsia" w:ascii="Times New Roman" w:hAnsi="Times New Roman"/>
                <w:sz w:val="21"/>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7" w:hRule="atLeast"/>
        </w:trPr>
        <w:tc>
          <w:tcPr>
            <w:tcW w:w="657"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1</w:t>
            </w:r>
          </w:p>
        </w:tc>
        <w:tc>
          <w:tcPr>
            <w:tcW w:w="1315" w:type="dxa"/>
            <w:vAlign w:val="center"/>
          </w:tcPr>
          <w:p>
            <w:pPr>
              <w:ind w:left="-19" w:leftChars="-9" w:firstLine="16" w:firstLineChars="8"/>
              <w:jc w:val="both"/>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投标项目经营服务方案</w:t>
            </w:r>
          </w:p>
        </w:tc>
        <w:tc>
          <w:tcPr>
            <w:tcW w:w="656"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9</w:t>
            </w:r>
            <w:r>
              <w:rPr>
                <w:rFonts w:hint="eastAsia" w:asciiTheme="majorEastAsia" w:hAnsiTheme="majorEastAsia" w:eastAsiaTheme="majorEastAsia" w:cstheme="majorEastAsia"/>
                <w:sz w:val="21"/>
                <w:szCs w:val="21"/>
              </w:rPr>
              <w:t>分</w:t>
            </w:r>
          </w:p>
        </w:tc>
        <w:tc>
          <w:tcPr>
            <w:tcW w:w="5396" w:type="dxa"/>
          </w:tcPr>
          <w:p>
            <w:pPr>
              <w:rPr>
                <w:szCs w:val="21"/>
              </w:rPr>
            </w:pPr>
            <w:r>
              <w:rPr>
                <w:rFonts w:hint="eastAsia"/>
                <w:szCs w:val="21"/>
              </w:rPr>
              <w:t>根据投标人对本项目要求及招标任务的理解，要求项目经营理念新颖，服务方案明晰、可操作性强、食品质量控制、食品安全卫生管理、生产操作流程规范、日常管理、产品质量保障措施、服务质量保障措施等进行综合评价</w:t>
            </w:r>
          </w:p>
          <w:p>
            <w:pPr>
              <w:rPr>
                <w:szCs w:val="21"/>
              </w:rPr>
            </w:pPr>
            <w:r>
              <w:rPr>
                <w:rFonts w:hint="eastAsia"/>
                <w:szCs w:val="21"/>
              </w:rPr>
              <w:t>优9分；良6分；一般3分；差1分；没有提供得0分。</w:t>
            </w:r>
          </w:p>
        </w:tc>
        <w:tc>
          <w:tcPr>
            <w:tcW w:w="722" w:type="dxa"/>
          </w:tcPr>
          <w:p>
            <w:pPr>
              <w:spacing w:line="302" w:lineRule="exact"/>
              <w:rPr>
                <w:rFonts w:ascii="Times New Roman" w:hAnsi="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657"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2</w:t>
            </w:r>
          </w:p>
        </w:tc>
        <w:tc>
          <w:tcPr>
            <w:tcW w:w="1315" w:type="dxa"/>
            <w:vAlign w:val="center"/>
          </w:tcPr>
          <w:p>
            <w:pPr>
              <w:ind w:left="-19" w:leftChars="-9" w:firstLine="16" w:firstLineChars="8"/>
              <w:jc w:val="both"/>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早餐品种、质量、及价格</w:t>
            </w:r>
          </w:p>
        </w:tc>
        <w:tc>
          <w:tcPr>
            <w:tcW w:w="656"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t>分</w:t>
            </w:r>
          </w:p>
        </w:tc>
        <w:tc>
          <w:tcPr>
            <w:tcW w:w="5396" w:type="dxa"/>
          </w:tcPr>
          <w:p>
            <w:pPr>
              <w:rPr>
                <w:szCs w:val="21"/>
              </w:rPr>
            </w:pPr>
            <w:r>
              <w:rPr>
                <w:rFonts w:hint="eastAsia"/>
                <w:szCs w:val="21"/>
              </w:rPr>
              <w:t>要求每餐品种不少于8个，附售价一览表（列有详细的菜色品种名称、分量和价格）优3分；良2分；一般1分；差0分。</w:t>
            </w:r>
          </w:p>
        </w:tc>
        <w:tc>
          <w:tcPr>
            <w:tcW w:w="722" w:type="dxa"/>
          </w:tcPr>
          <w:p>
            <w:pPr>
              <w:spacing w:line="302" w:lineRule="exact"/>
              <w:rPr>
                <w:rFonts w:ascii="Times New Roman" w:hAnsi="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8" w:hRule="atLeast"/>
        </w:trPr>
        <w:tc>
          <w:tcPr>
            <w:tcW w:w="657" w:type="dxa"/>
            <w:vAlign w:val="center"/>
          </w:tcPr>
          <w:p>
            <w:pPr>
              <w:jc w:val="center"/>
              <w:rPr>
                <w:rFonts w:asciiTheme="majorEastAsia" w:hAnsiTheme="majorEastAsia" w:eastAsiaTheme="majorEastAsia" w:cstheme="majorEastAsia"/>
                <w:sz w:val="21"/>
                <w:szCs w:val="21"/>
              </w:rPr>
            </w:pPr>
          </w:p>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w:t>
            </w:r>
          </w:p>
        </w:tc>
        <w:tc>
          <w:tcPr>
            <w:tcW w:w="1315" w:type="dxa"/>
            <w:vAlign w:val="center"/>
          </w:tcPr>
          <w:p>
            <w:pPr>
              <w:ind w:left="-19" w:leftChars="-9" w:firstLine="16" w:firstLineChars="8"/>
              <w:jc w:val="both"/>
              <w:rPr>
                <w:rFonts w:asciiTheme="majorEastAsia" w:hAnsiTheme="majorEastAsia" w:eastAsiaTheme="majorEastAsia" w:cstheme="majorEastAsia"/>
                <w:w w:val="99"/>
                <w:sz w:val="21"/>
                <w:szCs w:val="21"/>
              </w:rPr>
            </w:pPr>
          </w:p>
          <w:p>
            <w:pPr>
              <w:ind w:left="-19" w:leftChars="-9" w:firstLine="16" w:firstLineChars="8"/>
              <w:jc w:val="both"/>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中、晚餐品种、质量及价格</w:t>
            </w:r>
          </w:p>
        </w:tc>
        <w:tc>
          <w:tcPr>
            <w:tcW w:w="656" w:type="dxa"/>
            <w:vAlign w:val="center"/>
          </w:tcPr>
          <w:p>
            <w:pPr>
              <w:jc w:val="center"/>
              <w:rPr>
                <w:rFonts w:asciiTheme="majorEastAsia" w:hAnsiTheme="majorEastAsia" w:eastAsiaTheme="majorEastAsia" w:cstheme="majorEastAsia"/>
                <w:sz w:val="21"/>
                <w:szCs w:val="21"/>
              </w:rPr>
            </w:pPr>
          </w:p>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5</w:t>
            </w:r>
            <w:r>
              <w:rPr>
                <w:rFonts w:hint="eastAsia" w:asciiTheme="majorEastAsia" w:hAnsiTheme="majorEastAsia" w:eastAsiaTheme="majorEastAsia" w:cstheme="majorEastAsia"/>
                <w:sz w:val="21"/>
                <w:szCs w:val="21"/>
              </w:rPr>
              <w:t>分</w:t>
            </w:r>
          </w:p>
        </w:tc>
        <w:tc>
          <w:tcPr>
            <w:tcW w:w="5396" w:type="dxa"/>
          </w:tcPr>
          <w:p>
            <w:pPr>
              <w:rPr>
                <w:szCs w:val="21"/>
              </w:rPr>
            </w:pPr>
            <w:r>
              <w:rPr>
                <w:rFonts w:hint="eastAsia"/>
                <w:szCs w:val="21"/>
              </w:rPr>
              <w:t>要求每餐品种不少于 20个，附售价一览表（列有详细的菜色品种名称、分量和价格）</w:t>
            </w:r>
          </w:p>
          <w:p>
            <w:pPr>
              <w:rPr>
                <w:szCs w:val="21"/>
              </w:rPr>
            </w:pPr>
            <w:r>
              <w:rPr>
                <w:rFonts w:hint="eastAsia"/>
                <w:szCs w:val="21"/>
              </w:rPr>
              <w:t>菜品多样化，品种结构、风味搭配合理，个性化服务，价格控制有效，操作性强的，优5分；良3分；一般1分；差0分。</w:t>
            </w:r>
          </w:p>
        </w:tc>
        <w:tc>
          <w:tcPr>
            <w:tcW w:w="722" w:type="dxa"/>
          </w:tcPr>
          <w:p>
            <w:pPr>
              <w:spacing w:line="302" w:lineRule="exact"/>
              <w:rPr>
                <w:rFonts w:ascii="Times New Roman" w:hAnsi="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0" w:hRule="atLeast"/>
        </w:trPr>
        <w:tc>
          <w:tcPr>
            <w:tcW w:w="657" w:type="dxa"/>
            <w:vAlign w:val="center"/>
          </w:tcPr>
          <w:p>
            <w:pPr>
              <w:jc w:val="center"/>
              <w:rPr>
                <w:rFonts w:asciiTheme="majorEastAsia" w:hAnsiTheme="majorEastAsia" w:eastAsiaTheme="majorEastAsia" w:cstheme="majorEastAsia"/>
                <w:sz w:val="21"/>
                <w:szCs w:val="21"/>
              </w:rPr>
            </w:pPr>
          </w:p>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4</w:t>
            </w:r>
          </w:p>
        </w:tc>
        <w:tc>
          <w:tcPr>
            <w:tcW w:w="1315" w:type="dxa"/>
            <w:vAlign w:val="center"/>
          </w:tcPr>
          <w:p>
            <w:pPr>
              <w:ind w:left="-19" w:leftChars="-9" w:firstLine="16" w:firstLineChars="8"/>
              <w:jc w:val="both"/>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食品卫生安全控制措施</w:t>
            </w:r>
          </w:p>
        </w:tc>
        <w:tc>
          <w:tcPr>
            <w:tcW w:w="656" w:type="dxa"/>
            <w:vAlign w:val="center"/>
          </w:tcPr>
          <w:p>
            <w:pPr>
              <w:jc w:val="center"/>
              <w:rPr>
                <w:rFonts w:asciiTheme="majorEastAsia" w:hAnsiTheme="majorEastAsia" w:eastAsiaTheme="majorEastAsia" w:cstheme="majorEastAsia"/>
                <w:sz w:val="21"/>
                <w:szCs w:val="21"/>
              </w:rPr>
            </w:pPr>
          </w:p>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5</w:t>
            </w:r>
            <w:r>
              <w:rPr>
                <w:rFonts w:hint="eastAsia" w:asciiTheme="majorEastAsia" w:hAnsiTheme="majorEastAsia" w:eastAsiaTheme="majorEastAsia" w:cstheme="majorEastAsia"/>
                <w:sz w:val="21"/>
                <w:szCs w:val="21"/>
              </w:rPr>
              <w:t>分</w:t>
            </w:r>
          </w:p>
        </w:tc>
        <w:tc>
          <w:tcPr>
            <w:tcW w:w="5396" w:type="dxa"/>
          </w:tcPr>
          <w:p>
            <w:pPr>
              <w:ind w:leftChars="-18" w:hanging="37" w:hangingChars="18"/>
              <w:rPr>
                <w:szCs w:val="21"/>
              </w:rPr>
            </w:pPr>
            <w:r>
              <w:rPr>
                <w:rFonts w:hint="eastAsia"/>
                <w:szCs w:val="21"/>
              </w:rPr>
              <w:t xml:space="preserve">根据投标人对食品质量要求、食品卫生安全要求、生产环节控制要求、洗消卫生控制，其他卫生安全保证措施等进行综合评价。 </w:t>
            </w:r>
            <w:r>
              <w:rPr>
                <w:szCs w:val="21"/>
              </w:rPr>
              <w:t xml:space="preserve"> </w:t>
            </w:r>
            <w:r>
              <w:rPr>
                <w:rFonts w:hint="eastAsia"/>
                <w:szCs w:val="21"/>
              </w:rPr>
              <w:t>优5分；良3分；一般1分；差0分。</w:t>
            </w:r>
          </w:p>
        </w:tc>
        <w:tc>
          <w:tcPr>
            <w:tcW w:w="722" w:type="dxa"/>
          </w:tcPr>
          <w:p>
            <w:pPr>
              <w:spacing w:line="302" w:lineRule="exact"/>
              <w:rPr>
                <w:rFonts w:ascii="Times New Roman" w:hAnsi="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7" w:hRule="atLeast"/>
        </w:trPr>
        <w:tc>
          <w:tcPr>
            <w:tcW w:w="657"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5</w:t>
            </w:r>
          </w:p>
        </w:tc>
        <w:tc>
          <w:tcPr>
            <w:tcW w:w="1315" w:type="dxa"/>
            <w:vAlign w:val="center"/>
          </w:tcPr>
          <w:p>
            <w:pPr>
              <w:ind w:left="-19" w:leftChars="-9" w:firstLine="16" w:firstLineChars="8"/>
              <w:jc w:val="both"/>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组织架构</w:t>
            </w:r>
          </w:p>
        </w:tc>
        <w:tc>
          <w:tcPr>
            <w:tcW w:w="656"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t>分</w:t>
            </w:r>
          </w:p>
        </w:tc>
        <w:tc>
          <w:tcPr>
            <w:tcW w:w="5396" w:type="dxa"/>
          </w:tcPr>
          <w:p>
            <w:pPr>
              <w:rPr>
                <w:szCs w:val="21"/>
              </w:rPr>
            </w:pPr>
            <w:r>
              <w:rPr>
                <w:rFonts w:hint="eastAsia"/>
                <w:szCs w:val="21"/>
              </w:rPr>
              <w:t>根据投标人提供的人员管理架构：岗位人员配备、项目主要人员配置（如食堂管理员、食品安全管理员、消防员）、厨师、技术人员、员工等人员配置情况及合理性进行评价。</w:t>
            </w:r>
          </w:p>
          <w:p>
            <w:pPr>
              <w:rPr>
                <w:szCs w:val="21"/>
              </w:rPr>
            </w:pPr>
            <w:r>
              <w:rPr>
                <w:rFonts w:hint="eastAsia"/>
                <w:szCs w:val="21"/>
              </w:rPr>
              <w:t>优3分；良2分；一般1分；差0分。</w:t>
            </w:r>
          </w:p>
          <w:p>
            <w:pPr>
              <w:rPr>
                <w:szCs w:val="21"/>
              </w:rPr>
            </w:pPr>
            <w:r>
              <w:rPr>
                <w:rFonts w:hint="eastAsia"/>
                <w:szCs w:val="21"/>
              </w:rPr>
              <w:t>（以上人员须提供有效健康证和相关证书证明，原件备查。）</w:t>
            </w:r>
          </w:p>
        </w:tc>
        <w:tc>
          <w:tcPr>
            <w:tcW w:w="722" w:type="dxa"/>
          </w:tcPr>
          <w:p>
            <w:pPr>
              <w:spacing w:line="302" w:lineRule="exact"/>
              <w:rPr>
                <w:rFonts w:ascii="Times New Roman" w:hAnsi="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2" w:hRule="atLeast"/>
        </w:trPr>
        <w:tc>
          <w:tcPr>
            <w:tcW w:w="657"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6</w:t>
            </w:r>
          </w:p>
        </w:tc>
        <w:tc>
          <w:tcPr>
            <w:tcW w:w="1315" w:type="dxa"/>
            <w:vAlign w:val="center"/>
          </w:tcPr>
          <w:p>
            <w:pPr>
              <w:ind w:left="-19" w:leftChars="-9" w:firstLine="16" w:firstLineChars="8"/>
              <w:jc w:val="both"/>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经理、主管等管理人员配备</w:t>
            </w:r>
          </w:p>
        </w:tc>
        <w:tc>
          <w:tcPr>
            <w:tcW w:w="656"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2</w:t>
            </w:r>
            <w:r>
              <w:rPr>
                <w:rFonts w:hint="eastAsia" w:asciiTheme="majorEastAsia" w:hAnsiTheme="majorEastAsia" w:eastAsiaTheme="majorEastAsia" w:cstheme="majorEastAsia"/>
                <w:sz w:val="21"/>
                <w:szCs w:val="21"/>
              </w:rPr>
              <w:t>分</w:t>
            </w:r>
          </w:p>
        </w:tc>
        <w:tc>
          <w:tcPr>
            <w:tcW w:w="5396" w:type="dxa"/>
          </w:tcPr>
          <w:p>
            <w:pPr>
              <w:rPr>
                <w:szCs w:val="21"/>
              </w:rPr>
            </w:pPr>
            <w:r>
              <w:rPr>
                <w:rFonts w:hint="eastAsia"/>
                <w:szCs w:val="21"/>
              </w:rPr>
              <w:t>经理及主管人员，持大专学历及以上学历，得2分，中专学历得1分，不符合条件的，得0分。</w:t>
            </w:r>
          </w:p>
          <w:p>
            <w:pPr>
              <w:rPr>
                <w:szCs w:val="21"/>
              </w:rPr>
            </w:pPr>
            <w:r>
              <w:rPr>
                <w:rFonts w:hint="eastAsia"/>
                <w:szCs w:val="21"/>
              </w:rPr>
              <w:t>（以上人员须提供有效学历证书复印件加盖公章，原件备查。）</w:t>
            </w:r>
          </w:p>
        </w:tc>
        <w:tc>
          <w:tcPr>
            <w:tcW w:w="722" w:type="dxa"/>
          </w:tcPr>
          <w:p>
            <w:pPr>
              <w:spacing w:line="302" w:lineRule="exact"/>
              <w:rPr>
                <w:rFonts w:ascii="Times New Roman" w:hAnsi="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28" w:hRule="atLeast"/>
        </w:trPr>
        <w:tc>
          <w:tcPr>
            <w:tcW w:w="657"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7</w:t>
            </w:r>
          </w:p>
        </w:tc>
        <w:tc>
          <w:tcPr>
            <w:tcW w:w="1315" w:type="dxa"/>
            <w:vAlign w:val="center"/>
          </w:tcPr>
          <w:p>
            <w:pPr>
              <w:ind w:left="-19" w:leftChars="-9" w:firstLine="16" w:firstLineChars="8"/>
              <w:jc w:val="both"/>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技术人员配备</w:t>
            </w:r>
          </w:p>
        </w:tc>
        <w:tc>
          <w:tcPr>
            <w:tcW w:w="656"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t>分</w:t>
            </w:r>
          </w:p>
        </w:tc>
        <w:tc>
          <w:tcPr>
            <w:tcW w:w="5396" w:type="dxa"/>
          </w:tcPr>
          <w:p>
            <w:pPr>
              <w:rPr>
                <w:szCs w:val="21"/>
              </w:rPr>
            </w:pPr>
            <w:r>
              <w:rPr>
                <w:rFonts w:hint="eastAsia"/>
                <w:szCs w:val="21"/>
              </w:rPr>
              <w:t>技术人员（含厨师、面点师、营养师）配备评分。</w:t>
            </w:r>
          </w:p>
          <w:p>
            <w:pPr>
              <w:rPr>
                <w:szCs w:val="21"/>
              </w:rPr>
            </w:pPr>
            <w:r>
              <w:rPr>
                <w:rFonts w:hint="eastAsia"/>
                <w:szCs w:val="21"/>
              </w:rPr>
              <w:t>持有上述证件的技术人员上岗，每一人持证得1分，最高得3分。（需提供技术人员的资格、职称证明材料等复印件，并加盖单位公章。）</w:t>
            </w:r>
          </w:p>
        </w:tc>
        <w:tc>
          <w:tcPr>
            <w:tcW w:w="722" w:type="dxa"/>
          </w:tcPr>
          <w:p>
            <w:pPr>
              <w:spacing w:line="302" w:lineRule="exact"/>
              <w:rPr>
                <w:rFonts w:ascii="Times New Roman" w:hAnsi="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78" w:hRule="atLeast"/>
        </w:trPr>
        <w:tc>
          <w:tcPr>
            <w:tcW w:w="657"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8</w:t>
            </w:r>
          </w:p>
        </w:tc>
        <w:tc>
          <w:tcPr>
            <w:tcW w:w="1315" w:type="dxa"/>
            <w:vAlign w:val="center"/>
          </w:tcPr>
          <w:p>
            <w:pPr>
              <w:ind w:left="-19" w:leftChars="-9" w:firstLine="16" w:firstLineChars="8"/>
              <w:jc w:val="both"/>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项目负责人服务能力与培训教育</w:t>
            </w:r>
          </w:p>
        </w:tc>
        <w:tc>
          <w:tcPr>
            <w:tcW w:w="656"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4</w:t>
            </w:r>
            <w:r>
              <w:rPr>
                <w:rFonts w:hint="eastAsia" w:asciiTheme="majorEastAsia" w:hAnsiTheme="majorEastAsia" w:eastAsiaTheme="majorEastAsia" w:cstheme="majorEastAsia"/>
                <w:sz w:val="21"/>
                <w:szCs w:val="21"/>
              </w:rPr>
              <w:t>分</w:t>
            </w:r>
          </w:p>
        </w:tc>
        <w:tc>
          <w:tcPr>
            <w:tcW w:w="5396" w:type="dxa"/>
          </w:tcPr>
          <w:p>
            <w:pPr>
              <w:rPr>
                <w:szCs w:val="21"/>
              </w:rPr>
            </w:pPr>
            <w:r>
              <w:rPr>
                <w:rFonts w:hint="eastAsia"/>
                <w:szCs w:val="21"/>
              </w:rPr>
              <w:t>1、项目负责人获省高校后勤协会颁发的“高校后勤服务之星”荣誉证书。有，得2分；无，得0分。</w:t>
            </w:r>
          </w:p>
          <w:p>
            <w:pPr>
              <w:rPr>
                <w:szCs w:val="21"/>
              </w:rPr>
            </w:pPr>
            <w:r>
              <w:rPr>
                <w:rFonts w:hint="eastAsia"/>
                <w:szCs w:val="21"/>
              </w:rPr>
              <w:t>2、项目负责人获高级食品安全管理员证书且按规定参加培训学习。2018-2020年度3年均参加培训学习合格得2分；有证书培训不足3年得1分；无，得0分。</w:t>
            </w:r>
          </w:p>
          <w:p>
            <w:pPr>
              <w:rPr>
                <w:szCs w:val="21"/>
              </w:rPr>
            </w:pPr>
            <w:r>
              <w:rPr>
                <w:rFonts w:hint="eastAsia"/>
                <w:szCs w:val="21"/>
              </w:rPr>
              <w:t>（需提供证书及培训证明，单位社保缴交证明，原件备查）</w:t>
            </w:r>
          </w:p>
        </w:tc>
        <w:tc>
          <w:tcPr>
            <w:tcW w:w="722" w:type="dxa"/>
          </w:tcPr>
          <w:p>
            <w:pPr>
              <w:spacing w:line="302" w:lineRule="exact"/>
              <w:rPr>
                <w:rFonts w:ascii="Times New Roman" w:hAnsi="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4" w:hRule="atLeast"/>
        </w:trPr>
        <w:tc>
          <w:tcPr>
            <w:tcW w:w="657"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9</w:t>
            </w:r>
          </w:p>
        </w:tc>
        <w:tc>
          <w:tcPr>
            <w:tcW w:w="1315" w:type="dxa"/>
            <w:vAlign w:val="center"/>
          </w:tcPr>
          <w:p>
            <w:pPr>
              <w:ind w:left="-19" w:leftChars="-9" w:firstLine="16" w:firstLineChars="8"/>
              <w:jc w:val="center"/>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管理制度</w:t>
            </w:r>
          </w:p>
        </w:tc>
        <w:tc>
          <w:tcPr>
            <w:tcW w:w="656"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t>分</w:t>
            </w:r>
          </w:p>
        </w:tc>
        <w:tc>
          <w:tcPr>
            <w:tcW w:w="5396" w:type="dxa"/>
          </w:tcPr>
          <w:p>
            <w:pPr>
              <w:rPr>
                <w:szCs w:val="21"/>
              </w:rPr>
            </w:pPr>
            <w:r>
              <w:rPr>
                <w:rFonts w:hint="eastAsia"/>
                <w:szCs w:val="21"/>
              </w:rPr>
              <w:t>根据投标人各项管理制度的完善性、可行性、实用性等进行综合评价。优3分；良2分；一般1分；差0分。</w:t>
            </w:r>
          </w:p>
        </w:tc>
        <w:tc>
          <w:tcPr>
            <w:tcW w:w="722" w:type="dxa"/>
          </w:tcPr>
          <w:p>
            <w:pPr>
              <w:spacing w:line="302" w:lineRule="exact"/>
              <w:rPr>
                <w:rFonts w:ascii="Times New Roman" w:hAnsi="Times New Roman"/>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trPr>
        <w:tc>
          <w:tcPr>
            <w:tcW w:w="657"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10</w:t>
            </w:r>
          </w:p>
        </w:tc>
        <w:tc>
          <w:tcPr>
            <w:tcW w:w="1315" w:type="dxa"/>
            <w:vAlign w:val="center"/>
          </w:tcPr>
          <w:p>
            <w:pPr>
              <w:ind w:left="-19" w:leftChars="-9" w:firstLine="16" w:firstLineChars="8"/>
              <w:jc w:val="center"/>
              <w:rPr>
                <w:rFonts w:asciiTheme="majorEastAsia" w:hAnsiTheme="majorEastAsia" w:eastAsiaTheme="majorEastAsia" w:cstheme="majorEastAsia"/>
                <w:w w:val="99"/>
                <w:sz w:val="21"/>
                <w:szCs w:val="21"/>
              </w:rPr>
            </w:pPr>
            <w:r>
              <w:rPr>
                <w:rFonts w:hint="eastAsia" w:asciiTheme="majorEastAsia" w:hAnsiTheme="majorEastAsia" w:eastAsiaTheme="majorEastAsia" w:cstheme="majorEastAsia"/>
                <w:w w:val="99"/>
                <w:sz w:val="21"/>
                <w:szCs w:val="21"/>
              </w:rPr>
              <w:t>应急预案</w:t>
            </w:r>
          </w:p>
        </w:tc>
        <w:tc>
          <w:tcPr>
            <w:tcW w:w="656" w:type="dxa"/>
            <w:vAlign w:val="center"/>
          </w:tcPr>
          <w:p>
            <w:pPr>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t>分</w:t>
            </w:r>
          </w:p>
        </w:tc>
        <w:tc>
          <w:tcPr>
            <w:tcW w:w="5396" w:type="dxa"/>
          </w:tcPr>
          <w:p>
            <w:pPr>
              <w:rPr>
                <w:szCs w:val="21"/>
              </w:rPr>
            </w:pPr>
            <w:r>
              <w:rPr>
                <w:rFonts w:hint="eastAsia"/>
                <w:szCs w:val="21"/>
              </w:rPr>
              <w:t>根据投标人紧急事件处理预案的具体、全面、可行性进行综合评价。优3分；良2分；一般1分；差0分。</w:t>
            </w:r>
          </w:p>
        </w:tc>
        <w:tc>
          <w:tcPr>
            <w:tcW w:w="722" w:type="dxa"/>
          </w:tcPr>
          <w:p>
            <w:pPr>
              <w:spacing w:line="302" w:lineRule="exact"/>
              <w:rPr>
                <w:rFonts w:ascii="Times New Roman" w:hAnsi="Times New Roman"/>
                <w:sz w:val="21"/>
                <w:szCs w:val="21"/>
              </w:rPr>
            </w:pPr>
          </w:p>
        </w:tc>
      </w:tr>
    </w:tbl>
    <w:p>
      <w:pPr>
        <w:spacing w:line="360" w:lineRule="auto"/>
        <w:ind w:left="600"/>
        <w:rPr>
          <w:rFonts w:asciiTheme="majorEastAsia" w:hAnsiTheme="majorEastAsia" w:eastAsiaTheme="majorEastAsia"/>
          <w:sz w:val="28"/>
          <w:szCs w:val="28"/>
        </w:rPr>
      </w:pPr>
      <w:bookmarkStart w:id="4" w:name="page20"/>
      <w:bookmarkEnd w:id="4"/>
      <w:r>
        <w:rPr>
          <w:rFonts w:asciiTheme="majorEastAsia" w:hAnsiTheme="majorEastAsia" w:eastAsiaTheme="majorEastAsia"/>
          <w:sz w:val="28"/>
          <w:szCs w:val="28"/>
        </w:rPr>
        <w:t>（五）计算综合总分</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1.评委在评分表评分完毕并签名送交评标工作小组，由评标工作小组计算各投标的综合总得分（每部分得分计算以四舍五入的方式精确到小数点后两位）。</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2.综合评分相同的，按</w:t>
      </w:r>
      <w:r>
        <w:rPr>
          <w:rFonts w:hint="eastAsia" w:asciiTheme="majorEastAsia" w:hAnsiTheme="majorEastAsia" w:eastAsiaTheme="majorEastAsia"/>
          <w:sz w:val="28"/>
          <w:szCs w:val="28"/>
        </w:rPr>
        <w:t>技术、服务与承诺、商务的</w:t>
      </w:r>
      <w:r>
        <w:rPr>
          <w:rFonts w:asciiTheme="majorEastAsia" w:hAnsiTheme="majorEastAsia" w:eastAsiaTheme="majorEastAsia"/>
          <w:sz w:val="28"/>
          <w:szCs w:val="28"/>
        </w:rPr>
        <w:t>评分由高到低顺序排列。综合评分相同，且</w:t>
      </w:r>
      <w:r>
        <w:rPr>
          <w:rFonts w:hint="eastAsia" w:asciiTheme="majorEastAsia" w:hAnsiTheme="majorEastAsia" w:eastAsiaTheme="majorEastAsia"/>
          <w:sz w:val="28"/>
          <w:szCs w:val="28"/>
        </w:rPr>
        <w:t>技术、服务与承诺</w:t>
      </w:r>
      <w:r>
        <w:rPr>
          <w:rFonts w:asciiTheme="majorEastAsia" w:hAnsiTheme="majorEastAsia" w:eastAsiaTheme="majorEastAsia"/>
          <w:sz w:val="28"/>
          <w:szCs w:val="28"/>
        </w:rPr>
        <w:t>、</w:t>
      </w:r>
      <w:r>
        <w:rPr>
          <w:rFonts w:hint="eastAsia" w:asciiTheme="majorEastAsia" w:hAnsiTheme="majorEastAsia" w:eastAsiaTheme="majorEastAsia"/>
          <w:sz w:val="28"/>
          <w:szCs w:val="28"/>
        </w:rPr>
        <w:t>商务</w:t>
      </w:r>
      <w:r>
        <w:rPr>
          <w:rFonts w:asciiTheme="majorEastAsia" w:hAnsiTheme="majorEastAsia" w:eastAsiaTheme="majorEastAsia"/>
          <w:sz w:val="28"/>
          <w:szCs w:val="28"/>
        </w:rPr>
        <w:t>评分相同的，名次由评标小组抽签决定。</w:t>
      </w:r>
    </w:p>
    <w:p>
      <w:pPr>
        <w:spacing w:line="360" w:lineRule="auto"/>
        <w:ind w:left="600"/>
        <w:rPr>
          <w:rFonts w:asciiTheme="majorEastAsia" w:hAnsiTheme="majorEastAsia" w:eastAsiaTheme="majorEastAsia"/>
          <w:b/>
          <w:sz w:val="28"/>
          <w:szCs w:val="28"/>
        </w:rPr>
      </w:pPr>
      <w:r>
        <w:rPr>
          <w:rFonts w:asciiTheme="majorEastAsia" w:hAnsiTheme="majorEastAsia" w:eastAsiaTheme="majorEastAsia"/>
          <w:b/>
          <w:sz w:val="28"/>
          <w:szCs w:val="28"/>
        </w:rPr>
        <w:t>三、定标</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（1） 评标小组将综合总得分由高到低的排名顺序推荐第一名投标人为中标候选人</w:t>
      </w:r>
      <w:r>
        <w:rPr>
          <w:rFonts w:hint="eastAsia" w:asciiTheme="majorEastAsia" w:hAnsiTheme="majorEastAsia" w:eastAsiaTheme="majorEastAsia"/>
          <w:sz w:val="28"/>
          <w:szCs w:val="28"/>
        </w:rPr>
        <w:t>；</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（2）由招投标</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负责整理《评标报告书》,全体评委审核《评标报告书》并签名确认</w:t>
      </w:r>
      <w:r>
        <w:rPr>
          <w:rFonts w:hint="eastAsia" w:asciiTheme="majorEastAsia" w:hAnsiTheme="majorEastAsia" w:eastAsiaTheme="majorEastAsia"/>
          <w:sz w:val="28"/>
          <w:szCs w:val="28"/>
        </w:rPr>
        <w:t>；</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t>3</w:t>
      </w:r>
      <w:r>
        <w:rPr>
          <w:rFonts w:hint="eastAsia" w:asciiTheme="majorEastAsia" w:hAnsiTheme="majorEastAsia" w:eastAsiaTheme="majorEastAsia"/>
          <w:sz w:val="28"/>
          <w:szCs w:val="28"/>
        </w:rPr>
        <w:t>）报请相关部门审定；</w:t>
      </w:r>
    </w:p>
    <w:p>
      <w:pPr>
        <w:spacing w:line="360" w:lineRule="auto"/>
        <w:ind w:firstLine="560" w:firstLineChars="200"/>
        <w:rPr>
          <w:rFonts w:asciiTheme="majorEastAsia" w:hAnsiTheme="majorEastAsia" w:eastAsiaTheme="majorEastAsia"/>
          <w:sz w:val="28"/>
          <w:szCs w:val="28"/>
        </w:rPr>
      </w:pPr>
      <w:r>
        <w:rPr>
          <w:rFonts w:hint="eastAsia" w:asciiTheme="majorEastAsia" w:hAnsiTheme="majorEastAsia" w:eastAsiaTheme="majorEastAsia"/>
          <w:sz w:val="28"/>
          <w:szCs w:val="28"/>
        </w:rPr>
        <w:t>（</w:t>
      </w:r>
      <w:r>
        <w:rPr>
          <w:rFonts w:asciiTheme="majorEastAsia" w:hAnsiTheme="majorEastAsia" w:eastAsiaTheme="majorEastAsia"/>
          <w:sz w:val="28"/>
          <w:szCs w:val="28"/>
        </w:rPr>
        <w:t>4</w:t>
      </w:r>
      <w:r>
        <w:rPr>
          <w:rFonts w:hint="eastAsia" w:asciiTheme="majorEastAsia" w:hAnsiTheme="majorEastAsia" w:eastAsiaTheme="majorEastAsia"/>
          <w:sz w:val="28"/>
          <w:szCs w:val="28"/>
        </w:rPr>
        <w:t>）</w:t>
      </w:r>
      <w:r>
        <w:rPr>
          <w:rFonts w:asciiTheme="majorEastAsia" w:hAnsiTheme="majorEastAsia" w:eastAsiaTheme="majorEastAsia"/>
          <w:sz w:val="28"/>
          <w:szCs w:val="28"/>
        </w:rPr>
        <w:t>中标结果将在汕头大学</w:t>
      </w:r>
      <w:r>
        <w:rPr>
          <w:rFonts w:hint="eastAsia" w:asciiTheme="majorEastAsia" w:hAnsiTheme="majorEastAsia" w:eastAsiaTheme="majorEastAsia"/>
          <w:sz w:val="28"/>
          <w:szCs w:val="28"/>
        </w:rPr>
        <w:t>医学院</w:t>
      </w:r>
      <w:r>
        <w:rPr>
          <w:rFonts w:asciiTheme="majorEastAsia" w:hAnsiTheme="majorEastAsia" w:eastAsiaTheme="majorEastAsia"/>
          <w:sz w:val="28"/>
          <w:szCs w:val="28"/>
        </w:rPr>
        <w:t>主页（网址：</w:t>
      </w:r>
      <w:r>
        <w:rPr>
          <w:sz w:val="28"/>
          <w:szCs w:val="28"/>
        </w:rPr>
        <w:fldChar w:fldCharType="begin"/>
      </w:r>
      <w:r>
        <w:rPr>
          <w:sz w:val="28"/>
          <w:szCs w:val="28"/>
        </w:rPr>
        <w:instrText xml:space="preserve">HYPERLINK "http://www.med.stu.edu.cn/"</w:instrText>
      </w:r>
      <w:r>
        <w:rPr>
          <w:rStyle w:val="10"/>
          <w:sz w:val="28"/>
          <w:szCs w:val="28"/>
        </w:rPr>
        <w:fldChar w:fldCharType="separate"/>
      </w:r>
      <w:r>
        <w:rPr>
          <w:rStyle w:val="11"/>
          <w:rFonts w:asciiTheme="majorEastAsia" w:hAnsiTheme="majorEastAsia" w:eastAsiaTheme="majorEastAsia"/>
          <w:sz w:val="28"/>
          <w:szCs w:val="28"/>
        </w:rPr>
        <w:t>http://www.med.stu.edu.cn/招标信息专栏进行</w:t>
      </w:r>
      <w:r>
        <w:rPr>
          <w:rStyle w:val="11"/>
          <w:rFonts w:asciiTheme="majorEastAsia" w:hAnsiTheme="majorEastAsia" w:eastAsiaTheme="majorEastAsia"/>
          <w:sz w:val="28"/>
          <w:szCs w:val="28"/>
        </w:rPr>
        <w:fldChar w:fldCharType="end"/>
      </w:r>
      <w:r>
        <w:rPr>
          <w:sz w:val="28"/>
          <w:szCs w:val="28"/>
        </w:rPr>
        <w:fldChar w:fldCharType="begin"/>
      </w:r>
      <w:r>
        <w:rPr>
          <w:sz w:val="28"/>
          <w:szCs w:val="28"/>
        </w:rPr>
        <w:instrText xml:space="preserve"> HYPERLINK "http://www.stu.edu.cn/ï¼ææ ä¿¡æ¯ä¸æ è¿è¡å¬ç¤º" </w:instrText>
      </w:r>
      <w:r>
        <w:rPr>
          <w:rFonts w:asciiTheme="minorHAnsi" w:hAnsiTheme="minorHAnsi" w:eastAsiaTheme="minorEastAsia"/>
          <w:sz w:val="28"/>
          <w:szCs w:val="28"/>
          <w:u w:val="none"/>
        </w:rPr>
        <w:fldChar w:fldCharType="separate"/>
      </w:r>
      <w:r>
        <w:rPr>
          <w:rFonts w:asciiTheme="majorEastAsia" w:hAnsiTheme="majorEastAsia" w:eastAsiaTheme="majorEastAsia"/>
          <w:sz w:val="28"/>
          <w:szCs w:val="28"/>
          <w:u w:val="single"/>
        </w:rPr>
        <w:t>公示</w:t>
      </w:r>
      <w:r>
        <w:rPr>
          <w:rFonts w:asciiTheme="majorEastAsia" w:hAnsiTheme="majorEastAsia" w:eastAsiaTheme="majorEastAsia"/>
          <w:sz w:val="28"/>
          <w:szCs w:val="28"/>
          <w:u w:val="single"/>
        </w:rPr>
        <w:fldChar w:fldCharType="end"/>
      </w:r>
      <w:r>
        <w:rPr>
          <w:rFonts w:hint="eastAsia" w:asciiTheme="majorEastAsia" w:hAnsiTheme="majorEastAsia" w:eastAsiaTheme="majorEastAsia"/>
          <w:sz w:val="28"/>
          <w:szCs w:val="28"/>
        </w:rPr>
        <w:t>；</w:t>
      </w:r>
    </w:p>
    <w:p>
      <w:pPr>
        <w:spacing w:line="360" w:lineRule="auto"/>
        <w:ind w:firstLine="560" w:firstLineChars="200"/>
        <w:rPr>
          <w:rFonts w:asciiTheme="majorEastAsia" w:hAnsiTheme="majorEastAsia" w:eastAsiaTheme="majorEastAsia"/>
          <w:sz w:val="28"/>
          <w:szCs w:val="28"/>
        </w:rPr>
      </w:pPr>
      <w:r>
        <w:rPr>
          <w:rFonts w:asciiTheme="majorEastAsia" w:hAnsiTheme="majorEastAsia" w:eastAsiaTheme="majorEastAsia"/>
          <w:sz w:val="28"/>
          <w:szCs w:val="28"/>
        </w:rPr>
        <w:t>（5）对公示结果无质疑</w:t>
      </w:r>
      <w:r>
        <w:rPr>
          <w:rFonts w:hint="eastAsia" w:asciiTheme="majorEastAsia" w:hAnsiTheme="majorEastAsia" w:eastAsiaTheme="majorEastAsia"/>
          <w:sz w:val="28"/>
          <w:szCs w:val="28"/>
        </w:rPr>
        <w:t>、无</w:t>
      </w:r>
      <w:r>
        <w:rPr>
          <w:rFonts w:asciiTheme="majorEastAsia" w:hAnsiTheme="majorEastAsia" w:eastAsiaTheme="majorEastAsia"/>
          <w:sz w:val="28"/>
          <w:szCs w:val="28"/>
        </w:rPr>
        <w:t>投诉后，由招投标</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向中标人发出《中标通知书》，不在中标名单之列者即为落标人，招投标</w:t>
      </w:r>
      <w:r>
        <w:rPr>
          <w:rFonts w:hint="eastAsia" w:asciiTheme="majorEastAsia" w:hAnsiTheme="majorEastAsia" w:eastAsiaTheme="majorEastAsia"/>
          <w:sz w:val="28"/>
          <w:szCs w:val="28"/>
        </w:rPr>
        <w:t>小组</w:t>
      </w:r>
      <w:r>
        <w:rPr>
          <w:rFonts w:asciiTheme="majorEastAsia" w:hAnsiTheme="majorEastAsia" w:eastAsiaTheme="majorEastAsia"/>
          <w:sz w:val="28"/>
          <w:szCs w:val="28"/>
        </w:rPr>
        <w:t>不再以其它方式另行通</w:t>
      </w:r>
      <w:r>
        <w:rPr>
          <w:rFonts w:hint="eastAsia" w:asciiTheme="majorEastAsia" w:hAnsiTheme="majorEastAsia" w:eastAsiaTheme="majorEastAsia"/>
          <w:sz w:val="28"/>
          <w:szCs w:val="28"/>
        </w:rPr>
        <w:t>知。</w:t>
      </w:r>
    </w:p>
    <w:p>
      <w:pPr>
        <w:widowControl/>
        <w:jc w:val="left"/>
        <w:rPr>
          <w:rFonts w:asciiTheme="majorEastAsia" w:hAnsiTheme="majorEastAsia" w:eastAsiaTheme="majorEastAsia"/>
          <w:sz w:val="28"/>
          <w:szCs w:val="28"/>
        </w:rPr>
      </w:pPr>
      <w:r>
        <w:rPr>
          <w:rFonts w:asciiTheme="majorEastAsia" w:hAnsiTheme="majorEastAsia" w:eastAsiaTheme="majorEastAsia"/>
          <w:sz w:val="28"/>
          <w:szCs w:val="28"/>
        </w:rPr>
        <w:br w:type="page"/>
      </w:r>
    </w:p>
    <w:p>
      <w:pPr>
        <w:spacing w:line="500" w:lineRule="exact"/>
        <w:rPr>
          <w:rFonts w:asciiTheme="majorEastAsia" w:hAnsiTheme="majorEastAsia" w:eastAsiaTheme="majorEastAsia"/>
          <w:b/>
          <w:sz w:val="32"/>
          <w:szCs w:val="32"/>
        </w:rPr>
      </w:pPr>
      <w:r>
        <w:rPr>
          <w:rFonts w:asciiTheme="majorEastAsia" w:hAnsiTheme="majorEastAsia" w:eastAsiaTheme="majorEastAsia"/>
          <w:b/>
          <w:sz w:val="32"/>
          <w:szCs w:val="32"/>
        </w:rPr>
        <w:t>附件 1</w:t>
      </w:r>
    </w:p>
    <w:p>
      <w:pPr>
        <w:spacing w:line="500" w:lineRule="exact"/>
        <w:ind w:left="0"/>
        <w:jc w:val="center"/>
        <w:rPr>
          <w:rFonts w:asciiTheme="majorEastAsia" w:hAnsiTheme="majorEastAsia" w:eastAsiaTheme="majorEastAsia"/>
          <w:b/>
          <w:sz w:val="32"/>
          <w:szCs w:val="32"/>
        </w:rPr>
      </w:pPr>
      <w:r>
        <w:rPr>
          <w:rFonts w:asciiTheme="majorEastAsia" w:hAnsiTheme="majorEastAsia" w:eastAsiaTheme="majorEastAsia"/>
          <w:b/>
          <w:sz w:val="32"/>
          <w:szCs w:val="32"/>
        </w:rPr>
        <w:t>投</w:t>
      </w:r>
      <w:r>
        <w:rPr>
          <w:rFonts w:hint="eastAsia" w:asciiTheme="majorEastAsia" w:hAnsiTheme="majorEastAsia" w:eastAsiaTheme="majorEastAsia"/>
          <w:b/>
          <w:sz w:val="32"/>
          <w:szCs w:val="32"/>
        </w:rPr>
        <w:t xml:space="preserve"> </w:t>
      </w:r>
      <w:r>
        <w:rPr>
          <w:rFonts w:asciiTheme="majorEastAsia" w:hAnsiTheme="majorEastAsia" w:eastAsiaTheme="majorEastAsia"/>
          <w:b/>
          <w:sz w:val="32"/>
          <w:szCs w:val="32"/>
        </w:rPr>
        <w:t xml:space="preserve"> 标</w:t>
      </w:r>
      <w:r>
        <w:rPr>
          <w:rFonts w:hint="eastAsia" w:asciiTheme="majorEastAsia" w:hAnsiTheme="majorEastAsia" w:eastAsiaTheme="majorEastAsia"/>
          <w:b/>
          <w:sz w:val="32"/>
          <w:szCs w:val="32"/>
        </w:rPr>
        <w:t xml:space="preserve"> </w:t>
      </w:r>
      <w:r>
        <w:rPr>
          <w:rFonts w:asciiTheme="majorEastAsia" w:hAnsiTheme="majorEastAsia" w:eastAsiaTheme="majorEastAsia"/>
          <w:b/>
          <w:sz w:val="32"/>
          <w:szCs w:val="32"/>
        </w:rPr>
        <w:t xml:space="preserve"> 函</w:t>
      </w:r>
    </w:p>
    <w:p>
      <w:pPr>
        <w:spacing w:line="500" w:lineRule="exact"/>
        <w:rPr>
          <w:rFonts w:asciiTheme="majorEastAsia" w:hAnsiTheme="majorEastAsia" w:eastAsiaTheme="majorEastAsia"/>
          <w:sz w:val="30"/>
          <w:szCs w:val="30"/>
        </w:rPr>
      </w:pPr>
    </w:p>
    <w:p>
      <w:pPr>
        <w:spacing w:line="500" w:lineRule="exact"/>
        <w:rPr>
          <w:rFonts w:asciiTheme="majorEastAsia" w:hAnsiTheme="majorEastAsia" w:eastAsiaTheme="majorEastAsia"/>
          <w:sz w:val="30"/>
          <w:szCs w:val="30"/>
        </w:rPr>
      </w:pPr>
      <w:r>
        <w:rPr>
          <w:rFonts w:asciiTheme="majorEastAsia" w:hAnsiTheme="majorEastAsia" w:eastAsiaTheme="majorEastAsia"/>
          <w:sz w:val="30"/>
          <w:szCs w:val="30"/>
        </w:rPr>
        <w:t>汕头大学</w:t>
      </w:r>
      <w:r>
        <w:rPr>
          <w:rFonts w:hint="eastAsia" w:asciiTheme="majorEastAsia" w:hAnsiTheme="majorEastAsia" w:eastAsiaTheme="majorEastAsia"/>
          <w:sz w:val="30"/>
          <w:szCs w:val="30"/>
        </w:rPr>
        <w:t>医学院食堂承包经营服务项目</w:t>
      </w:r>
      <w:r>
        <w:rPr>
          <w:rFonts w:asciiTheme="majorEastAsia" w:hAnsiTheme="majorEastAsia" w:eastAsiaTheme="majorEastAsia"/>
          <w:sz w:val="30"/>
          <w:szCs w:val="30"/>
        </w:rPr>
        <w:t>招标</w:t>
      </w:r>
      <w:r>
        <w:rPr>
          <w:rFonts w:hint="eastAsia" w:asciiTheme="majorEastAsia" w:hAnsiTheme="majorEastAsia" w:eastAsiaTheme="majorEastAsia"/>
          <w:sz w:val="30"/>
          <w:szCs w:val="30"/>
        </w:rPr>
        <w:t>小组</w:t>
      </w:r>
      <w:r>
        <w:rPr>
          <w:rFonts w:asciiTheme="majorEastAsia" w:hAnsiTheme="majorEastAsia" w:eastAsiaTheme="majorEastAsia"/>
          <w:sz w:val="30"/>
          <w:szCs w:val="30"/>
        </w:rPr>
        <w:t>：</w:t>
      </w:r>
    </w:p>
    <w:p>
      <w:pPr>
        <w:spacing w:line="500" w:lineRule="exact"/>
        <w:ind w:firstLine="600" w:firstLineChars="200"/>
        <w:rPr>
          <w:rFonts w:asciiTheme="majorEastAsia" w:hAnsiTheme="majorEastAsia" w:eastAsiaTheme="majorEastAsia"/>
          <w:sz w:val="30"/>
          <w:szCs w:val="30"/>
        </w:rPr>
      </w:pPr>
      <w:r>
        <w:rPr>
          <w:rFonts w:asciiTheme="majorEastAsia" w:hAnsiTheme="majorEastAsia" w:eastAsiaTheme="majorEastAsia"/>
          <w:sz w:val="30"/>
          <w:szCs w:val="30"/>
        </w:rPr>
        <w:t>我方确认收到贵方提供的“汕头大学</w:t>
      </w:r>
      <w:r>
        <w:rPr>
          <w:rFonts w:hint="eastAsia" w:asciiTheme="majorEastAsia" w:hAnsiTheme="majorEastAsia" w:eastAsiaTheme="majorEastAsia"/>
          <w:sz w:val="30"/>
          <w:szCs w:val="30"/>
        </w:rPr>
        <w:t>医学院学生</w:t>
      </w:r>
      <w:r>
        <w:rPr>
          <w:rFonts w:asciiTheme="majorEastAsia" w:hAnsiTheme="majorEastAsia" w:eastAsiaTheme="majorEastAsia"/>
          <w:sz w:val="30"/>
          <w:szCs w:val="30"/>
        </w:rPr>
        <w:t>食堂承包经营服务项目</w:t>
      </w:r>
      <w:r>
        <w:rPr>
          <w:rFonts w:hint="eastAsia" w:asciiTheme="majorEastAsia" w:hAnsiTheme="majorEastAsia" w:eastAsiaTheme="majorEastAsia"/>
          <w:sz w:val="30"/>
          <w:szCs w:val="30"/>
        </w:rPr>
        <w:t>”</w:t>
      </w:r>
      <w:r>
        <w:rPr>
          <w:rFonts w:asciiTheme="majorEastAsia" w:hAnsiTheme="majorEastAsia" w:eastAsiaTheme="majorEastAsia"/>
          <w:sz w:val="30"/>
          <w:szCs w:val="30"/>
        </w:rPr>
        <w:t>的招标文件，我方愿意参与投标。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我方已完全明白招标文件的所有条款要求，据此我方申明如下：</w:t>
      </w:r>
    </w:p>
    <w:p>
      <w:pPr>
        <w:spacing w:line="5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一、</w:t>
      </w:r>
      <w:r>
        <w:rPr>
          <w:rFonts w:asciiTheme="majorEastAsia" w:hAnsiTheme="majorEastAsia" w:eastAsiaTheme="majorEastAsia"/>
          <w:sz w:val="30"/>
          <w:szCs w:val="30"/>
        </w:rPr>
        <w:t>我方承诺按</w:t>
      </w:r>
      <w:r>
        <w:rPr>
          <w:rFonts w:hint="eastAsia" w:asciiTheme="majorEastAsia" w:hAnsiTheme="majorEastAsia" w:eastAsiaTheme="majorEastAsia"/>
          <w:sz w:val="30"/>
          <w:szCs w:val="30"/>
        </w:rPr>
        <w:t>中标</w:t>
      </w:r>
      <w:r>
        <w:rPr>
          <w:rFonts w:asciiTheme="majorEastAsia" w:hAnsiTheme="majorEastAsia" w:eastAsiaTheme="majorEastAsia"/>
          <w:sz w:val="30"/>
          <w:szCs w:val="30"/>
        </w:rPr>
        <w:t>食堂</w:t>
      </w:r>
      <w:r>
        <w:rPr>
          <w:rFonts w:hint="eastAsia" w:asciiTheme="majorEastAsia" w:hAnsiTheme="majorEastAsia" w:eastAsiaTheme="majorEastAsia"/>
          <w:sz w:val="30"/>
          <w:szCs w:val="30"/>
        </w:rPr>
        <w:t>每月</w:t>
      </w:r>
      <w:r>
        <w:rPr>
          <w:rFonts w:asciiTheme="majorEastAsia" w:hAnsiTheme="majorEastAsia" w:eastAsiaTheme="majorEastAsia"/>
          <w:sz w:val="30"/>
          <w:szCs w:val="30"/>
        </w:rPr>
        <w:t>营业额的</w:t>
      </w:r>
      <w:r>
        <w:rPr>
          <w:rFonts w:asciiTheme="majorEastAsia" w:hAnsiTheme="majorEastAsia" w:eastAsiaTheme="majorEastAsia"/>
          <w:b/>
          <w:sz w:val="30"/>
          <w:szCs w:val="30"/>
        </w:rPr>
        <w:t xml:space="preserve"> </w:t>
      </w:r>
      <w:r>
        <w:rPr>
          <w:rFonts w:hint="eastAsia" w:asciiTheme="majorEastAsia" w:hAnsiTheme="majorEastAsia" w:eastAsiaTheme="majorEastAsia"/>
          <w:b/>
          <w:sz w:val="30"/>
          <w:szCs w:val="30"/>
        </w:rPr>
        <w:t>5</w:t>
      </w:r>
      <w:r>
        <w:rPr>
          <w:rFonts w:asciiTheme="majorEastAsia" w:hAnsiTheme="majorEastAsia" w:eastAsiaTheme="majorEastAsia"/>
          <w:b/>
          <w:sz w:val="30"/>
          <w:szCs w:val="30"/>
        </w:rPr>
        <w:t>%</w:t>
      </w:r>
      <w:r>
        <w:rPr>
          <w:rFonts w:hint="eastAsia" w:asciiTheme="majorEastAsia" w:hAnsiTheme="majorEastAsia" w:eastAsiaTheme="majorEastAsia"/>
          <w:b/>
          <w:sz w:val="30"/>
          <w:szCs w:val="30"/>
        </w:rPr>
        <w:t xml:space="preserve"> </w:t>
      </w:r>
      <w:r>
        <w:rPr>
          <w:rFonts w:hint="eastAsia" w:asciiTheme="majorEastAsia" w:hAnsiTheme="majorEastAsia" w:eastAsiaTheme="majorEastAsia"/>
          <w:sz w:val="30"/>
          <w:szCs w:val="30"/>
        </w:rPr>
        <w:t>缴</w:t>
      </w:r>
      <w:r>
        <w:rPr>
          <w:rFonts w:asciiTheme="majorEastAsia" w:hAnsiTheme="majorEastAsia" w:eastAsiaTheme="majorEastAsia"/>
          <w:sz w:val="30"/>
          <w:szCs w:val="30"/>
        </w:rPr>
        <w:t>交校方作为食堂</w:t>
      </w:r>
      <w:r>
        <w:rPr>
          <w:rFonts w:hint="eastAsia" w:asciiTheme="majorEastAsia" w:hAnsiTheme="majorEastAsia" w:eastAsiaTheme="majorEastAsia"/>
          <w:sz w:val="30"/>
          <w:szCs w:val="30"/>
        </w:rPr>
        <w:t>设备</w:t>
      </w:r>
      <w:r>
        <w:rPr>
          <w:rFonts w:asciiTheme="majorEastAsia" w:hAnsiTheme="majorEastAsia" w:eastAsiaTheme="majorEastAsia"/>
          <w:sz w:val="30"/>
          <w:szCs w:val="30"/>
        </w:rPr>
        <w:t>维修基金。</w:t>
      </w:r>
    </w:p>
    <w:p>
      <w:pPr>
        <w:spacing w:line="5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二、</w:t>
      </w:r>
      <w:r>
        <w:rPr>
          <w:rFonts w:asciiTheme="majorEastAsia" w:hAnsiTheme="majorEastAsia" w:eastAsiaTheme="majorEastAsia"/>
          <w:sz w:val="30"/>
          <w:szCs w:val="30"/>
        </w:rPr>
        <w:t>我方同意按照贵方可能提出的要求而提供与投标有关的任何其它数据、信息或资料。</w:t>
      </w:r>
    </w:p>
    <w:p>
      <w:pPr>
        <w:spacing w:line="5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三、</w:t>
      </w:r>
      <w:r>
        <w:rPr>
          <w:rFonts w:asciiTheme="majorEastAsia" w:hAnsiTheme="majorEastAsia" w:eastAsiaTheme="majorEastAsia"/>
          <w:sz w:val="30"/>
          <w:szCs w:val="30"/>
        </w:rPr>
        <w:t>我方如果中标，将保证履行招标文件中的全部责任和义务，按质、按量、按期完成《用户需求书》及《合同书》中的全部任务。</w:t>
      </w:r>
    </w:p>
    <w:p>
      <w:pPr>
        <w:spacing w:line="5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四、</w:t>
      </w:r>
      <w:r>
        <w:rPr>
          <w:rFonts w:asciiTheme="majorEastAsia" w:hAnsiTheme="majorEastAsia" w:eastAsiaTheme="majorEastAsia"/>
          <w:sz w:val="30"/>
          <w:szCs w:val="30"/>
        </w:rPr>
        <w:t>我方作为在法律、财务和运作上独立于招标人的投标供应商，在此保证所提交的所有文件和全部说明是真实的和正确的。</w:t>
      </w:r>
    </w:p>
    <w:p>
      <w:pPr>
        <w:spacing w:line="5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五、</w:t>
      </w:r>
      <w:r>
        <w:rPr>
          <w:rFonts w:asciiTheme="majorEastAsia" w:hAnsiTheme="majorEastAsia" w:eastAsiaTheme="majorEastAsia"/>
          <w:sz w:val="30"/>
          <w:szCs w:val="30"/>
        </w:rPr>
        <w:t>我方承诺严格执行《中华人民共和国食品安全法》、《食品安全法实施条例》、《食品经营许可管理办法》、《餐饮服务食品安全操作规范》、《餐饮业和集体用餐配送单位卫生规范》、《学校食物中毒事故行政责任追究暂行规定》和《广东省学校食堂与学生集体用餐卫生管理规定》、《广东省学校食堂食品安全管理规定》、《高等学校引入承包者承办学生食堂管理规范》等有关饮食卫生规定，严格按照《汕头大学</w:t>
      </w:r>
      <w:r>
        <w:rPr>
          <w:rFonts w:hint="eastAsia" w:asciiTheme="majorEastAsia" w:hAnsiTheme="majorEastAsia" w:eastAsiaTheme="majorEastAsia"/>
          <w:sz w:val="30"/>
          <w:szCs w:val="30"/>
        </w:rPr>
        <w:t>医学院</w:t>
      </w:r>
      <w:r>
        <w:rPr>
          <w:rFonts w:asciiTheme="majorEastAsia" w:hAnsiTheme="majorEastAsia" w:eastAsiaTheme="majorEastAsia"/>
          <w:sz w:val="30"/>
          <w:szCs w:val="30"/>
        </w:rPr>
        <w:t>食堂管理实施细则》的管理要求进行经营，并承诺按《细则》的具体规定执行，防止出现饮食事故，做好安全生产和安全防火工作，防止重大责任事故发生。</w:t>
      </w:r>
    </w:p>
    <w:p>
      <w:pPr>
        <w:tabs>
          <w:tab w:val="left" w:pos="1840"/>
        </w:tabs>
        <w:spacing w:line="5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六、</w:t>
      </w:r>
      <w:r>
        <w:rPr>
          <w:rFonts w:asciiTheme="majorEastAsia" w:hAnsiTheme="majorEastAsia" w:eastAsiaTheme="majorEastAsia"/>
          <w:sz w:val="30"/>
          <w:szCs w:val="30"/>
        </w:rPr>
        <w:t>我方与其他投标供应商不存在单位负责人为同一人或者存在直接控股、管理关系。</w:t>
      </w:r>
    </w:p>
    <w:p>
      <w:pPr>
        <w:spacing w:line="5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七、</w:t>
      </w:r>
      <w:r>
        <w:rPr>
          <w:rFonts w:asciiTheme="majorEastAsia" w:hAnsiTheme="majorEastAsia" w:eastAsiaTheme="majorEastAsia"/>
          <w:sz w:val="30"/>
          <w:szCs w:val="30"/>
        </w:rPr>
        <w:t>我方承诺未为本项目提供整体设计、规范编制或者项目管理、监理、检测等服务。</w:t>
      </w:r>
    </w:p>
    <w:p>
      <w:pPr>
        <w:spacing w:line="500" w:lineRule="exact"/>
        <w:ind w:left="600"/>
        <w:rPr>
          <w:rFonts w:asciiTheme="majorEastAsia" w:hAnsiTheme="majorEastAsia" w:eastAsiaTheme="majorEastAsia"/>
          <w:sz w:val="30"/>
          <w:szCs w:val="30"/>
        </w:rPr>
      </w:pPr>
      <w:r>
        <w:rPr>
          <w:rFonts w:hint="eastAsia" w:asciiTheme="majorEastAsia" w:hAnsiTheme="majorEastAsia" w:eastAsiaTheme="majorEastAsia"/>
          <w:sz w:val="30"/>
          <w:szCs w:val="30"/>
        </w:rPr>
        <w:t>八、</w:t>
      </w:r>
      <w:r>
        <w:rPr>
          <w:rFonts w:asciiTheme="majorEastAsia" w:hAnsiTheme="majorEastAsia" w:eastAsiaTheme="majorEastAsia"/>
          <w:sz w:val="30"/>
          <w:szCs w:val="30"/>
        </w:rPr>
        <w:t>我方具备《政府采购法》第二十二条规定的条件，承诺如下：</w:t>
      </w:r>
    </w:p>
    <w:p>
      <w:pPr>
        <w:spacing w:line="500" w:lineRule="exact"/>
        <w:ind w:left="600"/>
        <w:rPr>
          <w:rFonts w:asciiTheme="majorEastAsia" w:hAnsiTheme="majorEastAsia" w:eastAsiaTheme="majorEastAsia"/>
          <w:sz w:val="30"/>
          <w:szCs w:val="30"/>
        </w:rPr>
      </w:pPr>
      <w:r>
        <w:rPr>
          <w:rFonts w:asciiTheme="majorEastAsia" w:hAnsiTheme="majorEastAsia" w:eastAsiaTheme="majorEastAsia"/>
          <w:sz w:val="30"/>
          <w:szCs w:val="30"/>
        </w:rPr>
        <w:t>（1）我方参加本项目前 3 年内在经营活动中没有重大违法记录。</w:t>
      </w:r>
    </w:p>
    <w:p>
      <w:pPr>
        <w:spacing w:line="500" w:lineRule="exact"/>
        <w:ind w:left="600"/>
        <w:rPr>
          <w:rFonts w:asciiTheme="majorEastAsia" w:hAnsiTheme="majorEastAsia" w:eastAsiaTheme="majorEastAsia"/>
          <w:sz w:val="30"/>
          <w:szCs w:val="30"/>
        </w:rPr>
      </w:pPr>
      <w:r>
        <w:rPr>
          <w:rFonts w:asciiTheme="majorEastAsia" w:hAnsiTheme="majorEastAsia" w:eastAsiaTheme="majorEastAsia"/>
          <w:sz w:val="30"/>
          <w:szCs w:val="30"/>
        </w:rPr>
        <w:t>（2）我方符合法律、行政法规规定的其他条件。</w:t>
      </w:r>
    </w:p>
    <w:p>
      <w:pPr>
        <w:spacing w:line="500" w:lineRule="exact"/>
        <w:ind w:firstLine="600" w:firstLineChars="200"/>
        <w:rPr>
          <w:rFonts w:asciiTheme="majorEastAsia" w:hAnsiTheme="majorEastAsia" w:eastAsiaTheme="majorEastAsia"/>
          <w:sz w:val="30"/>
          <w:szCs w:val="30"/>
        </w:rPr>
      </w:pPr>
      <w:r>
        <w:rPr>
          <w:rFonts w:asciiTheme="majorEastAsia" w:hAnsiTheme="majorEastAsia" w:eastAsiaTheme="majorEastAsia"/>
          <w:sz w:val="30"/>
          <w:szCs w:val="30"/>
        </w:rPr>
        <w:t>以上内容如有虚假或与事实不符的，评标小组可将我方做无效投标处理，我方愿意承担相应的法律责任。</w:t>
      </w:r>
    </w:p>
    <w:p>
      <w:pPr>
        <w:spacing w:line="500" w:lineRule="exact"/>
        <w:ind w:firstLine="600" w:firstLineChars="200"/>
        <w:rPr>
          <w:rFonts w:asciiTheme="majorEastAsia" w:hAnsiTheme="majorEastAsia" w:eastAsiaTheme="majorEastAsia"/>
          <w:sz w:val="30"/>
          <w:szCs w:val="30"/>
        </w:rPr>
      </w:pPr>
      <w:r>
        <w:rPr>
          <w:rFonts w:hint="eastAsia" w:asciiTheme="majorEastAsia" w:hAnsiTheme="majorEastAsia" w:eastAsiaTheme="majorEastAsia"/>
          <w:sz w:val="30"/>
          <w:szCs w:val="30"/>
        </w:rPr>
        <w:t>九、</w:t>
      </w:r>
      <w:r>
        <w:rPr>
          <w:rFonts w:asciiTheme="majorEastAsia" w:hAnsiTheme="majorEastAsia" w:eastAsiaTheme="majorEastAsia"/>
          <w:sz w:val="30"/>
          <w:szCs w:val="30"/>
        </w:rPr>
        <w:t>所有与本招标有关的函件请发往下列地址：</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地址：______________________________</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邮政编码：__________________</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电话：___________________</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传真：___________________</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代表姓名：__________________  职务_________________</w:t>
      </w:r>
    </w:p>
    <w:p>
      <w:pPr>
        <w:spacing w:line="500" w:lineRule="exact"/>
        <w:rPr>
          <w:rFonts w:asciiTheme="majorEastAsia" w:hAnsiTheme="majorEastAsia" w:eastAsiaTheme="majorEastAsia"/>
          <w:sz w:val="30"/>
          <w:szCs w:val="30"/>
        </w:rPr>
      </w:pPr>
      <w:r>
        <w:rPr>
          <w:rFonts w:asciiTheme="majorEastAsia" w:hAnsiTheme="majorEastAsia" w:eastAsiaTheme="majorEastAsia"/>
          <w:sz w:val="30"/>
          <w:szCs w:val="30"/>
        </w:rPr>
        <w:t>投标</w:t>
      </w:r>
      <w:r>
        <w:rPr>
          <w:rFonts w:hint="eastAsia" w:asciiTheme="majorEastAsia" w:hAnsiTheme="majorEastAsia" w:eastAsiaTheme="majorEastAsia"/>
          <w:sz w:val="30"/>
          <w:szCs w:val="30"/>
        </w:rPr>
        <w:t>方</w:t>
      </w:r>
      <w:r>
        <w:rPr>
          <w:rFonts w:asciiTheme="majorEastAsia" w:hAnsiTheme="majorEastAsia" w:eastAsiaTheme="majorEastAsia"/>
          <w:sz w:val="30"/>
          <w:szCs w:val="30"/>
        </w:rPr>
        <w:t>法定代表人（或法定代表人授权代表）签字或盖章：</w:t>
      </w:r>
    </w:p>
    <w:p>
      <w:pPr>
        <w:spacing w:line="500" w:lineRule="exact"/>
        <w:rPr>
          <w:rFonts w:asciiTheme="majorEastAsia" w:hAnsiTheme="majorEastAsia" w:eastAsiaTheme="majorEastAsia"/>
          <w:sz w:val="30"/>
          <w:szCs w:val="30"/>
        </w:rPr>
      </w:pPr>
    </w:p>
    <w:p>
      <w:pPr>
        <w:spacing w:line="500" w:lineRule="exact"/>
        <w:rPr>
          <w:rFonts w:asciiTheme="majorEastAsia" w:hAnsiTheme="majorEastAsia" w:eastAsiaTheme="majorEastAsia"/>
          <w:sz w:val="30"/>
          <w:szCs w:val="30"/>
        </w:rPr>
      </w:pPr>
      <w:r>
        <w:rPr>
          <w:rFonts w:asciiTheme="majorEastAsia" w:hAnsiTheme="majorEastAsia" w:eastAsiaTheme="majorEastAsia"/>
          <w:sz w:val="30"/>
          <w:szCs w:val="30"/>
        </w:rPr>
        <w:t>投标</w:t>
      </w:r>
      <w:r>
        <w:rPr>
          <w:rFonts w:hint="eastAsia" w:asciiTheme="majorEastAsia" w:hAnsiTheme="majorEastAsia" w:eastAsiaTheme="majorEastAsia"/>
          <w:sz w:val="30"/>
          <w:szCs w:val="30"/>
        </w:rPr>
        <w:t>人</w:t>
      </w:r>
      <w:r>
        <w:rPr>
          <w:rFonts w:asciiTheme="majorEastAsia" w:hAnsiTheme="majorEastAsia" w:eastAsiaTheme="majorEastAsia"/>
          <w:sz w:val="30"/>
          <w:szCs w:val="30"/>
        </w:rPr>
        <w:t>名称:（盖章）</w:t>
      </w:r>
    </w:p>
    <w:p>
      <w:pPr>
        <w:spacing w:line="500" w:lineRule="exact"/>
        <w:rPr>
          <w:rFonts w:asciiTheme="majorEastAsia" w:hAnsiTheme="majorEastAsia" w:eastAsiaTheme="majorEastAsia"/>
          <w:sz w:val="30"/>
          <w:szCs w:val="30"/>
        </w:rPr>
      </w:pPr>
      <w:r>
        <w:rPr>
          <w:rFonts w:asciiTheme="majorEastAsia" w:hAnsiTheme="majorEastAsia" w:eastAsiaTheme="majorEastAsia"/>
          <w:sz w:val="30"/>
          <w:szCs w:val="30"/>
        </w:rPr>
        <w:pict>
          <v:line id="直接连接符 2" o:spid="_x0000_s2083" o:spt="20" style="position:absolute;left:0pt;margin-left:150.75pt;margin-top:0.3pt;height:0pt;width:147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">
            <v:path arrowok="t"/>
            <v:fill focussize="0,0"/>
            <v:stroke weight="0.6pt"/>
            <v:imagedata o:title=""/>
            <o:lock v:ext="edit"/>
          </v:line>
        </w:pict>
      </w:r>
    </w:p>
    <w:p>
      <w:pPr>
        <w:tabs>
          <w:tab w:val="left" w:pos="1881"/>
          <w:tab w:val="left" w:pos="2580"/>
        </w:tabs>
        <w:spacing w:line="500" w:lineRule="exact"/>
        <w:ind w:left="630" w:leftChars="300" w:firstLine="3150" w:firstLineChars="1050"/>
        <w:rPr>
          <w:rFonts w:asciiTheme="majorEastAsia" w:hAnsiTheme="majorEastAsia" w:eastAsiaTheme="majorEastAsia"/>
          <w:sz w:val="30"/>
          <w:szCs w:val="30"/>
        </w:rPr>
      </w:pPr>
    </w:p>
    <w:p>
      <w:pPr>
        <w:tabs>
          <w:tab w:val="left" w:pos="1881"/>
          <w:tab w:val="left" w:pos="2580"/>
        </w:tabs>
        <w:spacing w:line="500" w:lineRule="exact"/>
        <w:ind w:left="630" w:leftChars="300" w:firstLine="4050" w:firstLineChars="1350"/>
        <w:rPr>
          <w:rFonts w:asciiTheme="majorEastAsia" w:hAnsiTheme="majorEastAsia" w:eastAsiaTheme="majorEastAsia"/>
          <w:sz w:val="30"/>
          <w:szCs w:val="30"/>
        </w:rPr>
      </w:pPr>
      <w:r>
        <w:rPr>
          <w:rFonts w:asciiTheme="majorEastAsia" w:hAnsiTheme="majorEastAsia" w:eastAsiaTheme="majorEastAsia"/>
          <w:sz w:val="30"/>
          <w:szCs w:val="30"/>
        </w:rPr>
        <w:t>日期：</w:t>
      </w:r>
      <w:r>
        <w:rPr>
          <w:rFonts w:asciiTheme="majorEastAsia" w:hAnsiTheme="majorEastAsia" w:eastAsiaTheme="majorEastAsia"/>
          <w:sz w:val="30"/>
          <w:szCs w:val="30"/>
        </w:rPr>
        <w:tab/>
      </w:r>
      <w:r>
        <w:rPr>
          <w:rFonts w:hint="eastAsia" w:asciiTheme="majorEastAsia" w:hAnsiTheme="majorEastAsia" w:eastAsiaTheme="majorEastAsia"/>
          <w:sz w:val="30"/>
          <w:szCs w:val="30"/>
        </w:rPr>
        <w:t xml:space="preserve">   </w:t>
      </w:r>
      <w:r>
        <w:rPr>
          <w:rFonts w:asciiTheme="majorEastAsia" w:hAnsiTheme="majorEastAsia" w:eastAsiaTheme="majorEastAsia"/>
          <w:sz w:val="30"/>
          <w:szCs w:val="30"/>
        </w:rPr>
        <w:t>年</w:t>
      </w:r>
      <w:r>
        <w:rPr>
          <w:rFonts w:hint="eastAsia" w:asciiTheme="majorEastAsia" w:hAnsiTheme="majorEastAsia" w:eastAsiaTheme="majorEastAsia"/>
          <w:sz w:val="30"/>
          <w:szCs w:val="30"/>
        </w:rPr>
        <w:t xml:space="preserve">   </w:t>
      </w:r>
      <w:r>
        <w:rPr>
          <w:rFonts w:asciiTheme="majorEastAsia" w:hAnsiTheme="majorEastAsia" w:eastAsiaTheme="majorEastAsia"/>
          <w:sz w:val="30"/>
          <w:szCs w:val="30"/>
        </w:rPr>
        <w:t>月</w:t>
      </w:r>
      <w:r>
        <w:rPr>
          <w:rFonts w:hint="eastAsia" w:asciiTheme="majorEastAsia" w:hAnsiTheme="majorEastAsia" w:eastAsiaTheme="majorEastAsia"/>
          <w:sz w:val="30"/>
          <w:szCs w:val="30"/>
        </w:rPr>
        <w:t xml:space="preserve">   </w:t>
      </w:r>
      <w:r>
        <w:rPr>
          <w:rFonts w:asciiTheme="majorEastAsia" w:hAnsiTheme="majorEastAsia" w:eastAsiaTheme="majorEastAsia"/>
          <w:sz w:val="30"/>
          <w:szCs w:val="30"/>
        </w:rPr>
        <w:t>日</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说明：本投标函可自行增加相应条款</w:t>
      </w:r>
    </w:p>
    <w:p>
      <w:pPr>
        <w:spacing w:line="320" w:lineRule="exact"/>
        <w:ind w:left="200"/>
        <w:rPr>
          <w:rFonts w:ascii="宋体" w:hAnsi="宋体" w:eastAsia="宋体"/>
          <w:b/>
          <w:sz w:val="30"/>
          <w:szCs w:val="30"/>
        </w:rPr>
      </w:pPr>
    </w:p>
    <w:p>
      <w:pPr>
        <w:spacing w:line="320" w:lineRule="exact"/>
        <w:ind w:left="200"/>
        <w:rPr>
          <w:rFonts w:ascii="宋体" w:hAnsi="宋体" w:eastAsia="宋体"/>
          <w:b/>
          <w:sz w:val="30"/>
          <w:szCs w:val="30"/>
        </w:rPr>
      </w:pPr>
      <w:r>
        <w:rPr>
          <w:rFonts w:ascii="宋体" w:hAnsi="宋体" w:eastAsia="宋体"/>
          <w:b/>
          <w:sz w:val="30"/>
          <w:szCs w:val="30"/>
        </w:rPr>
        <w:t>附件</w:t>
      </w:r>
      <w:r>
        <w:rPr>
          <w:rFonts w:hint="eastAsia" w:ascii="宋体" w:hAnsi="宋体" w:eastAsia="宋体"/>
          <w:b/>
          <w:sz w:val="30"/>
          <w:szCs w:val="30"/>
        </w:rPr>
        <w:t>2</w:t>
      </w:r>
      <w:r>
        <w:rPr>
          <w:rFonts w:ascii="宋体" w:hAnsi="宋体" w:eastAsia="宋体"/>
          <w:b/>
          <w:sz w:val="30"/>
          <w:szCs w:val="30"/>
        </w:rPr>
        <w:t>：</w:t>
      </w:r>
    </w:p>
    <w:p>
      <w:pPr>
        <w:spacing w:line="137" w:lineRule="exact"/>
        <w:rPr>
          <w:rFonts w:ascii="Times New Roman" w:hAnsi="Times New Roman" w:eastAsia="Times New Roman"/>
          <w:sz w:val="30"/>
          <w:szCs w:val="30"/>
        </w:rPr>
      </w:pPr>
    </w:p>
    <w:p>
      <w:pPr>
        <w:spacing w:line="411" w:lineRule="exact"/>
        <w:ind w:left="2880"/>
        <w:rPr>
          <w:rFonts w:ascii="宋体" w:hAnsi="宋体" w:eastAsia="宋体"/>
          <w:b/>
          <w:sz w:val="30"/>
          <w:szCs w:val="30"/>
        </w:rPr>
      </w:pPr>
      <w:r>
        <w:rPr>
          <w:rFonts w:ascii="宋体" w:hAnsi="宋体" w:eastAsia="宋体"/>
          <w:b/>
          <w:sz w:val="30"/>
          <w:szCs w:val="30"/>
        </w:rPr>
        <w:t>投标人基本情况</w:t>
      </w:r>
      <w:r>
        <w:rPr>
          <w:rFonts w:hint="eastAsia" w:ascii="宋体" w:hAnsi="宋体" w:eastAsia="宋体"/>
          <w:b/>
          <w:sz w:val="30"/>
          <w:szCs w:val="30"/>
        </w:rPr>
        <w:t>简介</w:t>
      </w:r>
    </w:p>
    <w:p>
      <w:pPr>
        <w:spacing w:line="287" w:lineRule="exact"/>
        <w:rPr>
          <w:rFonts w:ascii="Times New Roman" w:hAnsi="Times New Roman" w:eastAsia="Times New Roman"/>
          <w:sz w:val="30"/>
          <w:szCs w:val="30"/>
        </w:rPr>
      </w:pPr>
    </w:p>
    <w:p>
      <w:pPr>
        <w:spacing w:before="156" w:beforeLines="50" w:after="156" w:afterLines="50" w:line="500" w:lineRule="exact"/>
        <w:ind w:left="200"/>
        <w:rPr>
          <w:rFonts w:ascii="宋体" w:hAnsi="宋体" w:eastAsia="宋体"/>
          <w:sz w:val="30"/>
          <w:szCs w:val="30"/>
        </w:rPr>
      </w:pPr>
      <w:r>
        <w:rPr>
          <w:rFonts w:ascii="宋体" w:hAnsi="宋体" w:eastAsia="宋体"/>
          <w:sz w:val="30"/>
          <w:szCs w:val="30"/>
        </w:rPr>
        <w:t>一、公司基本情况（简介）：</w:t>
      </w:r>
    </w:p>
    <w:p>
      <w:pPr>
        <w:spacing w:before="156" w:beforeLines="50" w:after="156" w:afterLines="50" w:line="500" w:lineRule="exact"/>
        <w:rPr>
          <w:rFonts w:ascii="Times New Roman" w:hAnsi="Times New Roman" w:eastAsia="Times New Roman"/>
          <w:sz w:val="30"/>
          <w:szCs w:val="30"/>
        </w:rPr>
      </w:pPr>
    </w:p>
    <w:p>
      <w:pPr>
        <w:spacing w:before="156" w:beforeLines="50" w:after="156" w:afterLines="50" w:line="500" w:lineRule="exact"/>
        <w:rPr>
          <w:rFonts w:ascii="Times New Roman" w:hAnsi="Times New Roman" w:eastAsia="Times New Roman"/>
          <w:sz w:val="30"/>
          <w:szCs w:val="30"/>
        </w:rPr>
      </w:pPr>
    </w:p>
    <w:p>
      <w:pPr>
        <w:spacing w:before="156" w:beforeLines="50" w:after="156" w:afterLines="50" w:line="500" w:lineRule="exact"/>
        <w:rPr>
          <w:rFonts w:ascii="Times New Roman" w:hAnsi="Times New Roman" w:eastAsia="Times New Roman"/>
          <w:sz w:val="30"/>
          <w:szCs w:val="30"/>
        </w:rPr>
      </w:pPr>
    </w:p>
    <w:p>
      <w:pPr>
        <w:spacing w:before="156" w:beforeLines="50" w:after="156" w:afterLines="50" w:line="500" w:lineRule="exact"/>
        <w:rPr>
          <w:rFonts w:ascii="Times New Roman" w:hAnsi="Times New Roman" w:eastAsia="Times New Roman"/>
          <w:sz w:val="30"/>
          <w:szCs w:val="30"/>
        </w:rPr>
      </w:pPr>
    </w:p>
    <w:p>
      <w:pPr>
        <w:spacing w:before="156" w:beforeLines="50" w:after="156" w:afterLines="50" w:line="500" w:lineRule="exact"/>
        <w:rPr>
          <w:rFonts w:ascii="Times New Roman" w:hAnsi="Times New Roman" w:eastAsia="Times New Roman"/>
          <w:sz w:val="30"/>
          <w:szCs w:val="30"/>
        </w:rPr>
      </w:pPr>
    </w:p>
    <w:p>
      <w:pPr>
        <w:spacing w:before="156" w:beforeLines="50" w:after="156" w:afterLines="50" w:line="500" w:lineRule="exact"/>
        <w:ind w:left="200"/>
        <w:rPr>
          <w:rFonts w:ascii="宋体" w:hAnsi="宋体" w:eastAsia="宋体"/>
          <w:sz w:val="30"/>
          <w:szCs w:val="30"/>
        </w:rPr>
      </w:pPr>
      <w:r>
        <w:rPr>
          <w:rFonts w:ascii="宋体" w:hAnsi="宋体" w:eastAsia="宋体"/>
          <w:sz w:val="30"/>
          <w:szCs w:val="30"/>
        </w:rPr>
        <w:t>二、投标人获得国家有关部门颁发的资质证明：（如有）</w:t>
      </w:r>
    </w:p>
    <w:p>
      <w:pPr>
        <w:spacing w:line="174" w:lineRule="exact"/>
        <w:rPr>
          <w:rFonts w:ascii="Times New Roman" w:hAnsi="Times New Roman" w:eastAsia="Times New Roman"/>
          <w:sz w:val="30"/>
          <w:szCs w:val="30"/>
        </w:rPr>
      </w:pPr>
    </w:p>
    <w:tbl>
      <w:tblPr>
        <w:tblStyle w:val="8"/>
        <w:tblW w:w="8872" w:type="dxa"/>
        <w:tblInd w:w="210" w:type="dxa"/>
        <w:tblLayout w:type="fixed"/>
        <w:tblCellMar>
          <w:top w:w="0" w:type="dxa"/>
          <w:left w:w="0" w:type="dxa"/>
          <w:bottom w:w="0" w:type="dxa"/>
          <w:right w:w="0" w:type="dxa"/>
        </w:tblCellMar>
      </w:tblPr>
      <w:tblGrid>
        <w:gridCol w:w="2068"/>
        <w:gridCol w:w="2410"/>
        <w:gridCol w:w="1701"/>
        <w:gridCol w:w="1559"/>
        <w:gridCol w:w="1134"/>
      </w:tblGrid>
      <w:tr>
        <w:tblPrEx>
          <w:tblCellMar>
            <w:top w:w="0" w:type="dxa"/>
            <w:left w:w="0" w:type="dxa"/>
            <w:bottom w:w="0" w:type="dxa"/>
            <w:right w:w="0" w:type="dxa"/>
          </w:tblCellMar>
        </w:tblPrEx>
        <w:trPr>
          <w:trHeight w:val="284" w:hRule="atLeast"/>
        </w:trPr>
        <w:tc>
          <w:tcPr>
            <w:tcW w:w="2068" w:type="dxa"/>
            <w:tcBorders>
              <w:top w:val="single" w:color="auto" w:sz="8" w:space="0"/>
              <w:left w:val="single" w:color="auto" w:sz="8" w:space="0"/>
              <w:right w:val="single" w:color="auto" w:sz="8" w:space="0"/>
            </w:tcBorders>
            <w:shd w:val="clear" w:color="auto" w:fill="auto"/>
            <w:vAlign w:val="bottom"/>
          </w:tcPr>
          <w:p>
            <w:pPr>
              <w:spacing w:before="156" w:beforeLines="50" w:after="156" w:afterLines="50" w:line="360" w:lineRule="exact"/>
              <w:jc w:val="left"/>
              <w:rPr>
                <w:rFonts w:ascii="宋体" w:hAnsi="宋体" w:eastAsia="宋体"/>
                <w:sz w:val="30"/>
                <w:szCs w:val="30"/>
              </w:rPr>
            </w:pPr>
            <w:r>
              <w:rPr>
                <w:rFonts w:ascii="宋体" w:hAnsi="宋体" w:eastAsia="宋体"/>
                <w:sz w:val="30"/>
                <w:szCs w:val="30"/>
              </w:rPr>
              <w:t>证书名称</w:t>
            </w:r>
          </w:p>
        </w:tc>
        <w:tc>
          <w:tcPr>
            <w:tcW w:w="2410" w:type="dxa"/>
            <w:tcBorders>
              <w:top w:val="single" w:color="auto" w:sz="8" w:space="0"/>
              <w:right w:val="single" w:color="auto" w:sz="8" w:space="0"/>
            </w:tcBorders>
            <w:shd w:val="clear" w:color="auto" w:fill="auto"/>
            <w:vAlign w:val="bottom"/>
          </w:tcPr>
          <w:p>
            <w:pPr>
              <w:spacing w:before="156" w:beforeLines="50" w:after="156" w:afterLines="50" w:line="360" w:lineRule="exact"/>
              <w:jc w:val="left"/>
              <w:rPr>
                <w:rFonts w:ascii="宋体" w:hAnsi="宋体" w:eastAsia="宋体"/>
                <w:sz w:val="30"/>
                <w:szCs w:val="30"/>
              </w:rPr>
            </w:pPr>
            <w:r>
              <w:rPr>
                <w:rFonts w:ascii="宋体" w:hAnsi="宋体" w:eastAsia="宋体"/>
                <w:sz w:val="30"/>
                <w:szCs w:val="30"/>
              </w:rPr>
              <w:t>发证单位</w:t>
            </w:r>
          </w:p>
        </w:tc>
        <w:tc>
          <w:tcPr>
            <w:tcW w:w="1701" w:type="dxa"/>
            <w:tcBorders>
              <w:top w:val="single" w:color="auto" w:sz="8" w:space="0"/>
              <w:right w:val="single" w:color="auto" w:sz="8" w:space="0"/>
            </w:tcBorders>
            <w:shd w:val="clear" w:color="auto" w:fill="auto"/>
            <w:vAlign w:val="bottom"/>
          </w:tcPr>
          <w:p>
            <w:pPr>
              <w:spacing w:before="156" w:beforeLines="50" w:after="156" w:afterLines="50" w:line="360" w:lineRule="exact"/>
              <w:jc w:val="left"/>
              <w:rPr>
                <w:rFonts w:ascii="宋体" w:hAnsi="宋体" w:eastAsia="宋体"/>
                <w:sz w:val="30"/>
                <w:szCs w:val="30"/>
              </w:rPr>
            </w:pPr>
            <w:r>
              <w:rPr>
                <w:rFonts w:ascii="宋体" w:hAnsi="宋体" w:eastAsia="宋体"/>
                <w:sz w:val="30"/>
                <w:szCs w:val="30"/>
              </w:rPr>
              <w:t>证书等级</w:t>
            </w:r>
          </w:p>
        </w:tc>
        <w:tc>
          <w:tcPr>
            <w:tcW w:w="1559" w:type="dxa"/>
            <w:tcBorders>
              <w:top w:val="single" w:color="auto" w:sz="8" w:space="0"/>
              <w:right w:val="single" w:color="auto" w:sz="8" w:space="0"/>
            </w:tcBorders>
            <w:shd w:val="clear" w:color="auto" w:fill="auto"/>
            <w:vAlign w:val="bottom"/>
          </w:tcPr>
          <w:p>
            <w:pPr>
              <w:spacing w:before="156" w:beforeLines="50" w:after="156" w:afterLines="50" w:line="360" w:lineRule="exact"/>
              <w:jc w:val="left"/>
              <w:rPr>
                <w:rFonts w:ascii="宋体" w:hAnsi="宋体" w:eastAsia="宋体"/>
                <w:sz w:val="30"/>
                <w:szCs w:val="30"/>
              </w:rPr>
            </w:pPr>
            <w:r>
              <w:rPr>
                <w:rFonts w:ascii="宋体" w:hAnsi="宋体" w:eastAsia="宋体"/>
                <w:sz w:val="30"/>
                <w:szCs w:val="30"/>
              </w:rPr>
              <w:t>证书有效期</w:t>
            </w:r>
          </w:p>
        </w:tc>
        <w:tc>
          <w:tcPr>
            <w:tcW w:w="1134" w:type="dxa"/>
            <w:tcBorders>
              <w:top w:val="single" w:color="auto" w:sz="8" w:space="0"/>
              <w:right w:val="single" w:color="auto" w:sz="8" w:space="0"/>
            </w:tcBorders>
            <w:shd w:val="clear" w:color="auto" w:fill="auto"/>
            <w:vAlign w:val="bottom"/>
          </w:tcPr>
          <w:p>
            <w:pPr>
              <w:spacing w:before="156" w:beforeLines="50" w:after="156" w:afterLines="50" w:line="360" w:lineRule="exact"/>
              <w:ind w:left="360"/>
              <w:jc w:val="left"/>
              <w:rPr>
                <w:rFonts w:ascii="宋体" w:hAnsi="宋体" w:eastAsia="宋体"/>
                <w:sz w:val="30"/>
                <w:szCs w:val="30"/>
              </w:rPr>
            </w:pPr>
            <w:r>
              <w:rPr>
                <w:rFonts w:ascii="宋体" w:hAnsi="宋体" w:eastAsia="宋体"/>
                <w:sz w:val="30"/>
                <w:szCs w:val="30"/>
              </w:rPr>
              <w:t>备注</w:t>
            </w:r>
          </w:p>
        </w:tc>
      </w:tr>
      <w:tr>
        <w:tblPrEx>
          <w:tblCellMar>
            <w:top w:w="0" w:type="dxa"/>
            <w:left w:w="0" w:type="dxa"/>
            <w:bottom w:w="0" w:type="dxa"/>
            <w:right w:w="0" w:type="dxa"/>
          </w:tblCellMar>
        </w:tblPrEx>
        <w:trPr>
          <w:trHeight w:val="80" w:hRule="atLeast"/>
        </w:trPr>
        <w:tc>
          <w:tcPr>
            <w:tcW w:w="2068"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241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559"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3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458" w:hRule="atLeast"/>
        </w:trPr>
        <w:tc>
          <w:tcPr>
            <w:tcW w:w="2068"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241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559"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3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458" w:hRule="atLeast"/>
        </w:trPr>
        <w:tc>
          <w:tcPr>
            <w:tcW w:w="2068"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241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559"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3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458" w:hRule="atLeast"/>
        </w:trPr>
        <w:tc>
          <w:tcPr>
            <w:tcW w:w="2068"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241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559"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34"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bl>
    <w:p>
      <w:pPr>
        <w:spacing w:line="1" w:lineRule="exact"/>
        <w:rPr>
          <w:rFonts w:ascii="Times New Roman" w:hAnsi="Times New Roman" w:eastAsia="Times New Roman"/>
          <w:sz w:val="30"/>
          <w:szCs w:val="30"/>
        </w:rPr>
      </w:pPr>
    </w:p>
    <w:p>
      <w:pPr>
        <w:spacing w:line="274" w:lineRule="exact"/>
        <w:ind w:left="320"/>
        <w:rPr>
          <w:rFonts w:ascii="宋体" w:hAnsi="宋体" w:eastAsia="宋体"/>
          <w:b/>
          <w:sz w:val="30"/>
          <w:szCs w:val="30"/>
        </w:rPr>
      </w:pPr>
    </w:p>
    <w:p>
      <w:pPr>
        <w:spacing w:line="360" w:lineRule="auto"/>
        <w:ind w:left="320"/>
        <w:rPr>
          <w:rFonts w:ascii="宋体" w:hAnsi="宋体" w:eastAsia="宋体"/>
          <w:b/>
          <w:sz w:val="30"/>
          <w:szCs w:val="30"/>
        </w:rPr>
      </w:pPr>
      <w:r>
        <w:rPr>
          <w:rFonts w:ascii="宋体" w:hAnsi="宋体" w:eastAsia="宋体"/>
          <w:b/>
          <w:sz w:val="30"/>
          <w:szCs w:val="30"/>
        </w:rPr>
        <w:t>备注 以上资质或荣誉必须提供相关证明材料。</w:t>
      </w:r>
    </w:p>
    <w:p>
      <w:pPr>
        <w:spacing w:line="192" w:lineRule="exact"/>
        <w:rPr>
          <w:rFonts w:ascii="Times New Roman" w:hAnsi="Times New Roman" w:eastAsia="Times New Roman"/>
          <w:sz w:val="30"/>
          <w:szCs w:val="30"/>
        </w:rPr>
      </w:pPr>
    </w:p>
    <w:p>
      <w:pPr>
        <w:spacing w:line="360" w:lineRule="auto"/>
        <w:ind w:left="320"/>
        <w:rPr>
          <w:rFonts w:ascii="Times New Roman" w:hAnsi="Times New Roman" w:eastAsia="Times New Roman"/>
          <w:sz w:val="30"/>
          <w:szCs w:val="30"/>
        </w:rPr>
      </w:pPr>
      <w:r>
        <w:rPr>
          <w:rFonts w:ascii="宋体" w:hAnsi="宋体" w:eastAsia="宋体"/>
          <w:sz w:val="30"/>
          <w:szCs w:val="30"/>
        </w:rPr>
        <w:t>我/我们声明以上所述是正确无误的，您有权进行您认为必要的所有调查。</w:t>
      </w:r>
    </w:p>
    <w:p>
      <w:pPr>
        <w:spacing w:line="360" w:lineRule="auto"/>
        <w:ind w:left="440"/>
        <w:rPr>
          <w:rFonts w:ascii="Times New Roman" w:hAnsi="Times New Roman" w:eastAsia="Times New Roman"/>
          <w:sz w:val="30"/>
          <w:szCs w:val="30"/>
        </w:rPr>
      </w:pPr>
      <w:r>
        <w:rPr>
          <w:rFonts w:ascii="宋体" w:hAnsi="宋体" w:eastAsia="宋体"/>
          <w:b/>
          <w:sz w:val="30"/>
          <w:szCs w:val="30"/>
        </w:rPr>
        <w:t>兹证明上述声明是真实、正确的，并提供了全部能提供的资料和数据，我</w:t>
      </w:r>
      <w:r>
        <w:rPr>
          <w:rFonts w:hint="eastAsia" w:ascii="宋体" w:hAnsi="宋体" w:eastAsia="宋体"/>
          <w:b/>
          <w:sz w:val="30"/>
          <w:szCs w:val="30"/>
        </w:rPr>
        <w:t>们</w:t>
      </w:r>
      <w:r>
        <w:rPr>
          <w:rFonts w:ascii="宋体" w:hAnsi="宋体" w:eastAsia="宋体"/>
          <w:b/>
          <w:sz w:val="30"/>
          <w:szCs w:val="30"/>
        </w:rPr>
        <w:t>同意</w:t>
      </w:r>
      <w:r>
        <w:rPr>
          <w:rFonts w:hint="eastAsia" w:ascii="宋体" w:hAnsi="宋体" w:eastAsia="宋体"/>
          <w:b/>
          <w:sz w:val="30"/>
          <w:szCs w:val="30"/>
        </w:rPr>
        <w:t>按</w:t>
      </w:r>
      <w:r>
        <w:rPr>
          <w:rFonts w:ascii="宋体" w:hAnsi="宋体" w:eastAsia="宋体"/>
          <w:b/>
          <w:sz w:val="30"/>
          <w:szCs w:val="30"/>
        </w:rPr>
        <w:t>贵方要求出示有关证明文件。</w:t>
      </w:r>
    </w:p>
    <w:p>
      <w:pPr>
        <w:spacing w:line="381" w:lineRule="exact"/>
        <w:rPr>
          <w:rFonts w:ascii="Times New Roman" w:hAnsi="Times New Roman" w:eastAsia="Times New Roman"/>
          <w:sz w:val="30"/>
          <w:szCs w:val="30"/>
        </w:rPr>
      </w:pPr>
    </w:p>
    <w:p>
      <w:pPr>
        <w:spacing w:line="300" w:lineRule="exact"/>
        <w:ind w:firstLine="300" w:firstLineChars="100"/>
        <w:rPr>
          <w:rFonts w:ascii="宋体" w:hAnsi="宋体" w:eastAsia="宋体"/>
          <w:sz w:val="30"/>
          <w:szCs w:val="30"/>
        </w:rPr>
      </w:pPr>
      <w:r>
        <w:rPr>
          <w:rFonts w:ascii="宋体" w:hAnsi="宋体" w:eastAsia="宋体"/>
          <w:sz w:val="30"/>
          <w:szCs w:val="30"/>
        </w:rPr>
        <w:t>投标人名称（盖章）：</w:t>
      </w:r>
    </w:p>
    <w:p>
      <w:pPr>
        <w:spacing w:line="300" w:lineRule="exact"/>
        <w:rPr>
          <w:rFonts w:ascii="Times New Roman" w:hAnsi="Times New Roman" w:eastAsia="Times New Roman"/>
          <w:sz w:val="30"/>
          <w:szCs w:val="30"/>
        </w:rPr>
      </w:pPr>
    </w:p>
    <w:p>
      <w:pPr>
        <w:tabs>
          <w:tab w:val="left" w:pos="1500"/>
          <w:tab w:val="left" w:pos="2100"/>
          <w:tab w:val="left" w:pos="2700"/>
        </w:tabs>
        <w:spacing w:line="300" w:lineRule="exact"/>
        <w:ind w:firstLine="300" w:firstLineChars="100"/>
        <w:rPr>
          <w:rFonts w:ascii="宋体" w:hAnsi="宋体" w:eastAsia="宋体"/>
          <w:sz w:val="30"/>
          <w:szCs w:val="30"/>
        </w:rPr>
      </w:pPr>
      <w:r>
        <w:rPr>
          <w:rFonts w:ascii="宋体" w:hAnsi="宋体" w:eastAsia="宋体"/>
          <w:sz w:val="30"/>
          <w:szCs w:val="30"/>
        </w:rPr>
        <w:t>日期：</w:t>
      </w:r>
      <w:r>
        <w:rPr>
          <w:rFonts w:ascii="Times New Roman" w:hAnsi="Times New Roman" w:eastAsia="Times New Roman"/>
          <w:sz w:val="30"/>
          <w:szCs w:val="30"/>
        </w:rPr>
        <w:tab/>
      </w:r>
      <w:r>
        <w:rPr>
          <w:rFonts w:ascii="宋体" w:hAnsi="宋体" w:eastAsia="宋体"/>
          <w:sz w:val="30"/>
          <w:szCs w:val="30"/>
        </w:rPr>
        <w:t>年</w:t>
      </w:r>
      <w:r>
        <w:rPr>
          <w:rFonts w:ascii="Times New Roman" w:hAnsi="Times New Roman" w:eastAsia="Times New Roman"/>
          <w:sz w:val="30"/>
          <w:szCs w:val="30"/>
        </w:rPr>
        <w:tab/>
      </w:r>
      <w:r>
        <w:rPr>
          <w:rFonts w:ascii="宋体" w:hAnsi="宋体" w:eastAsia="宋体"/>
          <w:sz w:val="30"/>
          <w:szCs w:val="30"/>
        </w:rPr>
        <w:t>月</w:t>
      </w:r>
      <w:r>
        <w:rPr>
          <w:rFonts w:ascii="Times New Roman" w:hAnsi="Times New Roman" w:eastAsia="Times New Roman"/>
          <w:sz w:val="30"/>
          <w:szCs w:val="30"/>
        </w:rPr>
        <w:tab/>
      </w:r>
      <w:r>
        <w:rPr>
          <w:rFonts w:ascii="宋体" w:hAnsi="宋体" w:eastAsia="宋体"/>
          <w:sz w:val="30"/>
          <w:szCs w:val="30"/>
        </w:rPr>
        <w:t>日</w:t>
      </w:r>
    </w:p>
    <w:p>
      <w:pPr>
        <w:spacing w:line="411" w:lineRule="exact"/>
        <w:ind w:right="6"/>
        <w:rPr>
          <w:rFonts w:ascii="宋体" w:hAnsi="宋体" w:eastAsia="宋体"/>
          <w:b/>
          <w:sz w:val="30"/>
          <w:szCs w:val="30"/>
        </w:rPr>
      </w:pPr>
    </w:p>
    <w:p>
      <w:pPr>
        <w:spacing w:line="411" w:lineRule="exact"/>
        <w:ind w:right="6"/>
        <w:rPr>
          <w:rFonts w:ascii="宋体" w:hAnsi="宋体" w:eastAsia="宋体"/>
          <w:b/>
          <w:sz w:val="30"/>
          <w:szCs w:val="30"/>
        </w:rPr>
      </w:pPr>
      <w:r>
        <w:rPr>
          <w:rFonts w:hint="eastAsia" w:ascii="宋体" w:hAnsi="宋体" w:eastAsia="宋体"/>
          <w:b/>
          <w:sz w:val="30"/>
          <w:szCs w:val="30"/>
        </w:rPr>
        <w:t>附件3</w:t>
      </w:r>
    </w:p>
    <w:p>
      <w:pPr>
        <w:spacing w:line="411" w:lineRule="exact"/>
        <w:ind w:right="6"/>
        <w:jc w:val="center"/>
        <w:rPr>
          <w:rFonts w:ascii="宋体" w:hAnsi="宋体" w:eastAsia="宋体"/>
          <w:sz w:val="30"/>
          <w:szCs w:val="30"/>
        </w:rPr>
      </w:pPr>
      <w:r>
        <w:rPr>
          <w:rFonts w:ascii="宋体" w:hAnsi="宋体" w:eastAsia="宋体"/>
          <w:b/>
          <w:sz w:val="30"/>
          <w:szCs w:val="30"/>
        </w:rPr>
        <w:t>人员配备与机构设置一览表</w:t>
      </w:r>
      <w:r>
        <w:rPr>
          <w:rFonts w:ascii="宋体" w:hAnsi="宋体" w:eastAsia="宋体"/>
          <w:sz w:val="30"/>
          <w:szCs w:val="30"/>
        </w:rPr>
        <w:t>（格式可自定）</w:t>
      </w:r>
    </w:p>
    <w:p>
      <w:pPr>
        <w:spacing w:line="294" w:lineRule="exact"/>
        <w:rPr>
          <w:rFonts w:ascii="Times New Roman" w:hAnsi="Times New Roman"/>
          <w:sz w:val="30"/>
          <w:szCs w:val="30"/>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r>
              <w:rPr>
                <w:rFonts w:hint="eastAsia" w:ascii="Times New Roman" w:hAnsi="Times New Roman"/>
                <w:sz w:val="30"/>
                <w:szCs w:val="30"/>
              </w:rPr>
              <w:t>名称</w:t>
            </w:r>
          </w:p>
        </w:tc>
        <w:tc>
          <w:tcPr>
            <w:tcW w:w="2841" w:type="dxa"/>
          </w:tcPr>
          <w:p>
            <w:pPr>
              <w:spacing w:line="480" w:lineRule="auto"/>
              <w:rPr>
                <w:rFonts w:ascii="Times New Roman" w:hAnsi="Times New Roman"/>
                <w:sz w:val="30"/>
                <w:szCs w:val="30"/>
              </w:rPr>
            </w:pPr>
            <w:r>
              <w:rPr>
                <w:rFonts w:ascii="Times New Roman" w:hAnsi="Times New Roman"/>
                <w:sz w:val="30"/>
                <w:szCs w:val="30"/>
              </w:rPr>
              <w:t>人数</w:t>
            </w:r>
          </w:p>
        </w:tc>
        <w:tc>
          <w:tcPr>
            <w:tcW w:w="2841" w:type="dxa"/>
          </w:tcPr>
          <w:p>
            <w:pPr>
              <w:spacing w:line="480" w:lineRule="auto"/>
              <w:rPr>
                <w:rFonts w:ascii="Times New Roman" w:hAnsi="Times New Roman"/>
                <w:sz w:val="30"/>
                <w:szCs w:val="30"/>
              </w:rPr>
            </w:pPr>
            <w:r>
              <w:rPr>
                <w:rFonts w:hint="eastAsia" w:ascii="Times New Roman" w:hAnsi="Times New Roman"/>
                <w:sz w:val="30"/>
                <w:szCs w:val="3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40" w:type="dxa"/>
          </w:tcPr>
          <w:p>
            <w:pPr>
              <w:spacing w:line="480" w:lineRule="auto"/>
              <w:rPr>
                <w:rFonts w:ascii="Times New Roman" w:hAnsi="Times New Roman"/>
                <w:sz w:val="30"/>
                <w:szCs w:val="30"/>
              </w:rPr>
            </w:pPr>
            <w:r>
              <w:rPr>
                <w:rFonts w:hint="eastAsia" w:ascii="Times New Roman" w:hAnsi="Times New Roman"/>
                <w:sz w:val="30"/>
                <w:szCs w:val="30"/>
              </w:rPr>
              <w:t>合计</w:t>
            </w:r>
          </w:p>
        </w:tc>
        <w:tc>
          <w:tcPr>
            <w:tcW w:w="2841" w:type="dxa"/>
          </w:tcPr>
          <w:p>
            <w:pPr>
              <w:spacing w:line="480" w:lineRule="auto"/>
              <w:rPr>
                <w:rFonts w:ascii="Times New Roman" w:hAnsi="Times New Roman"/>
                <w:sz w:val="30"/>
                <w:szCs w:val="30"/>
              </w:rPr>
            </w:pPr>
          </w:p>
        </w:tc>
        <w:tc>
          <w:tcPr>
            <w:tcW w:w="2841" w:type="dxa"/>
          </w:tcPr>
          <w:p>
            <w:pPr>
              <w:spacing w:line="480" w:lineRule="auto"/>
              <w:rPr>
                <w:rFonts w:ascii="Times New Roman" w:hAnsi="Times New Roman"/>
                <w:sz w:val="30"/>
                <w:szCs w:val="30"/>
              </w:rPr>
            </w:pPr>
          </w:p>
        </w:tc>
      </w:tr>
    </w:tbl>
    <w:p>
      <w:pPr>
        <w:spacing w:line="294" w:lineRule="exact"/>
        <w:rPr>
          <w:rFonts w:ascii="Times New Roman" w:hAnsi="Times New Roman"/>
          <w:sz w:val="30"/>
          <w:szCs w:val="30"/>
        </w:rPr>
      </w:pPr>
    </w:p>
    <w:p>
      <w:pPr>
        <w:spacing w:line="20" w:lineRule="exact"/>
        <w:rPr>
          <w:rFonts w:ascii="Times New Roman" w:hAnsi="Times New Roman"/>
          <w:sz w:val="30"/>
          <w:szCs w:val="30"/>
        </w:rPr>
      </w:pPr>
    </w:p>
    <w:p>
      <w:pPr>
        <w:spacing w:line="360" w:lineRule="auto"/>
        <w:rPr>
          <w:rFonts w:ascii="宋体" w:hAnsi="宋体" w:eastAsia="宋体"/>
          <w:sz w:val="30"/>
          <w:szCs w:val="30"/>
        </w:rPr>
      </w:pPr>
    </w:p>
    <w:p>
      <w:pPr>
        <w:spacing w:line="360" w:lineRule="auto"/>
        <w:ind w:left="200"/>
        <w:rPr>
          <w:rFonts w:ascii="宋体" w:hAnsi="宋体" w:eastAsia="宋体"/>
          <w:sz w:val="30"/>
          <w:szCs w:val="30"/>
        </w:rPr>
      </w:pPr>
      <w:r>
        <w:rPr>
          <w:rFonts w:ascii="宋体" w:hAnsi="宋体" w:eastAsia="宋体"/>
          <w:sz w:val="30"/>
          <w:szCs w:val="30"/>
        </w:rPr>
        <w:t>投标人名称（盖章）：</w:t>
      </w:r>
    </w:p>
    <w:p>
      <w:pPr>
        <w:spacing w:line="360" w:lineRule="auto"/>
        <w:rPr>
          <w:rFonts w:ascii="Times New Roman" w:hAnsi="Times New Roman" w:eastAsia="Times New Roman"/>
          <w:sz w:val="30"/>
          <w:szCs w:val="30"/>
        </w:rPr>
      </w:pPr>
    </w:p>
    <w:p>
      <w:pPr>
        <w:tabs>
          <w:tab w:val="left" w:pos="1500"/>
          <w:tab w:val="left" w:pos="2100"/>
          <w:tab w:val="left" w:pos="2700"/>
        </w:tabs>
        <w:spacing w:line="360" w:lineRule="auto"/>
        <w:ind w:left="200"/>
        <w:rPr>
          <w:rFonts w:ascii="宋体" w:hAnsi="宋体" w:eastAsia="宋体"/>
          <w:sz w:val="30"/>
          <w:szCs w:val="30"/>
        </w:rPr>
      </w:pPr>
      <w:r>
        <w:rPr>
          <w:rFonts w:ascii="宋体" w:hAnsi="宋体" w:eastAsia="宋体"/>
          <w:sz w:val="30"/>
          <w:szCs w:val="30"/>
        </w:rPr>
        <w:t>日期：</w:t>
      </w:r>
      <w:r>
        <w:rPr>
          <w:rFonts w:ascii="Times New Roman" w:hAnsi="Times New Roman" w:eastAsia="Times New Roman"/>
          <w:sz w:val="30"/>
          <w:szCs w:val="30"/>
        </w:rPr>
        <w:tab/>
      </w:r>
      <w:r>
        <w:rPr>
          <w:rFonts w:ascii="宋体" w:hAnsi="宋体" w:eastAsia="宋体"/>
          <w:sz w:val="30"/>
          <w:szCs w:val="30"/>
        </w:rPr>
        <w:t>年</w:t>
      </w:r>
      <w:r>
        <w:rPr>
          <w:rFonts w:ascii="Times New Roman" w:hAnsi="Times New Roman" w:eastAsia="Times New Roman"/>
          <w:sz w:val="30"/>
          <w:szCs w:val="30"/>
        </w:rPr>
        <w:tab/>
      </w:r>
      <w:r>
        <w:rPr>
          <w:rFonts w:ascii="宋体" w:hAnsi="宋体" w:eastAsia="宋体"/>
          <w:sz w:val="30"/>
          <w:szCs w:val="30"/>
        </w:rPr>
        <w:t>月</w:t>
      </w:r>
      <w:r>
        <w:rPr>
          <w:rFonts w:ascii="Times New Roman" w:hAnsi="Times New Roman" w:eastAsia="Times New Roman"/>
          <w:sz w:val="30"/>
          <w:szCs w:val="30"/>
        </w:rPr>
        <w:tab/>
      </w:r>
      <w:r>
        <w:rPr>
          <w:rFonts w:ascii="宋体" w:hAnsi="宋体" w:eastAsia="宋体"/>
          <w:sz w:val="30"/>
          <w:szCs w:val="30"/>
        </w:rPr>
        <w:t>日</w:t>
      </w:r>
    </w:p>
    <w:p>
      <w:pPr>
        <w:spacing w:line="20" w:lineRule="exact"/>
        <w:rPr>
          <w:rFonts w:ascii="Times New Roman" w:hAnsi="Times New Roman" w:eastAsia="Times New Roman"/>
          <w:sz w:val="30"/>
          <w:szCs w:val="30"/>
        </w:rPr>
      </w:pPr>
    </w:p>
    <w:p>
      <w:pPr>
        <w:spacing w:line="200" w:lineRule="exact"/>
        <w:rPr>
          <w:rFonts w:ascii="Times New Roman" w:hAnsi="Times New Roman" w:eastAsia="Times New Roman"/>
          <w:sz w:val="30"/>
          <w:szCs w:val="30"/>
        </w:rPr>
      </w:pPr>
    </w:p>
    <w:p>
      <w:pPr>
        <w:spacing w:line="200" w:lineRule="exact"/>
        <w:rPr>
          <w:rFonts w:ascii="Times New Roman" w:hAnsi="Times New Roman" w:eastAsia="Times New Roman"/>
          <w:sz w:val="30"/>
          <w:szCs w:val="30"/>
        </w:rPr>
      </w:pPr>
    </w:p>
    <w:p>
      <w:pPr>
        <w:spacing w:line="411" w:lineRule="exact"/>
        <w:ind w:right="6"/>
        <w:rPr>
          <w:rFonts w:ascii="宋体" w:hAnsi="宋体" w:eastAsia="宋体"/>
          <w:b/>
          <w:sz w:val="30"/>
          <w:szCs w:val="30"/>
        </w:rPr>
      </w:pPr>
      <w:r>
        <w:rPr>
          <w:rFonts w:hint="eastAsia" w:ascii="宋体" w:hAnsi="宋体" w:eastAsia="宋体"/>
          <w:b/>
          <w:sz w:val="30"/>
          <w:szCs w:val="30"/>
        </w:rPr>
        <w:t>附件4</w:t>
      </w:r>
    </w:p>
    <w:p>
      <w:pPr>
        <w:spacing w:line="411" w:lineRule="exact"/>
        <w:ind w:right="6"/>
        <w:jc w:val="center"/>
        <w:rPr>
          <w:rFonts w:ascii="宋体" w:hAnsi="宋体" w:eastAsia="宋体"/>
          <w:b/>
          <w:sz w:val="30"/>
          <w:szCs w:val="30"/>
        </w:rPr>
      </w:pPr>
      <w:r>
        <w:rPr>
          <w:rFonts w:ascii="宋体" w:hAnsi="宋体" w:eastAsia="宋体"/>
          <w:b/>
          <w:sz w:val="30"/>
          <w:szCs w:val="30"/>
        </w:rPr>
        <w:t>主要管理人员及专业人员资质一览表</w:t>
      </w:r>
    </w:p>
    <w:p>
      <w:pPr>
        <w:spacing w:line="55" w:lineRule="exact"/>
        <w:rPr>
          <w:rFonts w:ascii="Times New Roman" w:hAnsi="Times New Roman" w:eastAsia="Times New Roman"/>
          <w:sz w:val="30"/>
          <w:szCs w:val="30"/>
        </w:rPr>
      </w:pPr>
    </w:p>
    <w:p>
      <w:pPr>
        <w:spacing w:line="411" w:lineRule="exact"/>
        <w:ind w:right="6"/>
        <w:jc w:val="center"/>
        <w:rPr>
          <w:rFonts w:ascii="宋体" w:hAnsi="宋体" w:eastAsia="宋体"/>
          <w:sz w:val="30"/>
          <w:szCs w:val="30"/>
        </w:rPr>
      </w:pPr>
      <w:r>
        <w:rPr>
          <w:rFonts w:ascii="宋体" w:hAnsi="宋体" w:eastAsia="宋体"/>
          <w:sz w:val="30"/>
          <w:szCs w:val="30"/>
        </w:rPr>
        <w:t>（格式可自定）</w:t>
      </w:r>
    </w:p>
    <w:p>
      <w:pPr>
        <w:spacing w:line="20" w:lineRule="exact"/>
        <w:rPr>
          <w:rFonts w:ascii="Times New Roman" w:hAnsi="Times New Roman" w:eastAsia="Times New Roman"/>
          <w:sz w:val="30"/>
          <w:szCs w:val="30"/>
        </w:rPr>
      </w:pPr>
      <w:r>
        <w:rPr>
          <w:rFonts w:ascii="宋体" w:hAnsi="宋体" w:eastAsia="宋体"/>
          <w:sz w:val="30"/>
          <w:szCs w:val="30"/>
        </w:rPr>
        <w:pict>
          <v:line id="直接连接符 33" o:spid="_x0000_s2053" o:spt="20" style="position:absolute;left:0pt;margin-left:70.2pt;margin-top:0.35pt;height:0pt;width:270.05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">
            <v:path arrowok="t"/>
            <v:fill focussize="0,0"/>
            <v:stroke weight="0.59992125984252pt"/>
            <v:imagedata o:title=""/>
            <o:lock v:ext="edit"/>
          </v:line>
        </w:pict>
      </w:r>
    </w:p>
    <w:p>
      <w:pPr>
        <w:spacing w:line="151" w:lineRule="exact"/>
        <w:jc w:val="right"/>
        <w:rPr>
          <w:rFonts w:ascii="Times New Roman" w:hAnsi="Times New Roman" w:eastAsia="Times New Roman"/>
          <w:sz w:val="30"/>
          <w:szCs w:val="30"/>
        </w:rPr>
      </w:pPr>
    </w:p>
    <w:tbl>
      <w:tblPr>
        <w:tblStyle w:val="8"/>
        <w:tblW w:w="0" w:type="auto"/>
        <w:tblInd w:w="210" w:type="dxa"/>
        <w:tblLayout w:type="fixed"/>
        <w:tblCellMar>
          <w:top w:w="0" w:type="dxa"/>
          <w:left w:w="0" w:type="dxa"/>
          <w:bottom w:w="0" w:type="dxa"/>
          <w:right w:w="0" w:type="dxa"/>
        </w:tblCellMar>
      </w:tblPr>
      <w:tblGrid>
        <w:gridCol w:w="680"/>
        <w:gridCol w:w="1100"/>
        <w:gridCol w:w="740"/>
        <w:gridCol w:w="720"/>
        <w:gridCol w:w="720"/>
        <w:gridCol w:w="1120"/>
        <w:gridCol w:w="1060"/>
        <w:gridCol w:w="1040"/>
        <w:gridCol w:w="1460"/>
      </w:tblGrid>
      <w:tr>
        <w:tblPrEx>
          <w:tblCellMar>
            <w:top w:w="0" w:type="dxa"/>
            <w:left w:w="0" w:type="dxa"/>
            <w:bottom w:w="0" w:type="dxa"/>
            <w:right w:w="0" w:type="dxa"/>
          </w:tblCellMar>
        </w:tblPrEx>
        <w:trPr>
          <w:trHeight w:val="363" w:hRule="atLeast"/>
        </w:trPr>
        <w:tc>
          <w:tcPr>
            <w:tcW w:w="680" w:type="dxa"/>
            <w:tcBorders>
              <w:top w:val="single" w:color="auto" w:sz="8" w:space="0"/>
              <w:left w:val="single" w:color="auto" w:sz="8" w:space="0"/>
              <w:right w:val="single" w:color="auto" w:sz="8" w:space="0"/>
            </w:tcBorders>
            <w:shd w:val="clear" w:color="auto" w:fill="auto"/>
            <w:vAlign w:val="bottom"/>
          </w:tcPr>
          <w:p>
            <w:pPr>
              <w:spacing w:line="274" w:lineRule="exact"/>
              <w:ind w:left="220"/>
              <w:rPr>
                <w:rFonts w:ascii="宋体" w:hAnsi="宋体" w:eastAsia="宋体"/>
                <w:b/>
                <w:sz w:val="30"/>
                <w:szCs w:val="30"/>
              </w:rPr>
            </w:pPr>
            <w:r>
              <w:rPr>
                <w:rFonts w:ascii="宋体" w:hAnsi="宋体" w:eastAsia="宋体"/>
                <w:b/>
                <w:sz w:val="30"/>
                <w:szCs w:val="30"/>
              </w:rPr>
              <w:t>序</w:t>
            </w:r>
          </w:p>
        </w:tc>
        <w:tc>
          <w:tcPr>
            <w:tcW w:w="1100" w:type="dxa"/>
            <w:vMerge w:val="restart"/>
            <w:tcBorders>
              <w:top w:val="single" w:color="auto" w:sz="8" w:space="0"/>
              <w:right w:val="single" w:color="auto" w:sz="8" w:space="0"/>
            </w:tcBorders>
            <w:shd w:val="clear" w:color="auto" w:fill="auto"/>
            <w:vAlign w:val="bottom"/>
          </w:tcPr>
          <w:p>
            <w:pPr>
              <w:spacing w:line="274" w:lineRule="exact"/>
              <w:ind w:left="300"/>
              <w:rPr>
                <w:rFonts w:ascii="宋体" w:hAnsi="宋体" w:eastAsia="宋体"/>
                <w:b/>
                <w:sz w:val="30"/>
                <w:szCs w:val="30"/>
              </w:rPr>
            </w:pPr>
            <w:r>
              <w:rPr>
                <w:rFonts w:ascii="宋体" w:hAnsi="宋体" w:eastAsia="宋体"/>
                <w:b/>
                <w:sz w:val="30"/>
                <w:szCs w:val="30"/>
              </w:rPr>
              <w:t>姓名</w:t>
            </w:r>
          </w:p>
        </w:tc>
        <w:tc>
          <w:tcPr>
            <w:tcW w:w="740" w:type="dxa"/>
            <w:vMerge w:val="restart"/>
            <w:tcBorders>
              <w:top w:val="single" w:color="auto" w:sz="8" w:space="0"/>
              <w:right w:val="single" w:color="auto" w:sz="8" w:space="0"/>
            </w:tcBorders>
            <w:shd w:val="clear" w:color="auto" w:fill="auto"/>
            <w:vAlign w:val="bottom"/>
          </w:tcPr>
          <w:p>
            <w:pPr>
              <w:spacing w:line="274" w:lineRule="exact"/>
              <w:ind w:left="120"/>
              <w:rPr>
                <w:rFonts w:ascii="宋体" w:hAnsi="宋体" w:eastAsia="宋体"/>
                <w:b/>
                <w:sz w:val="30"/>
                <w:szCs w:val="30"/>
              </w:rPr>
            </w:pPr>
            <w:r>
              <w:rPr>
                <w:rFonts w:ascii="宋体" w:hAnsi="宋体" w:eastAsia="宋体"/>
                <w:b/>
                <w:sz w:val="30"/>
                <w:szCs w:val="30"/>
              </w:rPr>
              <w:t>性别</w:t>
            </w:r>
          </w:p>
        </w:tc>
        <w:tc>
          <w:tcPr>
            <w:tcW w:w="720" w:type="dxa"/>
            <w:vMerge w:val="restart"/>
            <w:tcBorders>
              <w:top w:val="single" w:color="auto" w:sz="8" w:space="0"/>
              <w:right w:val="single" w:color="auto" w:sz="8" w:space="0"/>
            </w:tcBorders>
            <w:shd w:val="clear" w:color="auto" w:fill="auto"/>
            <w:vAlign w:val="bottom"/>
          </w:tcPr>
          <w:p>
            <w:pPr>
              <w:spacing w:line="274" w:lineRule="exact"/>
              <w:ind w:left="100"/>
              <w:rPr>
                <w:rFonts w:ascii="宋体" w:hAnsi="宋体" w:eastAsia="宋体"/>
                <w:b/>
                <w:sz w:val="30"/>
                <w:szCs w:val="30"/>
              </w:rPr>
            </w:pPr>
            <w:r>
              <w:rPr>
                <w:rFonts w:ascii="宋体" w:hAnsi="宋体" w:eastAsia="宋体"/>
                <w:b/>
                <w:sz w:val="30"/>
                <w:szCs w:val="30"/>
              </w:rPr>
              <w:t>年龄</w:t>
            </w:r>
          </w:p>
        </w:tc>
        <w:tc>
          <w:tcPr>
            <w:tcW w:w="720" w:type="dxa"/>
            <w:vMerge w:val="restart"/>
            <w:tcBorders>
              <w:top w:val="single" w:color="auto" w:sz="8" w:space="0"/>
              <w:right w:val="single" w:color="auto" w:sz="8" w:space="0"/>
            </w:tcBorders>
            <w:shd w:val="clear" w:color="auto" w:fill="auto"/>
            <w:vAlign w:val="bottom"/>
          </w:tcPr>
          <w:p>
            <w:pPr>
              <w:spacing w:line="274" w:lineRule="exact"/>
              <w:ind w:left="100"/>
              <w:rPr>
                <w:rFonts w:ascii="宋体" w:hAnsi="宋体" w:eastAsia="宋体"/>
                <w:b/>
                <w:sz w:val="30"/>
                <w:szCs w:val="30"/>
              </w:rPr>
            </w:pPr>
            <w:r>
              <w:rPr>
                <w:rFonts w:ascii="宋体" w:hAnsi="宋体" w:eastAsia="宋体"/>
                <w:b/>
                <w:sz w:val="30"/>
                <w:szCs w:val="30"/>
              </w:rPr>
              <w:t>学历</w:t>
            </w:r>
          </w:p>
        </w:tc>
        <w:tc>
          <w:tcPr>
            <w:tcW w:w="1120" w:type="dxa"/>
            <w:vMerge w:val="restart"/>
            <w:tcBorders>
              <w:top w:val="single" w:color="auto" w:sz="8" w:space="0"/>
              <w:right w:val="single" w:color="auto" w:sz="8" w:space="0"/>
            </w:tcBorders>
            <w:shd w:val="clear" w:color="auto" w:fill="auto"/>
            <w:vAlign w:val="bottom"/>
          </w:tcPr>
          <w:p>
            <w:pPr>
              <w:spacing w:line="274" w:lineRule="exact"/>
              <w:ind w:left="300"/>
              <w:rPr>
                <w:rFonts w:ascii="宋体" w:hAnsi="宋体" w:eastAsia="宋体"/>
                <w:b/>
                <w:sz w:val="30"/>
                <w:szCs w:val="30"/>
              </w:rPr>
            </w:pPr>
            <w:r>
              <w:rPr>
                <w:rFonts w:ascii="宋体" w:hAnsi="宋体" w:eastAsia="宋体"/>
                <w:b/>
                <w:sz w:val="30"/>
                <w:szCs w:val="30"/>
              </w:rPr>
              <w:t>职称</w:t>
            </w:r>
          </w:p>
        </w:tc>
        <w:tc>
          <w:tcPr>
            <w:tcW w:w="1060" w:type="dxa"/>
            <w:vMerge w:val="restart"/>
            <w:tcBorders>
              <w:top w:val="single" w:color="auto" w:sz="8" w:space="0"/>
              <w:right w:val="single" w:color="auto" w:sz="8" w:space="0"/>
            </w:tcBorders>
            <w:shd w:val="clear" w:color="auto" w:fill="auto"/>
            <w:vAlign w:val="bottom"/>
          </w:tcPr>
          <w:p>
            <w:pPr>
              <w:spacing w:line="274" w:lineRule="exact"/>
              <w:ind w:left="260"/>
              <w:rPr>
                <w:rFonts w:ascii="宋体" w:hAnsi="宋体" w:eastAsia="宋体"/>
                <w:b/>
                <w:sz w:val="30"/>
                <w:szCs w:val="30"/>
              </w:rPr>
            </w:pPr>
            <w:r>
              <w:rPr>
                <w:rFonts w:ascii="宋体" w:hAnsi="宋体" w:eastAsia="宋体"/>
                <w:b/>
                <w:sz w:val="30"/>
                <w:szCs w:val="30"/>
              </w:rPr>
              <w:t>专业</w:t>
            </w:r>
          </w:p>
        </w:tc>
        <w:tc>
          <w:tcPr>
            <w:tcW w:w="1040" w:type="dxa"/>
            <w:tcBorders>
              <w:top w:val="single" w:color="auto" w:sz="8" w:space="0"/>
              <w:right w:val="single" w:color="auto" w:sz="8" w:space="0"/>
            </w:tcBorders>
            <w:shd w:val="clear" w:color="auto" w:fill="auto"/>
            <w:vAlign w:val="bottom"/>
          </w:tcPr>
          <w:p>
            <w:pPr>
              <w:spacing w:line="274" w:lineRule="exact"/>
              <w:jc w:val="center"/>
              <w:rPr>
                <w:rFonts w:ascii="宋体" w:hAnsi="宋体" w:eastAsia="宋体"/>
                <w:b/>
                <w:w w:val="99"/>
                <w:sz w:val="30"/>
                <w:szCs w:val="30"/>
              </w:rPr>
            </w:pPr>
            <w:r>
              <w:rPr>
                <w:rFonts w:ascii="宋体" w:hAnsi="宋体" w:eastAsia="宋体"/>
                <w:b/>
                <w:w w:val="99"/>
                <w:sz w:val="30"/>
                <w:szCs w:val="30"/>
              </w:rPr>
              <w:t>经验年</w:t>
            </w:r>
          </w:p>
        </w:tc>
        <w:tc>
          <w:tcPr>
            <w:tcW w:w="1460" w:type="dxa"/>
            <w:vMerge w:val="restart"/>
            <w:tcBorders>
              <w:top w:val="single" w:color="auto" w:sz="8" w:space="0"/>
              <w:right w:val="single" w:color="auto" w:sz="8" w:space="0"/>
            </w:tcBorders>
            <w:shd w:val="clear" w:color="auto" w:fill="auto"/>
            <w:vAlign w:val="bottom"/>
          </w:tcPr>
          <w:p>
            <w:pPr>
              <w:spacing w:line="274" w:lineRule="exact"/>
              <w:ind w:left="100"/>
              <w:rPr>
                <w:rFonts w:ascii="宋体" w:hAnsi="宋体" w:eastAsia="宋体"/>
                <w:b/>
                <w:sz w:val="30"/>
                <w:szCs w:val="30"/>
              </w:rPr>
            </w:pPr>
            <w:r>
              <w:rPr>
                <w:rFonts w:ascii="宋体" w:hAnsi="宋体" w:eastAsia="宋体"/>
                <w:b/>
                <w:sz w:val="30"/>
                <w:szCs w:val="30"/>
              </w:rPr>
              <w:t>拟担任职务</w:t>
            </w:r>
          </w:p>
        </w:tc>
      </w:tr>
      <w:tr>
        <w:tblPrEx>
          <w:tblCellMar>
            <w:top w:w="0" w:type="dxa"/>
            <w:left w:w="0" w:type="dxa"/>
            <w:bottom w:w="0" w:type="dxa"/>
            <w:right w:w="0" w:type="dxa"/>
          </w:tblCellMar>
        </w:tblPrEx>
        <w:trPr>
          <w:trHeight w:val="274" w:hRule="atLeast"/>
        </w:trPr>
        <w:tc>
          <w:tcPr>
            <w:tcW w:w="680" w:type="dxa"/>
            <w:vMerge w:val="restart"/>
            <w:tcBorders>
              <w:left w:val="single" w:color="auto" w:sz="8" w:space="0"/>
              <w:right w:val="single" w:color="auto" w:sz="8" w:space="0"/>
            </w:tcBorders>
            <w:shd w:val="clear" w:color="auto" w:fill="auto"/>
            <w:vAlign w:val="bottom"/>
          </w:tcPr>
          <w:p>
            <w:pPr>
              <w:spacing w:line="274" w:lineRule="exact"/>
              <w:ind w:left="220"/>
              <w:rPr>
                <w:rFonts w:ascii="宋体" w:hAnsi="宋体" w:eastAsia="宋体"/>
                <w:b/>
                <w:sz w:val="30"/>
                <w:szCs w:val="30"/>
              </w:rPr>
            </w:pPr>
            <w:r>
              <w:rPr>
                <w:rFonts w:ascii="宋体" w:hAnsi="宋体" w:eastAsia="宋体"/>
                <w:b/>
                <w:sz w:val="30"/>
                <w:szCs w:val="30"/>
              </w:rPr>
              <w:t>号</w:t>
            </w:r>
          </w:p>
        </w:tc>
        <w:tc>
          <w:tcPr>
            <w:tcW w:w="110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2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40" w:type="dxa"/>
            <w:vMerge w:val="restart"/>
            <w:tcBorders>
              <w:right w:val="single" w:color="auto" w:sz="8" w:space="0"/>
            </w:tcBorders>
            <w:shd w:val="clear" w:color="auto" w:fill="auto"/>
            <w:vAlign w:val="bottom"/>
          </w:tcPr>
          <w:p>
            <w:pPr>
              <w:spacing w:line="274" w:lineRule="exact"/>
              <w:jc w:val="center"/>
              <w:rPr>
                <w:rFonts w:ascii="宋体" w:hAnsi="宋体" w:eastAsia="宋体"/>
                <w:b/>
                <w:w w:val="99"/>
                <w:sz w:val="30"/>
                <w:szCs w:val="30"/>
              </w:rPr>
            </w:pPr>
            <w:r>
              <w:rPr>
                <w:rFonts w:ascii="宋体" w:hAnsi="宋体" w:eastAsia="宋体"/>
                <w:b/>
                <w:w w:val="99"/>
                <w:sz w:val="30"/>
                <w:szCs w:val="30"/>
              </w:rPr>
              <w:t>限</w:t>
            </w:r>
          </w:p>
        </w:tc>
        <w:tc>
          <w:tcPr>
            <w:tcW w:w="146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199" w:hRule="atLeast"/>
        </w:trPr>
        <w:tc>
          <w:tcPr>
            <w:tcW w:w="680" w:type="dxa"/>
            <w:vMerge w:val="continue"/>
            <w:tcBorders>
              <w:left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00" w:type="dxa"/>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40" w:type="dxa"/>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20" w:type="dxa"/>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60" w:type="dxa"/>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40" w:type="dxa"/>
            <w:vMerge w:val="continue"/>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60" w:type="dxa"/>
            <w:tcBorders>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47"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710"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710"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710"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712"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710" w:hRule="atLeast"/>
        </w:trPr>
        <w:tc>
          <w:tcPr>
            <w:tcW w:w="680"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0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7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12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04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60"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bl>
    <w:p>
      <w:pPr>
        <w:spacing w:line="1" w:lineRule="exact"/>
        <w:rPr>
          <w:rFonts w:ascii="Times New Roman" w:hAnsi="Times New Roman" w:eastAsia="Times New Roman"/>
          <w:sz w:val="30"/>
          <w:szCs w:val="30"/>
        </w:rPr>
      </w:pPr>
    </w:p>
    <w:p>
      <w:pPr>
        <w:spacing w:line="274" w:lineRule="exact"/>
        <w:ind w:left="200"/>
        <w:rPr>
          <w:rFonts w:ascii="宋体" w:hAnsi="宋体" w:eastAsia="宋体"/>
          <w:b/>
          <w:sz w:val="30"/>
          <w:szCs w:val="30"/>
        </w:rPr>
      </w:pPr>
    </w:p>
    <w:p>
      <w:pPr>
        <w:ind w:left="200"/>
        <w:rPr>
          <w:rFonts w:ascii="Times New Roman" w:hAnsi="Times New Roman" w:eastAsia="Times New Roman"/>
          <w:sz w:val="28"/>
          <w:szCs w:val="28"/>
        </w:rPr>
      </w:pPr>
      <w:r>
        <w:rPr>
          <w:rFonts w:ascii="宋体" w:hAnsi="宋体" w:eastAsia="宋体"/>
          <w:b/>
          <w:sz w:val="28"/>
          <w:szCs w:val="28"/>
        </w:rPr>
        <w:t>注：1.投标人必须附上有关个人学历、职称等证明文件（复印件）</w:t>
      </w:r>
    </w:p>
    <w:p>
      <w:pPr>
        <w:ind w:left="680"/>
        <w:rPr>
          <w:rFonts w:ascii="宋体" w:hAnsi="宋体" w:eastAsia="宋体"/>
          <w:b/>
          <w:sz w:val="28"/>
          <w:szCs w:val="28"/>
        </w:rPr>
      </w:pPr>
      <w:r>
        <w:rPr>
          <w:rFonts w:ascii="宋体" w:hAnsi="宋体" w:eastAsia="宋体"/>
          <w:b/>
          <w:sz w:val="28"/>
          <w:szCs w:val="28"/>
        </w:rPr>
        <w:t>2.在</w:t>
      </w:r>
      <w:r>
        <w:rPr>
          <w:rFonts w:hint="eastAsia" w:ascii="宋体" w:hAnsi="宋体" w:eastAsia="宋体"/>
          <w:b/>
          <w:sz w:val="28"/>
          <w:szCs w:val="28"/>
        </w:rPr>
        <w:t>服务</w:t>
      </w:r>
      <w:r>
        <w:rPr>
          <w:rFonts w:ascii="宋体" w:hAnsi="宋体" w:eastAsia="宋体"/>
          <w:b/>
          <w:sz w:val="28"/>
          <w:szCs w:val="28"/>
        </w:rPr>
        <w:t>地区配备稳定的</w:t>
      </w:r>
      <w:r>
        <w:rPr>
          <w:rFonts w:hint="eastAsia" w:ascii="宋体" w:hAnsi="宋体" w:eastAsia="宋体"/>
          <w:b/>
          <w:sz w:val="28"/>
          <w:szCs w:val="28"/>
        </w:rPr>
        <w:t>工作</w:t>
      </w:r>
      <w:r>
        <w:rPr>
          <w:rFonts w:ascii="宋体" w:hAnsi="宋体" w:eastAsia="宋体"/>
          <w:b/>
          <w:sz w:val="28"/>
          <w:szCs w:val="28"/>
        </w:rPr>
        <w:t>人员、投标单位购买社保的证明材料。</w:t>
      </w:r>
    </w:p>
    <w:p>
      <w:pPr>
        <w:spacing w:line="200" w:lineRule="exact"/>
        <w:rPr>
          <w:rFonts w:ascii="Times New Roman" w:hAnsi="Times New Roman" w:eastAsia="Times New Roman"/>
          <w:sz w:val="30"/>
          <w:szCs w:val="30"/>
        </w:rPr>
      </w:pPr>
    </w:p>
    <w:p>
      <w:pPr>
        <w:spacing w:line="200" w:lineRule="exact"/>
        <w:rPr>
          <w:rFonts w:ascii="Times New Roman" w:hAnsi="Times New Roman" w:eastAsia="Times New Roman"/>
          <w:sz w:val="30"/>
          <w:szCs w:val="30"/>
        </w:rPr>
      </w:pPr>
    </w:p>
    <w:p>
      <w:pPr>
        <w:spacing w:line="200" w:lineRule="exact"/>
        <w:rPr>
          <w:rFonts w:ascii="Times New Roman" w:hAnsi="Times New Roman" w:eastAsia="Times New Roman"/>
          <w:sz w:val="30"/>
          <w:szCs w:val="30"/>
        </w:rPr>
      </w:pPr>
    </w:p>
    <w:p>
      <w:pPr>
        <w:rPr>
          <w:sz w:val="30"/>
          <w:szCs w:val="30"/>
        </w:rPr>
      </w:pPr>
    </w:p>
    <w:p>
      <w:pPr>
        <w:rPr>
          <w:sz w:val="30"/>
          <w:szCs w:val="30"/>
        </w:rPr>
      </w:pPr>
    </w:p>
    <w:p>
      <w:pPr>
        <w:spacing w:line="500" w:lineRule="exact"/>
        <w:rPr>
          <w:rFonts w:asciiTheme="majorEastAsia" w:hAnsiTheme="majorEastAsia" w:eastAsiaTheme="majorEastAsia"/>
          <w:sz w:val="30"/>
          <w:szCs w:val="30"/>
          <w:u w:val="single"/>
        </w:rPr>
      </w:pPr>
      <w:r>
        <w:rPr>
          <w:rFonts w:hint="eastAsia" w:asciiTheme="majorEastAsia" w:hAnsiTheme="majorEastAsia" w:eastAsiaTheme="majorEastAsia"/>
          <w:sz w:val="30"/>
          <w:szCs w:val="30"/>
        </w:rPr>
        <w:t>投标人名称（盖章）：</w:t>
      </w:r>
      <w:r>
        <w:rPr>
          <w:rFonts w:hint="eastAsia" w:asciiTheme="majorEastAsia" w:hAnsiTheme="majorEastAsia" w:eastAsiaTheme="majorEastAsia"/>
          <w:sz w:val="30"/>
          <w:szCs w:val="30"/>
          <w:u w:val="single"/>
        </w:rPr>
        <w:t xml:space="preserve">                      </w:t>
      </w:r>
    </w:p>
    <w:p>
      <w:pPr>
        <w:spacing w:line="500" w:lineRule="exact"/>
        <w:rPr>
          <w:rFonts w:asciiTheme="majorEastAsia" w:hAnsiTheme="majorEastAsia" w:eastAsiaTheme="majorEastAsia"/>
          <w:sz w:val="30"/>
          <w:szCs w:val="30"/>
        </w:rPr>
      </w:pP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日期：        年     月     日</w:t>
      </w:r>
    </w:p>
    <w:p>
      <w:pPr>
        <w:spacing w:line="411" w:lineRule="exact"/>
        <w:rPr>
          <w:rFonts w:ascii="宋体" w:hAnsi="宋体" w:eastAsia="宋体"/>
          <w:b/>
          <w:sz w:val="30"/>
          <w:szCs w:val="30"/>
        </w:rPr>
      </w:pPr>
    </w:p>
    <w:p>
      <w:pPr>
        <w:spacing w:line="411" w:lineRule="exact"/>
        <w:rPr>
          <w:rFonts w:ascii="宋体" w:hAnsi="宋体" w:eastAsia="宋体"/>
          <w:b/>
          <w:sz w:val="30"/>
          <w:szCs w:val="30"/>
        </w:rPr>
      </w:pPr>
    </w:p>
    <w:p>
      <w:pPr>
        <w:spacing w:line="411" w:lineRule="exact"/>
        <w:rPr>
          <w:rFonts w:ascii="宋体" w:hAnsi="宋体" w:eastAsia="宋体"/>
          <w:b/>
          <w:sz w:val="30"/>
          <w:szCs w:val="30"/>
        </w:rPr>
      </w:pPr>
    </w:p>
    <w:p>
      <w:pPr>
        <w:widowControl/>
        <w:jc w:val="left"/>
        <w:rPr>
          <w:rFonts w:ascii="宋体" w:hAnsi="宋体" w:eastAsia="宋体"/>
          <w:b/>
          <w:sz w:val="30"/>
          <w:szCs w:val="30"/>
        </w:rPr>
      </w:pPr>
      <w:r>
        <w:rPr>
          <w:rFonts w:ascii="宋体" w:hAnsi="宋体" w:eastAsia="宋体"/>
          <w:b/>
          <w:sz w:val="30"/>
          <w:szCs w:val="30"/>
        </w:rPr>
        <w:br w:type="page"/>
      </w:r>
    </w:p>
    <w:p>
      <w:pPr>
        <w:spacing w:line="411" w:lineRule="exact"/>
        <w:rPr>
          <w:rFonts w:ascii="宋体" w:hAnsi="宋体" w:eastAsia="宋体"/>
          <w:b/>
          <w:sz w:val="30"/>
          <w:szCs w:val="30"/>
        </w:rPr>
      </w:pPr>
      <w:r>
        <w:rPr>
          <w:rFonts w:hint="eastAsia" w:ascii="宋体" w:hAnsi="宋体" w:eastAsia="宋体"/>
          <w:b/>
          <w:sz w:val="30"/>
          <w:szCs w:val="30"/>
        </w:rPr>
        <w:t>附件5</w:t>
      </w:r>
    </w:p>
    <w:p>
      <w:pPr>
        <w:spacing w:line="411" w:lineRule="exact"/>
        <w:ind w:left="2520"/>
        <w:rPr>
          <w:rFonts w:ascii="宋体" w:hAnsi="宋体" w:eastAsia="宋体"/>
          <w:b/>
          <w:sz w:val="30"/>
          <w:szCs w:val="30"/>
        </w:rPr>
      </w:pPr>
    </w:p>
    <w:p>
      <w:pPr>
        <w:spacing w:line="411" w:lineRule="exact"/>
        <w:ind w:left="2520"/>
        <w:rPr>
          <w:rFonts w:ascii="宋体" w:hAnsi="宋体" w:eastAsia="宋体"/>
          <w:b/>
          <w:sz w:val="30"/>
          <w:szCs w:val="30"/>
        </w:rPr>
      </w:pPr>
      <w:r>
        <w:rPr>
          <w:rFonts w:ascii="宋体" w:hAnsi="宋体" w:eastAsia="宋体"/>
          <w:b/>
          <w:sz w:val="30"/>
          <w:szCs w:val="30"/>
        </w:rPr>
        <w:t>近年同类业绩经验一览表</w:t>
      </w:r>
    </w:p>
    <w:p>
      <w:pPr>
        <w:spacing w:line="200" w:lineRule="exact"/>
        <w:rPr>
          <w:rFonts w:ascii="Times New Roman" w:hAnsi="Times New Roman" w:eastAsia="Times New Roman"/>
          <w:sz w:val="30"/>
          <w:szCs w:val="30"/>
        </w:rPr>
      </w:pPr>
    </w:p>
    <w:p>
      <w:pPr>
        <w:spacing w:line="200" w:lineRule="exact"/>
        <w:rPr>
          <w:rFonts w:ascii="Times New Roman" w:hAnsi="Times New Roman" w:eastAsia="Times New Roman"/>
          <w:sz w:val="30"/>
          <w:szCs w:val="30"/>
        </w:rPr>
      </w:pPr>
    </w:p>
    <w:p>
      <w:pPr>
        <w:spacing w:line="274" w:lineRule="exact"/>
        <w:rPr>
          <w:rFonts w:ascii="宋体" w:hAnsi="宋体" w:eastAsia="宋体"/>
          <w:sz w:val="30"/>
          <w:szCs w:val="30"/>
          <w:u w:val="single"/>
        </w:rPr>
      </w:pPr>
    </w:p>
    <w:p>
      <w:pPr>
        <w:spacing w:line="171" w:lineRule="exact"/>
        <w:rPr>
          <w:rFonts w:ascii="Times New Roman" w:hAnsi="Times New Roman" w:eastAsia="Times New Roman"/>
          <w:sz w:val="30"/>
          <w:szCs w:val="30"/>
        </w:rPr>
      </w:pPr>
    </w:p>
    <w:tbl>
      <w:tblPr>
        <w:tblStyle w:val="8"/>
        <w:tblW w:w="8447" w:type="dxa"/>
        <w:tblInd w:w="210" w:type="dxa"/>
        <w:tblLayout w:type="fixed"/>
        <w:tblCellMar>
          <w:top w:w="0" w:type="dxa"/>
          <w:left w:w="0" w:type="dxa"/>
          <w:bottom w:w="0" w:type="dxa"/>
          <w:right w:w="0" w:type="dxa"/>
        </w:tblCellMar>
      </w:tblPr>
      <w:tblGrid>
        <w:gridCol w:w="793"/>
        <w:gridCol w:w="1701"/>
        <w:gridCol w:w="3118"/>
        <w:gridCol w:w="1418"/>
        <w:gridCol w:w="1417"/>
      </w:tblGrid>
      <w:tr>
        <w:tblPrEx>
          <w:tblCellMar>
            <w:top w:w="0" w:type="dxa"/>
            <w:left w:w="0" w:type="dxa"/>
            <w:bottom w:w="0" w:type="dxa"/>
            <w:right w:w="0" w:type="dxa"/>
          </w:tblCellMar>
        </w:tblPrEx>
        <w:trPr>
          <w:trHeight w:val="334" w:hRule="atLeast"/>
        </w:trPr>
        <w:tc>
          <w:tcPr>
            <w:tcW w:w="793" w:type="dxa"/>
            <w:tcBorders>
              <w:top w:val="single" w:color="auto" w:sz="8" w:space="0"/>
              <w:left w:val="single" w:color="auto" w:sz="8" w:space="0"/>
              <w:right w:val="single" w:color="auto" w:sz="8" w:space="0"/>
            </w:tcBorders>
            <w:shd w:val="clear" w:color="auto" w:fill="auto"/>
            <w:vAlign w:val="bottom"/>
          </w:tcPr>
          <w:p>
            <w:pPr>
              <w:spacing w:line="360" w:lineRule="auto"/>
              <w:jc w:val="center"/>
              <w:rPr>
                <w:rFonts w:ascii="宋体" w:hAnsi="宋体" w:eastAsia="宋体"/>
                <w:b/>
                <w:sz w:val="30"/>
                <w:szCs w:val="30"/>
              </w:rPr>
            </w:pPr>
            <w:r>
              <w:rPr>
                <w:rFonts w:ascii="宋体" w:hAnsi="宋体" w:eastAsia="宋体"/>
                <w:b/>
                <w:sz w:val="30"/>
                <w:szCs w:val="30"/>
              </w:rPr>
              <w:t>序号</w:t>
            </w:r>
          </w:p>
        </w:tc>
        <w:tc>
          <w:tcPr>
            <w:tcW w:w="1701" w:type="dxa"/>
            <w:tcBorders>
              <w:top w:val="single" w:color="auto" w:sz="8" w:space="0"/>
              <w:right w:val="single" w:color="auto" w:sz="8" w:space="0"/>
            </w:tcBorders>
            <w:shd w:val="clear" w:color="auto" w:fill="auto"/>
            <w:vAlign w:val="bottom"/>
          </w:tcPr>
          <w:p>
            <w:pPr>
              <w:spacing w:line="360" w:lineRule="auto"/>
              <w:jc w:val="center"/>
              <w:rPr>
                <w:rFonts w:ascii="宋体" w:hAnsi="宋体" w:eastAsia="宋体"/>
                <w:b/>
                <w:sz w:val="30"/>
                <w:szCs w:val="30"/>
              </w:rPr>
            </w:pPr>
            <w:r>
              <w:rPr>
                <w:rFonts w:ascii="宋体" w:hAnsi="宋体" w:eastAsia="宋体"/>
                <w:b/>
                <w:sz w:val="30"/>
                <w:szCs w:val="30"/>
              </w:rPr>
              <w:t>项目名称</w:t>
            </w:r>
          </w:p>
        </w:tc>
        <w:tc>
          <w:tcPr>
            <w:tcW w:w="3118" w:type="dxa"/>
            <w:tcBorders>
              <w:top w:val="single" w:color="auto" w:sz="8" w:space="0"/>
              <w:right w:val="single" w:color="auto" w:sz="8" w:space="0"/>
            </w:tcBorders>
            <w:shd w:val="clear" w:color="auto" w:fill="auto"/>
            <w:vAlign w:val="bottom"/>
          </w:tcPr>
          <w:p>
            <w:pPr>
              <w:spacing w:line="360" w:lineRule="auto"/>
              <w:jc w:val="center"/>
              <w:rPr>
                <w:rFonts w:ascii="宋体" w:hAnsi="宋体" w:eastAsia="宋体"/>
                <w:b/>
                <w:sz w:val="30"/>
                <w:szCs w:val="30"/>
              </w:rPr>
            </w:pPr>
            <w:r>
              <w:rPr>
                <w:rFonts w:ascii="宋体" w:hAnsi="宋体" w:eastAsia="宋体"/>
                <w:b/>
                <w:sz w:val="30"/>
                <w:szCs w:val="30"/>
              </w:rPr>
              <w:t>项目负责人及电话</w:t>
            </w:r>
          </w:p>
        </w:tc>
        <w:tc>
          <w:tcPr>
            <w:tcW w:w="1418" w:type="dxa"/>
            <w:tcBorders>
              <w:top w:val="single" w:color="auto" w:sz="8" w:space="0"/>
              <w:right w:val="single" w:color="auto" w:sz="8" w:space="0"/>
            </w:tcBorders>
            <w:shd w:val="clear" w:color="auto" w:fill="auto"/>
            <w:vAlign w:val="bottom"/>
          </w:tcPr>
          <w:p>
            <w:pPr>
              <w:spacing w:line="360" w:lineRule="auto"/>
              <w:jc w:val="center"/>
              <w:rPr>
                <w:rFonts w:ascii="宋体" w:hAnsi="宋体" w:eastAsia="宋体"/>
                <w:b/>
                <w:sz w:val="30"/>
                <w:szCs w:val="30"/>
              </w:rPr>
            </w:pPr>
            <w:r>
              <w:rPr>
                <w:rFonts w:ascii="宋体" w:hAnsi="宋体" w:eastAsia="宋体"/>
                <w:b/>
                <w:sz w:val="30"/>
                <w:szCs w:val="30"/>
              </w:rPr>
              <w:t>合同总价</w:t>
            </w:r>
          </w:p>
        </w:tc>
        <w:tc>
          <w:tcPr>
            <w:tcW w:w="1417" w:type="dxa"/>
            <w:tcBorders>
              <w:top w:val="single" w:color="auto" w:sz="8" w:space="0"/>
              <w:right w:val="single" w:color="auto" w:sz="8" w:space="0"/>
            </w:tcBorders>
            <w:shd w:val="clear" w:color="auto" w:fill="auto"/>
            <w:vAlign w:val="bottom"/>
          </w:tcPr>
          <w:p>
            <w:pPr>
              <w:spacing w:line="360" w:lineRule="auto"/>
              <w:jc w:val="center"/>
              <w:rPr>
                <w:rFonts w:ascii="宋体" w:hAnsi="宋体" w:eastAsia="宋体"/>
                <w:b/>
                <w:sz w:val="30"/>
                <w:szCs w:val="30"/>
              </w:rPr>
            </w:pPr>
            <w:r>
              <w:rPr>
                <w:rFonts w:ascii="宋体" w:hAnsi="宋体" w:eastAsia="宋体"/>
                <w:b/>
                <w:sz w:val="30"/>
                <w:szCs w:val="30"/>
              </w:rPr>
              <w:t>签约日期</w:t>
            </w:r>
          </w:p>
        </w:tc>
      </w:tr>
      <w:tr>
        <w:tblPrEx>
          <w:tblCellMar>
            <w:top w:w="0" w:type="dxa"/>
            <w:left w:w="0" w:type="dxa"/>
            <w:bottom w:w="0" w:type="dxa"/>
            <w:right w:w="0" w:type="dxa"/>
          </w:tblCellMar>
        </w:tblPrEx>
        <w:trPr>
          <w:trHeight w:val="97" w:hRule="atLeast"/>
        </w:trPr>
        <w:tc>
          <w:tcPr>
            <w:tcW w:w="793"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31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7"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818" w:hRule="atLeast"/>
        </w:trPr>
        <w:tc>
          <w:tcPr>
            <w:tcW w:w="793"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31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7"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818" w:hRule="atLeast"/>
        </w:trPr>
        <w:tc>
          <w:tcPr>
            <w:tcW w:w="793"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31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7"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831" w:hRule="atLeast"/>
        </w:trPr>
        <w:tc>
          <w:tcPr>
            <w:tcW w:w="793"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31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7"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818" w:hRule="atLeast"/>
        </w:trPr>
        <w:tc>
          <w:tcPr>
            <w:tcW w:w="793"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31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7"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818" w:hRule="atLeast"/>
        </w:trPr>
        <w:tc>
          <w:tcPr>
            <w:tcW w:w="793"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31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7"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r>
        <w:tblPrEx>
          <w:tblCellMar>
            <w:top w:w="0" w:type="dxa"/>
            <w:left w:w="0" w:type="dxa"/>
            <w:bottom w:w="0" w:type="dxa"/>
            <w:right w:w="0" w:type="dxa"/>
          </w:tblCellMar>
        </w:tblPrEx>
        <w:trPr>
          <w:trHeight w:val="820" w:hRule="atLeast"/>
        </w:trPr>
        <w:tc>
          <w:tcPr>
            <w:tcW w:w="793" w:type="dxa"/>
            <w:tcBorders>
              <w:left w:val="single" w:color="auto" w:sz="8" w:space="0"/>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701"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31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8"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c>
          <w:tcPr>
            <w:tcW w:w="1417" w:type="dxa"/>
            <w:tcBorders>
              <w:bottom w:val="single" w:color="auto" w:sz="8" w:space="0"/>
              <w:right w:val="single" w:color="auto" w:sz="8" w:space="0"/>
            </w:tcBorders>
            <w:shd w:val="clear" w:color="auto" w:fill="auto"/>
            <w:vAlign w:val="bottom"/>
          </w:tcPr>
          <w:p>
            <w:pPr>
              <w:spacing w:line="0" w:lineRule="atLeast"/>
              <w:rPr>
                <w:rFonts w:ascii="Times New Roman" w:hAnsi="Times New Roman" w:eastAsia="Times New Roman"/>
                <w:sz w:val="30"/>
                <w:szCs w:val="30"/>
              </w:rPr>
            </w:pPr>
          </w:p>
        </w:tc>
      </w:tr>
    </w:tbl>
    <w:p>
      <w:pPr>
        <w:spacing w:line="27" w:lineRule="exact"/>
        <w:rPr>
          <w:rFonts w:ascii="Times New Roman" w:hAnsi="Times New Roman" w:eastAsia="Times New Roman"/>
          <w:sz w:val="30"/>
          <w:szCs w:val="30"/>
        </w:rPr>
      </w:pPr>
    </w:p>
    <w:p>
      <w:pPr>
        <w:spacing w:line="279" w:lineRule="exact"/>
        <w:ind w:left="200" w:right="600"/>
        <w:rPr>
          <w:rFonts w:asciiTheme="majorEastAsia" w:hAnsiTheme="majorEastAsia" w:eastAsiaTheme="majorEastAsia"/>
          <w:sz w:val="30"/>
          <w:szCs w:val="30"/>
        </w:rPr>
      </w:pPr>
    </w:p>
    <w:p>
      <w:pPr>
        <w:spacing w:line="500" w:lineRule="exact"/>
        <w:ind w:left="1110" w:leftChars="100" w:right="-540" w:hanging="900" w:hangingChars="300"/>
        <w:rPr>
          <w:rFonts w:asciiTheme="majorEastAsia" w:hAnsiTheme="majorEastAsia" w:eastAsiaTheme="majorEastAsia"/>
          <w:sz w:val="30"/>
          <w:szCs w:val="30"/>
        </w:rPr>
      </w:pPr>
      <w:r>
        <w:rPr>
          <w:rFonts w:asciiTheme="majorEastAsia" w:hAnsiTheme="majorEastAsia" w:eastAsiaTheme="majorEastAsia"/>
          <w:sz w:val="30"/>
          <w:szCs w:val="30"/>
        </w:rPr>
        <w:t>说明：同类业绩是指餐饮</w:t>
      </w:r>
      <w:r>
        <w:rPr>
          <w:rFonts w:hint="eastAsia" w:asciiTheme="majorEastAsia" w:hAnsiTheme="majorEastAsia" w:eastAsiaTheme="majorEastAsia"/>
          <w:sz w:val="30"/>
          <w:szCs w:val="30"/>
        </w:rPr>
        <w:t>经</w:t>
      </w:r>
      <w:r>
        <w:rPr>
          <w:rFonts w:asciiTheme="majorEastAsia" w:hAnsiTheme="majorEastAsia" w:eastAsiaTheme="majorEastAsia"/>
          <w:sz w:val="30"/>
          <w:szCs w:val="30"/>
        </w:rPr>
        <w:t>营</w:t>
      </w:r>
      <w:r>
        <w:rPr>
          <w:rFonts w:hint="eastAsia" w:asciiTheme="majorEastAsia" w:hAnsiTheme="majorEastAsia" w:eastAsiaTheme="majorEastAsia"/>
          <w:sz w:val="30"/>
          <w:szCs w:val="30"/>
        </w:rPr>
        <w:t>或承包服务的</w:t>
      </w:r>
      <w:r>
        <w:rPr>
          <w:rFonts w:asciiTheme="majorEastAsia" w:hAnsiTheme="majorEastAsia" w:eastAsiaTheme="majorEastAsia"/>
          <w:sz w:val="30"/>
          <w:szCs w:val="30"/>
        </w:rPr>
        <w:t>资质，并具有承包经营 200人以上规模高校或企事业单位食堂的经验（以合同复印件或上级主管部门下达的文件为准）。</w:t>
      </w:r>
    </w:p>
    <w:p>
      <w:pPr>
        <w:spacing w:line="500" w:lineRule="exact"/>
        <w:rPr>
          <w:rFonts w:asciiTheme="majorEastAsia" w:hAnsiTheme="majorEastAsia" w:eastAsiaTheme="majorEastAsia"/>
          <w:sz w:val="30"/>
          <w:szCs w:val="30"/>
        </w:rPr>
      </w:pPr>
    </w:p>
    <w:p>
      <w:pPr>
        <w:spacing w:line="500" w:lineRule="exact"/>
        <w:rPr>
          <w:rFonts w:asciiTheme="majorEastAsia" w:hAnsiTheme="majorEastAsia" w:eastAsiaTheme="majorEastAsia"/>
          <w:sz w:val="30"/>
          <w:szCs w:val="30"/>
        </w:rPr>
      </w:pPr>
    </w:p>
    <w:p>
      <w:pPr>
        <w:spacing w:line="500" w:lineRule="exact"/>
        <w:rPr>
          <w:rFonts w:asciiTheme="majorEastAsia" w:hAnsiTheme="majorEastAsia" w:eastAsiaTheme="majorEastAsia"/>
          <w:sz w:val="30"/>
          <w:szCs w:val="30"/>
        </w:rPr>
      </w:pPr>
    </w:p>
    <w:p>
      <w:pPr>
        <w:spacing w:line="500" w:lineRule="exact"/>
        <w:rPr>
          <w:rFonts w:asciiTheme="majorEastAsia" w:hAnsiTheme="majorEastAsia" w:eastAsiaTheme="majorEastAsia"/>
          <w:sz w:val="30"/>
          <w:szCs w:val="30"/>
        </w:rPr>
      </w:pPr>
    </w:p>
    <w:p>
      <w:pPr>
        <w:spacing w:line="500" w:lineRule="exact"/>
        <w:rPr>
          <w:rFonts w:asciiTheme="majorEastAsia" w:hAnsiTheme="majorEastAsia" w:eastAsiaTheme="majorEastAsia"/>
          <w:sz w:val="30"/>
          <w:szCs w:val="30"/>
          <w:u w:val="single"/>
        </w:rPr>
      </w:pPr>
      <w:r>
        <w:rPr>
          <w:rFonts w:hint="eastAsia" w:asciiTheme="majorEastAsia" w:hAnsiTheme="majorEastAsia" w:eastAsiaTheme="majorEastAsia"/>
          <w:sz w:val="30"/>
          <w:szCs w:val="30"/>
        </w:rPr>
        <w:t>投标人名称（盖章）：</w:t>
      </w:r>
      <w:r>
        <w:rPr>
          <w:rFonts w:hint="eastAsia" w:asciiTheme="majorEastAsia" w:hAnsiTheme="majorEastAsia" w:eastAsiaTheme="majorEastAsia"/>
          <w:sz w:val="30"/>
          <w:szCs w:val="30"/>
          <w:u w:val="single"/>
        </w:rPr>
        <w:t xml:space="preserve">                      </w:t>
      </w:r>
    </w:p>
    <w:p>
      <w:pPr>
        <w:spacing w:line="500" w:lineRule="exact"/>
        <w:rPr>
          <w:rFonts w:asciiTheme="majorEastAsia" w:hAnsiTheme="majorEastAsia" w:eastAsiaTheme="majorEastAsia"/>
          <w:sz w:val="30"/>
          <w:szCs w:val="30"/>
        </w:rPr>
      </w:pP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日期：        年     月     日</w:t>
      </w:r>
    </w:p>
    <w:p>
      <w:pPr>
        <w:spacing w:line="500" w:lineRule="exact"/>
        <w:rPr>
          <w:rFonts w:asciiTheme="majorEastAsia" w:hAnsiTheme="majorEastAsia" w:eastAsiaTheme="majorEastAsia"/>
          <w:sz w:val="30"/>
          <w:szCs w:val="30"/>
        </w:rPr>
      </w:pPr>
    </w:p>
    <w:p>
      <w:pPr>
        <w:spacing w:line="411" w:lineRule="exact"/>
        <w:ind w:right="6"/>
        <w:rPr>
          <w:rFonts w:ascii="宋体" w:hAnsi="宋体" w:eastAsia="宋体"/>
          <w:b/>
          <w:sz w:val="30"/>
          <w:szCs w:val="30"/>
        </w:rPr>
      </w:pPr>
      <w:r>
        <w:rPr>
          <w:rFonts w:hint="eastAsia" w:ascii="宋体" w:hAnsi="宋体" w:eastAsia="宋体"/>
          <w:b/>
          <w:sz w:val="30"/>
          <w:szCs w:val="30"/>
        </w:rPr>
        <w:t>附件6</w:t>
      </w:r>
    </w:p>
    <w:p>
      <w:pPr>
        <w:spacing w:line="411" w:lineRule="exact"/>
        <w:ind w:right="6"/>
        <w:jc w:val="center"/>
        <w:rPr>
          <w:rFonts w:ascii="宋体" w:hAnsi="宋体" w:eastAsia="宋体"/>
          <w:sz w:val="30"/>
          <w:szCs w:val="30"/>
        </w:rPr>
      </w:pPr>
      <w:r>
        <w:rPr>
          <w:rFonts w:ascii="宋体" w:hAnsi="宋体" w:eastAsia="宋体"/>
          <w:b/>
          <w:sz w:val="30"/>
          <w:szCs w:val="30"/>
        </w:rPr>
        <w:t>投标服务方案</w:t>
      </w:r>
      <w:r>
        <w:rPr>
          <w:rFonts w:ascii="宋体" w:hAnsi="宋体" w:eastAsia="宋体"/>
          <w:sz w:val="30"/>
          <w:szCs w:val="30"/>
        </w:rPr>
        <w:t>（格式自定）</w:t>
      </w:r>
    </w:p>
    <w:p>
      <w:pPr>
        <w:spacing w:line="600" w:lineRule="exact"/>
        <w:rPr>
          <w:rFonts w:ascii="Times New Roman" w:hAnsi="Times New Roman" w:eastAsia="Times New Roman"/>
          <w:sz w:val="30"/>
          <w:szCs w:val="30"/>
        </w:rPr>
      </w:pPr>
    </w:p>
    <w:p>
      <w:pPr>
        <w:spacing w:line="600" w:lineRule="exact"/>
        <w:rPr>
          <w:rFonts w:ascii="Times New Roman" w:hAnsi="Times New Roman" w:eastAsia="Times New Roman"/>
          <w:sz w:val="30"/>
          <w:szCs w:val="30"/>
        </w:rPr>
      </w:pPr>
    </w:p>
    <w:p>
      <w:pPr>
        <w:spacing w:line="600" w:lineRule="exact"/>
        <w:rPr>
          <w:rFonts w:ascii="Times New Roman" w:hAnsi="Times New Roman" w:eastAsia="Times New Roman"/>
          <w:sz w:val="30"/>
          <w:szCs w:val="30"/>
        </w:rPr>
      </w:pPr>
    </w:p>
    <w:p>
      <w:pPr>
        <w:spacing w:line="600" w:lineRule="exact"/>
        <w:ind w:left="200"/>
        <w:rPr>
          <w:rFonts w:ascii="宋体" w:hAnsi="宋体" w:eastAsia="宋体"/>
          <w:sz w:val="30"/>
          <w:szCs w:val="30"/>
        </w:rPr>
      </w:pPr>
      <w:r>
        <w:rPr>
          <w:rFonts w:ascii="宋体" w:hAnsi="宋体" w:eastAsia="宋体"/>
          <w:sz w:val="30"/>
          <w:szCs w:val="30"/>
        </w:rPr>
        <w:t>投标人必须对以下内容进行详细的描述，至少应包括下列几项：</w:t>
      </w:r>
    </w:p>
    <w:p>
      <w:pPr>
        <w:spacing w:line="600" w:lineRule="exact"/>
        <w:rPr>
          <w:rFonts w:ascii="Times New Roman" w:hAnsi="Times New Roman" w:eastAsia="Times New Roman"/>
          <w:sz w:val="30"/>
          <w:szCs w:val="30"/>
        </w:rPr>
      </w:pPr>
    </w:p>
    <w:p>
      <w:pPr>
        <w:widowControl/>
        <w:numPr>
          <w:ilvl w:val="0"/>
          <w:numId w:val="6"/>
        </w:numPr>
        <w:tabs>
          <w:tab w:val="left" w:pos="740"/>
        </w:tabs>
        <w:spacing w:line="600" w:lineRule="exact"/>
        <w:ind w:left="740" w:hanging="356"/>
        <w:jc w:val="left"/>
        <w:rPr>
          <w:rFonts w:ascii="宋体" w:hAnsi="宋体" w:eastAsia="宋体"/>
          <w:sz w:val="30"/>
          <w:szCs w:val="30"/>
        </w:rPr>
      </w:pPr>
      <w:r>
        <w:rPr>
          <w:rFonts w:ascii="宋体" w:hAnsi="宋体" w:eastAsia="宋体"/>
          <w:sz w:val="30"/>
          <w:szCs w:val="30"/>
        </w:rPr>
        <w:t>服务管理方案；</w:t>
      </w:r>
    </w:p>
    <w:p>
      <w:pPr>
        <w:widowControl/>
        <w:numPr>
          <w:ilvl w:val="0"/>
          <w:numId w:val="6"/>
        </w:numPr>
        <w:tabs>
          <w:tab w:val="left" w:pos="740"/>
        </w:tabs>
        <w:spacing w:line="600" w:lineRule="exact"/>
        <w:ind w:left="740" w:hanging="356"/>
        <w:jc w:val="left"/>
        <w:rPr>
          <w:rFonts w:ascii="宋体" w:hAnsi="宋体" w:eastAsia="宋体"/>
          <w:sz w:val="30"/>
          <w:szCs w:val="30"/>
        </w:rPr>
      </w:pPr>
      <w:r>
        <w:rPr>
          <w:rFonts w:ascii="宋体" w:hAnsi="宋体" w:eastAsia="宋体"/>
          <w:sz w:val="30"/>
          <w:szCs w:val="30"/>
        </w:rPr>
        <w:t>服务流程；</w:t>
      </w:r>
    </w:p>
    <w:p>
      <w:pPr>
        <w:widowControl/>
        <w:numPr>
          <w:ilvl w:val="0"/>
          <w:numId w:val="6"/>
        </w:numPr>
        <w:tabs>
          <w:tab w:val="left" w:pos="740"/>
        </w:tabs>
        <w:spacing w:line="600" w:lineRule="exact"/>
        <w:ind w:left="740" w:hanging="356"/>
        <w:jc w:val="left"/>
        <w:rPr>
          <w:rFonts w:ascii="宋体" w:hAnsi="宋体" w:eastAsia="宋体"/>
          <w:sz w:val="30"/>
          <w:szCs w:val="30"/>
        </w:rPr>
      </w:pPr>
      <w:r>
        <w:rPr>
          <w:rFonts w:ascii="宋体" w:hAnsi="宋体" w:eastAsia="宋体"/>
          <w:sz w:val="30"/>
          <w:szCs w:val="30"/>
        </w:rPr>
        <w:t>人力资源配置及安排；</w:t>
      </w:r>
    </w:p>
    <w:p>
      <w:pPr>
        <w:widowControl/>
        <w:numPr>
          <w:ilvl w:val="0"/>
          <w:numId w:val="6"/>
        </w:numPr>
        <w:tabs>
          <w:tab w:val="left" w:pos="740"/>
        </w:tabs>
        <w:spacing w:line="600" w:lineRule="exact"/>
        <w:ind w:left="740" w:hanging="356"/>
        <w:jc w:val="left"/>
        <w:rPr>
          <w:rFonts w:ascii="宋体" w:hAnsi="宋体" w:eastAsia="宋体"/>
          <w:sz w:val="30"/>
          <w:szCs w:val="30"/>
        </w:rPr>
      </w:pPr>
      <w:r>
        <w:rPr>
          <w:rFonts w:hint="eastAsia" w:ascii="宋体" w:hAnsi="宋体" w:eastAsia="宋体"/>
          <w:sz w:val="30"/>
          <w:szCs w:val="30"/>
        </w:rPr>
        <w:t>管理</w:t>
      </w:r>
      <w:r>
        <w:rPr>
          <w:rFonts w:ascii="宋体" w:hAnsi="宋体" w:eastAsia="宋体"/>
          <w:sz w:val="30"/>
          <w:szCs w:val="30"/>
        </w:rPr>
        <w:t>制度及细则；</w:t>
      </w:r>
    </w:p>
    <w:p>
      <w:pPr>
        <w:widowControl/>
        <w:numPr>
          <w:ilvl w:val="0"/>
          <w:numId w:val="6"/>
        </w:numPr>
        <w:tabs>
          <w:tab w:val="left" w:pos="740"/>
        </w:tabs>
        <w:spacing w:line="600" w:lineRule="exact"/>
        <w:ind w:left="740" w:hanging="356"/>
        <w:jc w:val="left"/>
        <w:rPr>
          <w:rFonts w:ascii="宋体" w:hAnsi="宋体" w:eastAsia="宋体"/>
          <w:sz w:val="30"/>
          <w:szCs w:val="30"/>
        </w:rPr>
      </w:pPr>
      <w:r>
        <w:rPr>
          <w:rFonts w:ascii="宋体" w:hAnsi="宋体" w:eastAsia="宋体"/>
          <w:sz w:val="30"/>
          <w:szCs w:val="30"/>
        </w:rPr>
        <w:t>对招标范围内环境特点的详细分析描述；</w:t>
      </w:r>
    </w:p>
    <w:p>
      <w:pPr>
        <w:widowControl/>
        <w:numPr>
          <w:ilvl w:val="0"/>
          <w:numId w:val="6"/>
        </w:numPr>
        <w:tabs>
          <w:tab w:val="left" w:pos="740"/>
        </w:tabs>
        <w:spacing w:line="600" w:lineRule="exact"/>
        <w:ind w:left="740" w:hanging="356"/>
        <w:jc w:val="left"/>
        <w:rPr>
          <w:rFonts w:ascii="宋体" w:hAnsi="宋体" w:eastAsia="宋体"/>
          <w:sz w:val="30"/>
          <w:szCs w:val="30"/>
        </w:rPr>
      </w:pPr>
      <w:r>
        <w:rPr>
          <w:rFonts w:ascii="宋体" w:hAnsi="宋体" w:eastAsia="宋体"/>
          <w:sz w:val="30"/>
          <w:szCs w:val="30"/>
        </w:rPr>
        <w:t>突发事件应急保障措施；</w:t>
      </w:r>
    </w:p>
    <w:p>
      <w:pPr>
        <w:widowControl/>
        <w:numPr>
          <w:ilvl w:val="0"/>
          <w:numId w:val="6"/>
        </w:numPr>
        <w:tabs>
          <w:tab w:val="left" w:pos="740"/>
        </w:tabs>
        <w:spacing w:line="600" w:lineRule="exact"/>
        <w:ind w:left="740" w:hanging="356"/>
        <w:jc w:val="left"/>
        <w:rPr>
          <w:rFonts w:ascii="宋体" w:hAnsi="宋体" w:eastAsia="宋体"/>
          <w:sz w:val="30"/>
          <w:szCs w:val="30"/>
        </w:rPr>
      </w:pPr>
      <w:r>
        <w:rPr>
          <w:rFonts w:ascii="宋体" w:hAnsi="宋体" w:eastAsia="宋体"/>
          <w:sz w:val="30"/>
          <w:szCs w:val="30"/>
        </w:rPr>
        <w:t>临时性、阶段性工作方案</w:t>
      </w:r>
    </w:p>
    <w:p>
      <w:pPr>
        <w:widowControl/>
        <w:numPr>
          <w:ilvl w:val="0"/>
          <w:numId w:val="6"/>
        </w:numPr>
        <w:tabs>
          <w:tab w:val="left" w:pos="740"/>
        </w:tabs>
        <w:spacing w:line="600" w:lineRule="exact"/>
        <w:ind w:left="740" w:hanging="356"/>
        <w:jc w:val="left"/>
        <w:rPr>
          <w:rFonts w:ascii="宋体" w:hAnsi="宋体" w:eastAsia="宋体"/>
          <w:sz w:val="30"/>
          <w:szCs w:val="30"/>
        </w:rPr>
      </w:pPr>
      <w:r>
        <w:rPr>
          <w:rFonts w:ascii="宋体" w:hAnsi="宋体" w:eastAsia="宋体"/>
          <w:sz w:val="30"/>
          <w:szCs w:val="30"/>
        </w:rPr>
        <w:t>经营服务要求的响应；</w:t>
      </w:r>
    </w:p>
    <w:p>
      <w:pPr>
        <w:widowControl/>
        <w:numPr>
          <w:ilvl w:val="0"/>
          <w:numId w:val="6"/>
        </w:numPr>
        <w:tabs>
          <w:tab w:val="left" w:pos="740"/>
        </w:tabs>
        <w:spacing w:line="600" w:lineRule="exact"/>
        <w:ind w:left="740" w:hanging="356"/>
        <w:jc w:val="left"/>
        <w:rPr>
          <w:rFonts w:ascii="Times New Roman" w:hAnsi="Times New Roman" w:eastAsia="Times New Roman"/>
          <w:sz w:val="30"/>
          <w:szCs w:val="30"/>
        </w:rPr>
      </w:pPr>
      <w:r>
        <w:rPr>
          <w:rFonts w:ascii="宋体" w:hAnsi="宋体" w:eastAsia="宋体"/>
          <w:sz w:val="30"/>
          <w:szCs w:val="30"/>
        </w:rPr>
        <w:t>拓展增值服务选择项目；</w:t>
      </w:r>
    </w:p>
    <w:p>
      <w:pPr>
        <w:spacing w:line="600" w:lineRule="exact"/>
        <w:ind w:left="380"/>
        <w:rPr>
          <w:rFonts w:ascii="宋体" w:hAnsi="宋体" w:eastAsia="宋体"/>
          <w:sz w:val="30"/>
          <w:szCs w:val="30"/>
        </w:rPr>
      </w:pPr>
      <w:r>
        <w:rPr>
          <w:rFonts w:ascii="宋体" w:hAnsi="宋体" w:eastAsia="宋体"/>
          <w:sz w:val="30"/>
          <w:szCs w:val="30"/>
        </w:rPr>
        <w:t>10.其他服务承诺</w:t>
      </w:r>
      <w:r>
        <w:rPr>
          <w:rFonts w:hint="eastAsia" w:ascii="宋体" w:hAnsi="宋体" w:eastAsia="宋体"/>
          <w:sz w:val="30"/>
          <w:szCs w:val="30"/>
        </w:rPr>
        <w:t>；</w:t>
      </w:r>
    </w:p>
    <w:p>
      <w:pPr>
        <w:spacing w:line="600" w:lineRule="exact"/>
        <w:ind w:left="380"/>
        <w:rPr>
          <w:rFonts w:ascii="宋体" w:hAnsi="宋体" w:eastAsia="宋体"/>
          <w:sz w:val="30"/>
          <w:szCs w:val="30"/>
        </w:rPr>
      </w:pPr>
      <w:r>
        <w:rPr>
          <w:rFonts w:hint="eastAsia" w:ascii="宋体" w:hAnsi="宋体" w:eastAsia="宋体"/>
          <w:sz w:val="30"/>
          <w:szCs w:val="30"/>
        </w:rPr>
        <w:t>11.提交附件10-12自查评分表，并标注证明文件在投标文件中的页码</w:t>
      </w:r>
      <w:r>
        <w:rPr>
          <w:rFonts w:ascii="宋体" w:hAnsi="宋体" w:eastAsia="宋体"/>
          <w:sz w:val="30"/>
          <w:szCs w:val="30"/>
        </w:rPr>
        <w:t>。</w:t>
      </w:r>
    </w:p>
    <w:p>
      <w:pPr>
        <w:spacing w:line="360" w:lineRule="auto"/>
        <w:rPr>
          <w:sz w:val="30"/>
          <w:szCs w:val="30"/>
        </w:rPr>
      </w:pPr>
    </w:p>
    <w:p>
      <w:pPr>
        <w:rPr>
          <w:sz w:val="30"/>
          <w:szCs w:val="30"/>
        </w:rPr>
      </w:pPr>
    </w:p>
    <w:p>
      <w:pPr>
        <w:rPr>
          <w:sz w:val="30"/>
          <w:szCs w:val="30"/>
        </w:rPr>
      </w:pPr>
    </w:p>
    <w:p>
      <w:pPr>
        <w:rPr>
          <w:sz w:val="30"/>
          <w:szCs w:val="30"/>
        </w:rPr>
      </w:pPr>
    </w:p>
    <w:p>
      <w:pPr>
        <w:jc w:val="left"/>
        <w:rPr>
          <w:rFonts w:asciiTheme="majorEastAsia" w:hAnsiTheme="majorEastAsia" w:eastAsiaTheme="majorEastAsia"/>
          <w:b/>
          <w:sz w:val="30"/>
          <w:szCs w:val="30"/>
        </w:rPr>
      </w:pPr>
      <w:r>
        <w:rPr>
          <w:rFonts w:hint="eastAsia" w:asciiTheme="majorEastAsia" w:hAnsiTheme="majorEastAsia" w:eastAsiaTheme="majorEastAsia"/>
          <w:b/>
          <w:sz w:val="30"/>
          <w:szCs w:val="30"/>
        </w:rPr>
        <w:t>附件7</w:t>
      </w:r>
    </w:p>
    <w:p>
      <w:pPr>
        <w:jc w:val="center"/>
        <w:rPr>
          <w:rFonts w:asciiTheme="majorEastAsia" w:hAnsiTheme="majorEastAsia" w:eastAsiaTheme="majorEastAsia"/>
          <w:b/>
          <w:sz w:val="36"/>
          <w:szCs w:val="36"/>
        </w:rPr>
      </w:pPr>
      <w:r>
        <w:rPr>
          <w:rFonts w:asciiTheme="majorEastAsia" w:hAnsiTheme="majorEastAsia" w:eastAsiaTheme="majorEastAsia"/>
          <w:b/>
          <w:sz w:val="36"/>
          <w:szCs w:val="36"/>
        </w:rPr>
        <w:t>投标申请人报名提交资料一览表</w:t>
      </w:r>
    </w:p>
    <w:p>
      <w:pPr>
        <w:spacing w:line="500" w:lineRule="exact"/>
        <w:rPr>
          <w:rFonts w:asciiTheme="majorEastAsia" w:hAnsiTheme="majorEastAsia" w:eastAsiaTheme="majorEastAsia"/>
          <w:sz w:val="30"/>
          <w:szCs w:val="30"/>
        </w:rPr>
      </w:pP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投标申请人报名时需提交下列资料：</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1. 营业执照原件及复印件</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2. </w:t>
      </w:r>
      <w:r>
        <w:rPr>
          <w:rFonts w:hint="eastAsia"/>
          <w:sz w:val="30"/>
          <w:szCs w:val="30"/>
        </w:rPr>
        <w:t>食品经营许可证原件及复印件</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3. </w:t>
      </w:r>
      <w:r>
        <w:rPr>
          <w:rFonts w:hint="eastAsia"/>
          <w:sz w:val="30"/>
          <w:szCs w:val="30"/>
        </w:rPr>
        <w:t>法定代表人证明书、身份证原件及复印件</w:t>
      </w:r>
    </w:p>
    <w:p>
      <w:pPr>
        <w:spacing w:line="500" w:lineRule="exact"/>
        <w:rPr>
          <w:rFonts w:asciiTheme="majorEastAsia" w:hAnsiTheme="majorEastAsia" w:eastAsiaTheme="majorEastAsia"/>
          <w:sz w:val="30"/>
          <w:szCs w:val="30"/>
        </w:rPr>
      </w:pPr>
      <w:r>
        <w:rPr>
          <w:rFonts w:hint="eastAsia" w:asciiTheme="majorEastAsia" w:hAnsiTheme="majorEastAsia" w:eastAsiaTheme="majorEastAsia"/>
          <w:sz w:val="30"/>
          <w:szCs w:val="30"/>
        </w:rPr>
        <w:t xml:space="preserve">4. </w:t>
      </w:r>
      <w:r>
        <w:rPr>
          <w:rFonts w:hint="eastAsia"/>
          <w:sz w:val="30"/>
          <w:szCs w:val="30"/>
        </w:rPr>
        <w:t>法定代表人授权书及被授权代表身份证原件及复印件（如有委托）</w:t>
      </w:r>
    </w:p>
    <w:p>
      <w:pPr>
        <w:spacing w:line="500" w:lineRule="exact"/>
        <w:rPr>
          <w:sz w:val="30"/>
          <w:szCs w:val="30"/>
        </w:rPr>
      </w:pPr>
    </w:p>
    <w:p>
      <w:pPr>
        <w:pStyle w:val="13"/>
        <w:widowControl w:val="0"/>
        <w:spacing w:line="500" w:lineRule="exact"/>
        <w:ind w:left="435" w:firstLine="0" w:firstLineChars="0"/>
        <w:jc w:val="both"/>
        <w:rPr>
          <w:sz w:val="30"/>
          <w:szCs w:val="30"/>
        </w:rPr>
      </w:pPr>
    </w:p>
    <w:p>
      <w:pPr>
        <w:pStyle w:val="13"/>
        <w:spacing w:line="500" w:lineRule="exact"/>
        <w:ind w:left="435" w:firstLine="0" w:firstLineChars="0"/>
        <w:rPr>
          <w:sz w:val="28"/>
          <w:szCs w:val="30"/>
        </w:rPr>
      </w:pPr>
      <w:r>
        <w:rPr>
          <w:rFonts w:hint="eastAsia"/>
          <w:sz w:val="28"/>
          <w:szCs w:val="30"/>
        </w:rPr>
        <w:t>说明：</w:t>
      </w:r>
    </w:p>
    <w:p>
      <w:pPr>
        <w:pStyle w:val="13"/>
        <w:spacing w:line="500" w:lineRule="exact"/>
        <w:ind w:left="435" w:firstLine="0" w:firstLineChars="0"/>
        <w:rPr>
          <w:sz w:val="28"/>
          <w:szCs w:val="30"/>
        </w:rPr>
      </w:pPr>
      <w:r>
        <w:rPr>
          <w:rFonts w:hint="eastAsia"/>
          <w:sz w:val="28"/>
          <w:szCs w:val="30"/>
        </w:rPr>
        <w:t>（1）复印件需盖公章，原件核对后退回；</w:t>
      </w:r>
    </w:p>
    <w:p>
      <w:pPr>
        <w:pStyle w:val="13"/>
        <w:spacing w:line="500" w:lineRule="exact"/>
        <w:ind w:left="435" w:firstLine="0" w:firstLineChars="0"/>
        <w:rPr>
          <w:sz w:val="28"/>
          <w:szCs w:val="30"/>
        </w:rPr>
      </w:pPr>
      <w:r>
        <w:rPr>
          <w:rFonts w:hint="eastAsia"/>
          <w:sz w:val="28"/>
          <w:szCs w:val="30"/>
        </w:rPr>
        <w:t>（2）营业执照及食品经营许可证需同一投标申请人，上述两证法定代表人需相同；</w:t>
      </w:r>
    </w:p>
    <w:p>
      <w:pPr>
        <w:pStyle w:val="13"/>
        <w:spacing w:line="500" w:lineRule="exact"/>
        <w:ind w:left="435" w:firstLine="0" w:firstLineChars="0"/>
        <w:rPr>
          <w:sz w:val="28"/>
          <w:szCs w:val="30"/>
        </w:rPr>
      </w:pPr>
      <w:r>
        <w:rPr>
          <w:rFonts w:hint="eastAsia"/>
          <w:sz w:val="28"/>
          <w:szCs w:val="30"/>
        </w:rPr>
        <w:t>（3）投标人可选择在报名时另页附公司基本情况简介（报名时非必须）；</w:t>
      </w:r>
    </w:p>
    <w:p>
      <w:pPr>
        <w:pStyle w:val="13"/>
        <w:spacing w:line="500" w:lineRule="exact"/>
        <w:ind w:left="435" w:firstLine="0" w:firstLineChars="0"/>
        <w:rPr>
          <w:sz w:val="28"/>
          <w:szCs w:val="30"/>
        </w:rPr>
      </w:pPr>
      <w:r>
        <w:rPr>
          <w:rFonts w:hint="eastAsia"/>
          <w:sz w:val="28"/>
          <w:szCs w:val="30"/>
        </w:rPr>
        <w:t>（4）提交视频及照片按《服务与承诺评分表》第1项需考察评价的10个项目逐项按要求制作，请尽可能涵盖和详细，否则会影响评分，可在报名时提交或与标书一并提交，首选用U盘。</w:t>
      </w:r>
    </w:p>
    <w:p>
      <w:pPr>
        <w:spacing w:line="300" w:lineRule="auto"/>
        <w:outlineLvl w:val="0"/>
        <w:rPr>
          <w:rFonts w:ascii="宋体" w:hAnsi="宋体" w:eastAsia="宋体" w:cs="Times New Roman"/>
          <w:b/>
          <w:color w:val="000000" w:themeColor="text1"/>
          <w:sz w:val="30"/>
          <w:szCs w:val="30"/>
        </w:rPr>
      </w:pPr>
    </w:p>
    <w:p>
      <w:pPr>
        <w:spacing w:line="300" w:lineRule="auto"/>
        <w:outlineLvl w:val="0"/>
        <w:rPr>
          <w:rFonts w:ascii="宋体" w:hAnsi="宋体" w:eastAsia="宋体" w:cs="Times New Roman"/>
          <w:b/>
          <w:color w:val="000000" w:themeColor="text1"/>
          <w:sz w:val="30"/>
          <w:szCs w:val="30"/>
        </w:rPr>
      </w:pPr>
    </w:p>
    <w:p>
      <w:pPr>
        <w:spacing w:line="300" w:lineRule="auto"/>
        <w:outlineLvl w:val="0"/>
        <w:rPr>
          <w:rFonts w:ascii="宋体" w:hAnsi="宋体" w:eastAsia="宋体" w:cs="Times New Roman"/>
          <w:b/>
          <w:color w:val="000000" w:themeColor="text1"/>
          <w:sz w:val="30"/>
          <w:szCs w:val="30"/>
        </w:rPr>
      </w:pPr>
    </w:p>
    <w:p>
      <w:pPr>
        <w:spacing w:line="300" w:lineRule="auto"/>
        <w:outlineLvl w:val="0"/>
        <w:rPr>
          <w:rFonts w:ascii="宋体" w:hAnsi="宋体" w:eastAsia="宋体" w:cs="Times New Roman"/>
          <w:b/>
          <w:color w:val="000000" w:themeColor="text1"/>
          <w:sz w:val="30"/>
          <w:szCs w:val="30"/>
        </w:rPr>
      </w:pPr>
    </w:p>
    <w:p>
      <w:pPr>
        <w:spacing w:line="300" w:lineRule="auto"/>
        <w:outlineLvl w:val="0"/>
        <w:rPr>
          <w:rFonts w:ascii="宋体" w:hAnsi="宋体" w:eastAsia="宋体" w:cs="Times New Roman"/>
          <w:b/>
          <w:color w:val="000000" w:themeColor="text1"/>
          <w:sz w:val="30"/>
          <w:szCs w:val="30"/>
        </w:rPr>
      </w:pPr>
    </w:p>
    <w:p>
      <w:pPr>
        <w:spacing w:line="300" w:lineRule="auto"/>
        <w:outlineLvl w:val="0"/>
        <w:rPr>
          <w:rFonts w:ascii="宋体" w:hAnsi="宋体" w:eastAsia="宋体" w:cs="Times New Roman"/>
          <w:b/>
          <w:color w:val="000000" w:themeColor="text1"/>
          <w:sz w:val="30"/>
          <w:szCs w:val="30"/>
        </w:rPr>
      </w:pPr>
    </w:p>
    <w:p>
      <w:pPr>
        <w:spacing w:line="300" w:lineRule="auto"/>
        <w:outlineLvl w:val="0"/>
        <w:rPr>
          <w:rFonts w:ascii="宋体" w:hAnsi="宋体" w:eastAsia="宋体" w:cs="Times New Roman"/>
          <w:b/>
          <w:bCs/>
          <w:color w:val="000000" w:themeColor="text1"/>
          <w:sz w:val="30"/>
          <w:szCs w:val="30"/>
        </w:rPr>
      </w:pPr>
      <w:r>
        <w:rPr>
          <w:rFonts w:hint="eastAsia" w:ascii="宋体" w:hAnsi="宋体" w:eastAsia="宋体" w:cs="Times New Roman"/>
          <w:b/>
          <w:color w:val="000000" w:themeColor="text1"/>
          <w:sz w:val="30"/>
          <w:szCs w:val="30"/>
        </w:rPr>
        <w:t>附件8</w:t>
      </w:r>
    </w:p>
    <w:p>
      <w:pPr>
        <w:spacing w:line="300" w:lineRule="auto"/>
        <w:ind w:firstLine="34"/>
        <w:jc w:val="center"/>
        <w:rPr>
          <w:rFonts w:ascii="宋体" w:hAnsi="宋体" w:eastAsia="宋体" w:cs="Times New Roman"/>
          <w:b/>
          <w:bCs/>
          <w:color w:val="000000" w:themeColor="text1"/>
          <w:sz w:val="30"/>
          <w:szCs w:val="30"/>
        </w:rPr>
      </w:pPr>
      <w:r>
        <w:rPr>
          <w:rFonts w:hint="eastAsia" w:ascii="宋体" w:hAnsi="宋体" w:eastAsia="宋体" w:cs="Times New Roman"/>
          <w:b/>
          <w:bCs/>
          <w:color w:val="000000" w:themeColor="text1"/>
          <w:sz w:val="30"/>
          <w:szCs w:val="30"/>
        </w:rPr>
        <w:t>法定代表人证明书</w:t>
      </w:r>
    </w:p>
    <w:p>
      <w:pPr>
        <w:spacing w:line="360" w:lineRule="auto"/>
        <w:rPr>
          <w:rFonts w:ascii="宋体" w:hAnsi="宋体" w:eastAsia="宋体" w:cs="Times New Roman"/>
          <w:color w:val="000000" w:themeColor="text1"/>
          <w:sz w:val="30"/>
          <w:szCs w:val="30"/>
        </w:rPr>
      </w:pPr>
    </w:p>
    <w:p>
      <w:pPr>
        <w:spacing w:line="300" w:lineRule="auto"/>
        <w:rPr>
          <w:rFonts w:ascii="宋体" w:hAnsi="宋体" w:eastAsia="宋体" w:cs="Times New Roman"/>
          <w:color w:val="000000" w:themeColor="text1"/>
          <w:sz w:val="30"/>
          <w:szCs w:val="30"/>
        </w:rPr>
      </w:pPr>
      <w:r>
        <w:rPr>
          <w:rFonts w:hint="eastAsia" w:ascii="宋体" w:hAnsi="宋体" w:eastAsia="宋体" w:cs="Times New Roman"/>
          <w:color w:val="000000" w:themeColor="text1"/>
          <w:sz w:val="30"/>
          <w:szCs w:val="30"/>
        </w:rPr>
        <w:t>致：汕头大学医学院学生食堂承包经营服务项目招标小组：</w:t>
      </w:r>
    </w:p>
    <w:p>
      <w:pPr>
        <w:spacing w:line="360" w:lineRule="auto"/>
        <w:rPr>
          <w:rFonts w:ascii="宋体" w:hAnsi="宋体" w:eastAsia="宋体" w:cs="Times New Roman"/>
          <w:color w:val="000000" w:themeColor="text1"/>
          <w:sz w:val="30"/>
          <w:szCs w:val="30"/>
        </w:rPr>
      </w:pPr>
    </w:p>
    <w:p>
      <w:pPr>
        <w:spacing w:line="360" w:lineRule="auto"/>
        <w:ind w:firstLine="600" w:firstLineChars="200"/>
        <w:rPr>
          <w:rFonts w:ascii="宋体" w:hAnsi="宋体" w:eastAsia="宋体" w:cs="Times New Roman"/>
          <w:color w:val="000000" w:themeColor="text1"/>
          <w:sz w:val="30"/>
          <w:szCs w:val="30"/>
        </w:rPr>
      </w:pPr>
      <w:r>
        <w:rPr>
          <w:rFonts w:hint="eastAsia" w:ascii="宋体" w:hAnsi="宋体" w:eastAsia="宋体" w:cs="Times New Roman"/>
          <w:color w:val="000000" w:themeColor="text1"/>
          <w:sz w:val="30"/>
          <w:szCs w:val="30"/>
        </w:rPr>
        <w:t>同志，现任我单位职务，为法定代表人，特此证明。</w:t>
      </w:r>
    </w:p>
    <w:p>
      <w:pPr>
        <w:spacing w:line="360" w:lineRule="auto"/>
        <w:ind w:firstLine="600" w:firstLineChars="200"/>
        <w:rPr>
          <w:rFonts w:ascii="宋体" w:hAnsi="宋体" w:eastAsia="宋体" w:cs="Times New Roman"/>
          <w:color w:val="000000" w:themeColor="text1"/>
          <w:sz w:val="30"/>
          <w:szCs w:val="30"/>
        </w:rPr>
      </w:pPr>
    </w:p>
    <w:p>
      <w:pPr>
        <w:spacing w:line="360" w:lineRule="auto"/>
        <w:ind w:firstLine="600" w:firstLineChars="200"/>
        <w:rPr>
          <w:rFonts w:ascii="宋体" w:hAnsi="宋体" w:eastAsia="宋体" w:cs="Times New Roman"/>
          <w:color w:val="000000" w:themeColor="text1"/>
          <w:sz w:val="30"/>
          <w:szCs w:val="30"/>
        </w:rPr>
      </w:pPr>
      <w:r>
        <w:rPr>
          <w:rFonts w:hint="eastAsia" w:ascii="宋体" w:hAnsi="宋体" w:eastAsia="宋体" w:cs="Times New Roman"/>
          <w:color w:val="000000" w:themeColor="text1"/>
          <w:sz w:val="30"/>
          <w:szCs w:val="30"/>
        </w:rPr>
        <w:t>签发日期：     单位：（盖章）</w:t>
      </w:r>
    </w:p>
    <w:p>
      <w:pPr>
        <w:spacing w:line="360" w:lineRule="auto"/>
        <w:rPr>
          <w:rFonts w:ascii="宋体" w:hAnsi="宋体" w:eastAsia="宋体" w:cs="Times New Roman"/>
          <w:color w:val="000000" w:themeColor="text1"/>
          <w:sz w:val="30"/>
          <w:szCs w:val="30"/>
          <w:u w:val="single"/>
        </w:rPr>
      </w:pPr>
      <w:r>
        <w:rPr>
          <w:rFonts w:hint="eastAsia" w:ascii="宋体" w:hAnsi="宋体" w:eastAsia="宋体" w:cs="Times New Roman"/>
          <w:color w:val="000000" w:themeColor="text1"/>
          <w:sz w:val="30"/>
          <w:szCs w:val="30"/>
        </w:rPr>
        <w:t>附：代表人性别：   年龄：    身份证号码：</w:t>
      </w:r>
    </w:p>
    <w:p>
      <w:pPr>
        <w:spacing w:line="360" w:lineRule="auto"/>
        <w:ind w:firstLine="600" w:firstLineChars="200"/>
        <w:rPr>
          <w:rFonts w:ascii="宋体" w:hAnsi="宋体" w:eastAsia="宋体" w:cs="Times New Roman"/>
          <w:color w:val="000000" w:themeColor="text1"/>
          <w:sz w:val="30"/>
          <w:szCs w:val="30"/>
          <w:u w:val="single"/>
        </w:rPr>
      </w:pPr>
      <w:r>
        <w:rPr>
          <w:rFonts w:hint="eastAsia" w:ascii="宋体" w:hAnsi="宋体" w:eastAsia="宋体" w:cs="Times New Roman"/>
          <w:color w:val="000000" w:themeColor="text1"/>
          <w:sz w:val="30"/>
          <w:szCs w:val="30"/>
        </w:rPr>
        <w:t>联系电话：</w:t>
      </w:r>
    </w:p>
    <w:p>
      <w:pPr>
        <w:spacing w:line="360" w:lineRule="auto"/>
        <w:ind w:firstLine="600" w:firstLineChars="200"/>
        <w:rPr>
          <w:rFonts w:ascii="宋体" w:hAnsi="宋体" w:eastAsia="宋体" w:cs="Times New Roman"/>
          <w:color w:val="000000" w:themeColor="text1"/>
          <w:sz w:val="30"/>
          <w:szCs w:val="30"/>
          <w:u w:val="single"/>
        </w:rPr>
      </w:pPr>
      <w:r>
        <w:rPr>
          <w:rFonts w:hint="eastAsia" w:ascii="宋体" w:hAnsi="宋体" w:eastAsia="宋体" w:cs="Times New Roman"/>
          <w:color w:val="000000" w:themeColor="text1"/>
          <w:sz w:val="30"/>
          <w:szCs w:val="30"/>
        </w:rPr>
        <w:t>营业执照号码：                      经济性质：</w:t>
      </w:r>
    </w:p>
    <w:p>
      <w:pPr>
        <w:spacing w:line="360" w:lineRule="auto"/>
        <w:ind w:firstLine="600" w:firstLineChars="200"/>
        <w:rPr>
          <w:rFonts w:ascii="宋体" w:hAnsi="宋体" w:eastAsia="宋体" w:cs="Times New Roman"/>
          <w:color w:val="000000" w:themeColor="text1"/>
          <w:sz w:val="30"/>
          <w:szCs w:val="30"/>
          <w:u w:val="single"/>
        </w:rPr>
      </w:pPr>
      <w:r>
        <w:rPr>
          <w:rFonts w:hint="eastAsia" w:ascii="宋体" w:hAnsi="宋体" w:eastAsia="宋体" w:cs="Times New Roman"/>
          <w:color w:val="000000" w:themeColor="text1"/>
          <w:sz w:val="30"/>
          <w:szCs w:val="30"/>
        </w:rPr>
        <w:t>主营（产）：</w:t>
      </w:r>
    </w:p>
    <w:p>
      <w:pPr>
        <w:spacing w:line="360" w:lineRule="auto"/>
        <w:ind w:firstLine="600" w:firstLineChars="200"/>
        <w:rPr>
          <w:rFonts w:ascii="宋体" w:hAnsi="宋体" w:eastAsia="宋体" w:cs="Times New Roman"/>
          <w:color w:val="000000" w:themeColor="text1"/>
          <w:sz w:val="30"/>
          <w:szCs w:val="30"/>
          <w:u w:val="single"/>
        </w:rPr>
      </w:pPr>
      <w:r>
        <w:rPr>
          <w:rFonts w:hint="eastAsia" w:ascii="宋体" w:hAnsi="宋体" w:eastAsia="宋体" w:cs="Times New Roman"/>
          <w:color w:val="000000" w:themeColor="text1"/>
          <w:sz w:val="30"/>
          <w:szCs w:val="30"/>
        </w:rPr>
        <w:t>兼营（产）：</w:t>
      </w:r>
    </w:p>
    <w:p>
      <w:pPr>
        <w:spacing w:line="276" w:lineRule="auto"/>
        <w:rPr>
          <w:rFonts w:ascii="宋体" w:hAnsi="宋体" w:eastAsia="宋体" w:cs="Times New Roman"/>
          <w:color w:val="000000" w:themeColor="text1"/>
          <w:sz w:val="30"/>
          <w:szCs w:val="30"/>
        </w:rPr>
      </w:pPr>
      <w:r>
        <w:rPr>
          <w:rFonts w:hint="eastAsia" w:ascii="宋体" w:hAnsi="宋体" w:eastAsia="宋体" w:cs="Times New Roman"/>
          <w:color w:val="000000" w:themeColor="text1"/>
          <w:sz w:val="30"/>
          <w:szCs w:val="30"/>
        </w:rPr>
        <w:t>说明：1、法定代表人为企事业单位、国家机关、社会团体的主要行政负责人。</w:t>
      </w:r>
    </w:p>
    <w:p>
      <w:pPr>
        <w:spacing w:line="300" w:lineRule="auto"/>
        <w:ind w:firstLine="900" w:firstLineChars="300"/>
        <w:rPr>
          <w:rFonts w:ascii="宋体" w:hAnsi="宋体" w:eastAsia="宋体" w:cs="Times New Roman"/>
          <w:color w:val="000000" w:themeColor="text1"/>
          <w:sz w:val="28"/>
          <w:szCs w:val="30"/>
        </w:rPr>
      </w:pPr>
      <w:r>
        <w:rPr>
          <w:rFonts w:hint="eastAsia" w:ascii="宋体" w:hAnsi="宋体" w:eastAsia="宋体" w:cs="Times New Roman"/>
          <w:color w:val="000000" w:themeColor="text1"/>
          <w:sz w:val="30"/>
          <w:szCs w:val="30"/>
        </w:rPr>
        <w:t>2、</w:t>
      </w:r>
      <w:r>
        <w:rPr>
          <w:rFonts w:hint="eastAsia" w:ascii="宋体" w:hAnsi="宋体" w:eastAsia="宋体" w:cs="Times New Roman"/>
          <w:color w:val="000000" w:themeColor="text1"/>
          <w:sz w:val="28"/>
          <w:szCs w:val="30"/>
        </w:rPr>
        <w:t>内容必须填写真实、清楚、涂改无效。</w:t>
      </w:r>
    </w:p>
    <w:p>
      <w:pPr>
        <w:spacing w:line="300" w:lineRule="auto"/>
        <w:rPr>
          <w:rFonts w:ascii="宋体" w:hAnsi="宋体" w:eastAsia="宋体" w:cs="Times New Roman"/>
          <w:color w:val="000000" w:themeColor="text1"/>
          <w:sz w:val="30"/>
          <w:szCs w:val="30"/>
          <w:u w:val="single"/>
        </w:rPr>
      </w:pPr>
      <w:r>
        <w:rPr>
          <w:rFonts w:ascii="宋体" w:hAnsi="宋体" w:eastAsia="宋体" w:cs="Arial"/>
          <w:color w:val="000000" w:themeColor="text1"/>
          <w:sz w:val="30"/>
          <w:szCs w:val="30"/>
        </w:rPr>
        <w:pict>
          <v:shape id="AutoShape 35" o:spid="_x0000_s2052" o:spt="176" type="#_x0000_t176" style="position:absolute;left:0pt;margin-left:0.6pt;margin-top:0.3pt;height:179.55pt;width:443.3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">
            <v:path/>
            <v:fill focussize="0,0"/>
            <v:stroke dashstyle="dash"/>
            <v:imagedata o:title=""/>
            <o:lock v:ext="edit"/>
            <v:textbox>
              <w:txbxContent>
                <w:p>
                  <w:pPr>
                    <w:rPr>
                      <w:b/>
                      <w:sz w:val="22"/>
                    </w:rPr>
                  </w:pPr>
                  <w:r>
                    <w:rPr>
                      <w:rFonts w:hint="eastAsia"/>
                      <w:b/>
                      <w:sz w:val="22"/>
                    </w:rPr>
                    <w:t>提示：请将法定代表身份证复印件（正反面）粘贴在此处，并加盖公章。</w:t>
                  </w:r>
                </w:p>
                <w:p>
                  <w:pPr>
                    <w:rPr>
                      <w:b/>
                      <w:sz w:val="22"/>
                    </w:rPr>
                  </w:pPr>
                </w:p>
              </w:txbxContent>
            </v:textbox>
          </v:shape>
        </w:pict>
      </w:r>
    </w:p>
    <w:p>
      <w:pPr>
        <w:spacing w:line="300" w:lineRule="auto"/>
        <w:rPr>
          <w:rFonts w:ascii="宋体" w:hAnsi="宋体" w:eastAsia="宋体" w:cs="Times New Roman"/>
          <w:color w:val="000000" w:themeColor="text1"/>
          <w:sz w:val="30"/>
          <w:szCs w:val="30"/>
          <w:u w:val="single"/>
        </w:rPr>
      </w:pPr>
    </w:p>
    <w:p>
      <w:pPr>
        <w:spacing w:line="216" w:lineRule="auto"/>
        <w:outlineLvl w:val="0"/>
        <w:rPr>
          <w:rFonts w:ascii="宋体" w:hAnsi="宋体" w:eastAsia="宋体" w:cs="Times New Roman"/>
          <w:b/>
          <w:color w:val="000000" w:themeColor="text1"/>
          <w:sz w:val="30"/>
          <w:szCs w:val="30"/>
        </w:rPr>
      </w:pPr>
    </w:p>
    <w:p>
      <w:pPr>
        <w:tabs>
          <w:tab w:val="left" w:pos="720"/>
          <w:tab w:val="left" w:pos="1080"/>
        </w:tabs>
        <w:spacing w:line="360" w:lineRule="auto"/>
        <w:rPr>
          <w:rFonts w:cs="Times New Roman" w:asciiTheme="minorEastAsia" w:hAnsiTheme="minorEastAsia"/>
          <w:b/>
          <w:bCs/>
          <w:color w:val="000000" w:themeColor="text1"/>
          <w:sz w:val="30"/>
          <w:szCs w:val="30"/>
          <w:u w:val="single"/>
        </w:rPr>
      </w:pPr>
    </w:p>
    <w:p>
      <w:pPr>
        <w:widowControl/>
        <w:rPr>
          <w:rFonts w:ascii="宋体" w:hAnsi="宋体" w:eastAsia="宋体" w:cs="Times New Roman"/>
          <w:b/>
          <w:bCs/>
          <w:color w:val="000000" w:themeColor="text1"/>
          <w:kern w:val="0"/>
          <w:sz w:val="30"/>
          <w:szCs w:val="30"/>
        </w:rPr>
      </w:pPr>
    </w:p>
    <w:p>
      <w:pPr>
        <w:widowControl/>
        <w:rPr>
          <w:rFonts w:ascii="宋体" w:hAnsi="宋体" w:eastAsia="宋体" w:cs="Times New Roman"/>
          <w:b/>
          <w:bCs/>
          <w:color w:val="000000" w:themeColor="text1"/>
          <w:kern w:val="0"/>
          <w:sz w:val="30"/>
          <w:szCs w:val="30"/>
        </w:rPr>
      </w:pPr>
    </w:p>
    <w:p>
      <w:pPr>
        <w:widowControl/>
        <w:rPr>
          <w:rFonts w:ascii="宋体" w:hAnsi="宋体" w:eastAsia="宋体" w:cs="Times New Roman"/>
          <w:b/>
          <w:bCs/>
          <w:color w:val="000000" w:themeColor="text1"/>
          <w:kern w:val="0"/>
          <w:sz w:val="30"/>
          <w:szCs w:val="30"/>
        </w:rPr>
      </w:pPr>
      <w:r>
        <w:rPr>
          <w:rFonts w:hint="eastAsia" w:ascii="宋体" w:hAnsi="宋体" w:eastAsia="宋体" w:cs="Times New Roman"/>
          <w:b/>
          <w:bCs/>
          <w:color w:val="000000" w:themeColor="text1"/>
          <w:kern w:val="0"/>
          <w:sz w:val="30"/>
          <w:szCs w:val="30"/>
        </w:rPr>
        <w:t xml:space="preserve">附件9              </w:t>
      </w:r>
      <w:r>
        <w:rPr>
          <w:rFonts w:hint="eastAsia" w:ascii="宋体" w:hAnsi="宋体" w:eastAsia="宋体" w:cs="Times New Roman"/>
          <w:b/>
          <w:bCs/>
          <w:color w:val="000000" w:themeColor="text1"/>
          <w:sz w:val="30"/>
          <w:szCs w:val="30"/>
        </w:rPr>
        <w:t>法定代表人授权书</w:t>
      </w:r>
    </w:p>
    <w:p>
      <w:pPr>
        <w:spacing w:line="300" w:lineRule="auto"/>
        <w:rPr>
          <w:rFonts w:ascii="宋体" w:hAnsi="宋体" w:eastAsia="宋体" w:cs="Times New Roman"/>
          <w:color w:val="000000" w:themeColor="text1"/>
          <w:sz w:val="30"/>
          <w:szCs w:val="30"/>
        </w:rPr>
      </w:pPr>
    </w:p>
    <w:p>
      <w:pPr>
        <w:spacing w:line="300" w:lineRule="auto"/>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致：汕头大学医学院学生食堂承包经营服务项目招投标小组：</w:t>
      </w:r>
    </w:p>
    <w:p>
      <w:pPr>
        <w:spacing w:line="360" w:lineRule="auto"/>
        <w:jc w:val="left"/>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（投标单位全称）法定代表人（姓名）兹授权（授权代表姓名）为授权代表，参加贵方组织的</w:t>
      </w:r>
      <w:r>
        <w:rPr>
          <w:rFonts w:hint="eastAsia" w:ascii="宋体" w:hAnsi="宋体" w:eastAsia="宋体" w:cs="Times New Roman"/>
          <w:color w:val="000000" w:themeColor="text1"/>
          <w:sz w:val="28"/>
          <w:szCs w:val="28"/>
          <w:u w:val="single"/>
        </w:rPr>
        <w:t xml:space="preserve">                                   </w:t>
      </w:r>
      <w:r>
        <w:rPr>
          <w:rFonts w:hint="eastAsia" w:ascii="宋体" w:hAnsi="宋体" w:eastAsia="宋体" w:cs="Times New Roman"/>
          <w:color w:val="000000" w:themeColor="text1"/>
          <w:sz w:val="28"/>
          <w:szCs w:val="28"/>
        </w:rPr>
        <w:t>招标活动。</w:t>
      </w:r>
    </w:p>
    <w:p>
      <w:pPr>
        <w:spacing w:line="360" w:lineRule="auto"/>
        <w:ind w:firstLine="1120" w:firstLineChars="400"/>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（授权代表姓名）以我单位的名义并代表我单位签署投标书和所有投标文件，全权处理招投标活动中的一切事宜，其在该项目招投标活动中的一切行为对我单位具有法律约束力。</w:t>
      </w:r>
    </w:p>
    <w:p>
      <w:pPr>
        <w:spacing w:line="480" w:lineRule="auto"/>
        <w:ind w:firstLine="560" w:firstLineChars="200"/>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本授权书于      年  月   日签字生效，特此声明。</w:t>
      </w:r>
    </w:p>
    <w:p>
      <w:pPr>
        <w:spacing w:line="360" w:lineRule="auto"/>
        <w:ind w:firstLine="560" w:firstLineChars="200"/>
        <w:rPr>
          <w:rFonts w:ascii="宋体" w:hAnsi="宋体" w:eastAsia="宋体" w:cs="Times New Roman"/>
          <w:color w:val="000000" w:themeColor="text1"/>
          <w:sz w:val="28"/>
          <w:szCs w:val="28"/>
        </w:rPr>
      </w:pPr>
    </w:p>
    <w:p>
      <w:pPr>
        <w:spacing w:line="360" w:lineRule="auto"/>
        <w:rPr>
          <w:rFonts w:ascii="宋体" w:hAnsi="宋体" w:eastAsia="宋体" w:cs="Times New Roman"/>
          <w:color w:val="000000" w:themeColor="text1"/>
          <w:sz w:val="28"/>
          <w:szCs w:val="28"/>
          <w:u w:val="single"/>
        </w:rPr>
      </w:pPr>
      <w:r>
        <w:rPr>
          <w:rFonts w:hint="eastAsia" w:ascii="宋体" w:hAnsi="宋体" w:eastAsia="宋体" w:cs="Times New Roman"/>
          <w:color w:val="000000" w:themeColor="text1"/>
          <w:sz w:val="28"/>
          <w:szCs w:val="28"/>
        </w:rPr>
        <w:t>投标单位名称（公章）：</w:t>
      </w:r>
    </w:p>
    <w:p>
      <w:pPr>
        <w:spacing w:line="360" w:lineRule="auto"/>
        <w:rPr>
          <w:rFonts w:ascii="宋体" w:hAnsi="宋体" w:eastAsia="宋体" w:cs="Times New Roman"/>
          <w:color w:val="000000" w:themeColor="text1"/>
          <w:sz w:val="28"/>
          <w:szCs w:val="28"/>
          <w:u w:val="single"/>
        </w:rPr>
      </w:pPr>
      <w:r>
        <w:rPr>
          <w:rFonts w:hint="eastAsia" w:ascii="宋体" w:hAnsi="宋体" w:eastAsia="宋体" w:cs="Times New Roman"/>
          <w:color w:val="000000" w:themeColor="text1"/>
          <w:sz w:val="28"/>
          <w:szCs w:val="28"/>
        </w:rPr>
        <w:t>法定代表人（签字或签章）：</w:t>
      </w:r>
    </w:p>
    <w:p>
      <w:pPr>
        <w:spacing w:line="360" w:lineRule="auto"/>
        <w:rPr>
          <w:rFonts w:ascii="宋体" w:hAnsi="宋体" w:eastAsia="宋体" w:cs="Times New Roman"/>
          <w:color w:val="000000" w:themeColor="text1"/>
          <w:sz w:val="28"/>
          <w:szCs w:val="28"/>
        </w:rPr>
      </w:pPr>
      <w:r>
        <w:rPr>
          <w:rFonts w:hint="eastAsia" w:ascii="宋体" w:hAnsi="宋体" w:eastAsia="宋体" w:cs="Times New Roman"/>
          <w:color w:val="000000" w:themeColor="text1"/>
          <w:sz w:val="28"/>
          <w:szCs w:val="28"/>
        </w:rPr>
        <w:t>日期：     年   月    日</w:t>
      </w:r>
    </w:p>
    <w:p>
      <w:pPr>
        <w:spacing w:line="360" w:lineRule="auto"/>
        <w:rPr>
          <w:rFonts w:ascii="宋体" w:hAnsi="宋体" w:eastAsia="宋体" w:cs="Times New Roman"/>
          <w:color w:val="000000" w:themeColor="text1"/>
          <w:sz w:val="28"/>
          <w:szCs w:val="28"/>
          <w:u w:val="single"/>
        </w:rPr>
      </w:pPr>
      <w:r>
        <w:rPr>
          <w:rFonts w:hint="eastAsia" w:ascii="宋体" w:hAnsi="宋体" w:eastAsia="宋体" w:cs="Times New Roman"/>
          <w:color w:val="000000" w:themeColor="text1"/>
          <w:sz w:val="28"/>
          <w:szCs w:val="28"/>
        </w:rPr>
        <w:t>授权代表（签字）：</w:t>
      </w:r>
    </w:p>
    <w:p>
      <w:pPr>
        <w:spacing w:line="360" w:lineRule="auto"/>
        <w:rPr>
          <w:rFonts w:ascii="宋体" w:hAnsi="宋体" w:eastAsia="宋体" w:cs="Times New Roman"/>
          <w:color w:val="000000" w:themeColor="text1"/>
          <w:sz w:val="28"/>
          <w:szCs w:val="28"/>
        </w:rPr>
      </w:pPr>
      <w:r>
        <w:rPr>
          <w:rFonts w:ascii="宋体" w:hAnsi="宋体" w:eastAsia="宋体" w:cs="Arial"/>
          <w:color w:val="000000" w:themeColor="text1"/>
          <w:sz w:val="30"/>
          <w:szCs w:val="30"/>
        </w:rPr>
        <w:pict>
          <v:shape id="_x0000_s2051" o:spid="_x0000_s2051" o:spt="176" type="#_x0000_t176" style="position:absolute;left:0pt;margin-left:-18.9pt;margin-top:24.9pt;height:168pt;width:443.3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">
            <v:path/>
            <v:fill focussize="0,0"/>
            <v:stroke dashstyle="dash"/>
            <v:imagedata o:title=""/>
            <o:lock v:ext="edit"/>
            <v:textbox>
              <w:txbxContent>
                <w:p>
                  <w:pPr>
                    <w:rPr>
                      <w:b/>
                      <w:sz w:val="22"/>
                    </w:rPr>
                  </w:pPr>
                  <w:r>
                    <w:rPr>
                      <w:rFonts w:hint="eastAsia"/>
                      <w:b/>
                      <w:sz w:val="22"/>
                    </w:rPr>
                    <w:t>提示：请将授权代表身份证复印件（正反面）粘贴在此处，并加盖公章。</w:t>
                  </w:r>
                </w:p>
                <w:p>
                  <w:pPr>
                    <w:rPr>
                      <w:b/>
                      <w:sz w:val="22"/>
                    </w:rPr>
                  </w:pPr>
                </w:p>
              </w:txbxContent>
            </v:textbox>
          </v:shape>
        </w:pict>
      </w:r>
      <w:r>
        <w:rPr>
          <w:rFonts w:hint="eastAsia" w:ascii="宋体" w:hAnsi="宋体" w:eastAsia="宋体" w:cs="Times New Roman"/>
          <w:color w:val="000000" w:themeColor="text1"/>
          <w:sz w:val="28"/>
          <w:szCs w:val="28"/>
        </w:rPr>
        <w:t>日期：      年  月  日</w:t>
      </w:r>
    </w:p>
    <w:p>
      <w:pPr>
        <w:spacing w:line="360" w:lineRule="auto"/>
        <w:rPr>
          <w:rFonts w:ascii="Times New Roman" w:hAnsi="宋体" w:eastAsia="宋体" w:cs="Arial"/>
          <w:color w:val="000000" w:themeColor="text1"/>
          <w:sz w:val="28"/>
          <w:szCs w:val="28"/>
        </w:rPr>
      </w:pPr>
    </w:p>
    <w:p>
      <w:pPr>
        <w:spacing w:line="360" w:lineRule="auto"/>
        <w:ind w:left="3400" w:leftChars="1619"/>
        <w:jc w:val="right"/>
        <w:rPr>
          <w:rFonts w:ascii="宋体" w:hAnsi="宋体" w:eastAsia="宋体" w:cs="Times New Roman"/>
          <w:color w:val="000000" w:themeColor="text1"/>
          <w:sz w:val="30"/>
          <w:szCs w:val="30"/>
        </w:rPr>
      </w:pPr>
    </w:p>
    <w:p>
      <w:pPr>
        <w:spacing w:line="360" w:lineRule="auto"/>
        <w:ind w:left="3400" w:leftChars="1619"/>
        <w:jc w:val="right"/>
        <w:rPr>
          <w:rFonts w:ascii="宋体" w:hAnsi="宋体" w:eastAsia="宋体" w:cs="Times New Roman"/>
          <w:color w:val="000000" w:themeColor="text1"/>
          <w:sz w:val="30"/>
          <w:szCs w:val="30"/>
        </w:rPr>
      </w:pPr>
    </w:p>
    <w:p>
      <w:pPr>
        <w:spacing w:line="360" w:lineRule="auto"/>
        <w:ind w:left="3400" w:leftChars="1619"/>
        <w:jc w:val="right"/>
        <w:rPr>
          <w:rFonts w:ascii="宋体" w:hAnsi="宋体" w:eastAsia="宋体" w:cs="Times New Roman"/>
          <w:color w:val="000000" w:themeColor="text1"/>
          <w:sz w:val="30"/>
          <w:szCs w:val="30"/>
        </w:rPr>
      </w:pPr>
    </w:p>
    <w:p>
      <w:pPr>
        <w:spacing w:line="360" w:lineRule="auto"/>
        <w:ind w:left="3400" w:leftChars="1619"/>
        <w:jc w:val="right"/>
        <w:rPr>
          <w:rFonts w:ascii="宋体" w:hAnsi="宋体" w:eastAsia="宋体" w:cs="Times New Roman"/>
          <w:color w:val="000000" w:themeColor="text1"/>
          <w:sz w:val="30"/>
          <w:szCs w:val="30"/>
        </w:rPr>
      </w:pPr>
    </w:p>
    <w:p>
      <w:pPr>
        <w:spacing w:line="460" w:lineRule="exact"/>
        <w:rPr>
          <w:rFonts w:ascii="宋体" w:hAnsi="宋体" w:eastAsia="宋体" w:cs="仿宋_GB2312"/>
          <w:color w:val="000000" w:themeColor="text1"/>
          <w:szCs w:val="21"/>
          <w:lang w:val="zh-CN"/>
        </w:rPr>
      </w:pPr>
      <w:r>
        <w:rPr>
          <w:rFonts w:hint="eastAsia" w:ascii="宋体" w:hAnsi="宋体" w:eastAsia="宋体" w:cs="仿宋_GB2312"/>
          <w:color w:val="000000" w:themeColor="text1"/>
          <w:szCs w:val="21"/>
          <w:lang w:val="zh-CN"/>
        </w:rPr>
        <w:t>说明：</w:t>
      </w:r>
      <w:r>
        <w:rPr>
          <w:rFonts w:hint="eastAsia" w:ascii="Times New Roman" w:hAnsi="宋体" w:eastAsia="宋体" w:cs="仿宋_GB2312"/>
          <w:color w:val="000000" w:themeColor="text1"/>
          <w:szCs w:val="21"/>
        </w:rPr>
        <w:t>法定代表人为投标人代表并亲自签署投标书的可不提交</w:t>
      </w:r>
      <w:r>
        <w:rPr>
          <w:rFonts w:ascii="Times New Roman" w:hAnsi="宋体" w:eastAsia="宋体" w:cs="仿宋_GB2312"/>
          <w:color w:val="000000" w:themeColor="text1"/>
          <w:szCs w:val="21"/>
          <w:lang w:val="zh-CN"/>
        </w:rPr>
        <w:t>本表。</w:t>
      </w:r>
    </w:p>
    <w:p>
      <w:pPr>
        <w:spacing w:line="500" w:lineRule="exact"/>
        <w:rPr>
          <w:rFonts w:asciiTheme="majorEastAsia" w:hAnsiTheme="majorEastAsia" w:eastAsiaTheme="majorEastAsia"/>
          <w:b/>
          <w:sz w:val="30"/>
          <w:szCs w:val="30"/>
        </w:rPr>
      </w:pPr>
      <w:r>
        <w:rPr>
          <w:rFonts w:hint="eastAsia" w:asciiTheme="majorEastAsia" w:hAnsiTheme="majorEastAsia" w:eastAsiaTheme="majorEastAsia"/>
          <w:b/>
          <w:sz w:val="30"/>
          <w:szCs w:val="30"/>
        </w:rPr>
        <w:t>附件10</w:t>
      </w:r>
    </w:p>
    <w:p>
      <w:pPr>
        <w:spacing w:line="500" w:lineRule="exact"/>
        <w:ind w:left="600"/>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服务与承诺（评审、自查）评分表（35分）</w:t>
      </w:r>
    </w:p>
    <w:tbl>
      <w:tblPr>
        <w:tblStyle w:val="9"/>
        <w:tblW w:w="9342"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985"/>
        <w:gridCol w:w="708"/>
        <w:gridCol w:w="4962"/>
        <w:gridCol w:w="9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序号</w:t>
            </w:r>
          </w:p>
        </w:tc>
        <w:tc>
          <w:tcPr>
            <w:tcW w:w="1985" w:type="dxa"/>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评审项目</w:t>
            </w:r>
          </w:p>
        </w:tc>
        <w:tc>
          <w:tcPr>
            <w:tcW w:w="708" w:type="dxa"/>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分值</w:t>
            </w:r>
          </w:p>
        </w:tc>
        <w:tc>
          <w:tcPr>
            <w:tcW w:w="4962" w:type="dxa"/>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打分细则</w:t>
            </w:r>
          </w:p>
        </w:tc>
        <w:tc>
          <w:tcPr>
            <w:tcW w:w="978" w:type="dxa"/>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1</w:t>
            </w:r>
          </w:p>
        </w:tc>
        <w:tc>
          <w:tcPr>
            <w:tcW w:w="1985"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服务能力评价</w:t>
            </w:r>
          </w:p>
          <w:p>
            <w:pPr>
              <w:spacing w:line="360" w:lineRule="exact"/>
              <w:jc w:val="center"/>
              <w:rPr>
                <w:rFonts w:asciiTheme="majorEastAsia" w:hAnsiTheme="majorEastAsia" w:eastAsiaTheme="majorEastAsia"/>
                <w:sz w:val="24"/>
                <w:szCs w:val="24"/>
              </w:rPr>
            </w:pPr>
          </w:p>
        </w:tc>
        <w:tc>
          <w:tcPr>
            <w:tcW w:w="708"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10分</w:t>
            </w:r>
          </w:p>
        </w:tc>
        <w:tc>
          <w:tcPr>
            <w:tcW w:w="4962" w:type="dxa"/>
          </w:tcPr>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考察投标人正在经营的餐饮服务项目。无提供，得0分。（外地投标人，可提供图片及视频）</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考察评价项目：食品安全管理、管理制度、农药残留记录、留样记录、仓库冷库管理、生产加工操作，日常管理记录、菜品品种与品尝、食堂卫生状况、餐用具消毒管理。发现问题及缺项，每小项扣1分，10分扣完为止，全部合格得10分。</w:t>
            </w:r>
          </w:p>
        </w:tc>
        <w:tc>
          <w:tcPr>
            <w:tcW w:w="978" w:type="dxa"/>
          </w:tcPr>
          <w:p>
            <w:pPr>
              <w:pStyle w:val="13"/>
              <w:spacing w:line="360" w:lineRule="exact"/>
              <w:ind w:left="360" w:firstLine="0" w:firstLineChars="0"/>
              <w:rPr>
                <w:rFonts w:asciiTheme="majorEastAsia" w:hAnsiTheme="majorEastAsia" w:eastAsia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2</w:t>
            </w:r>
          </w:p>
        </w:tc>
        <w:tc>
          <w:tcPr>
            <w:tcW w:w="1985"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定点采购与配送服务的保障能力</w:t>
            </w:r>
          </w:p>
        </w:tc>
        <w:tc>
          <w:tcPr>
            <w:tcW w:w="708"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6分</w:t>
            </w:r>
          </w:p>
        </w:tc>
        <w:tc>
          <w:tcPr>
            <w:tcW w:w="4962" w:type="dxa"/>
          </w:tcPr>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米、面、油等大宗食材定点采购，有定点采购每单项得1分，最高得3分。</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自设配送中心及冷藏车辆 得3分；</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其他配送方式 得1分。</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须提供定点采购供货协议及配送中心证明材料和投标人名下车辆行驶证。</w:t>
            </w:r>
          </w:p>
        </w:tc>
        <w:tc>
          <w:tcPr>
            <w:tcW w:w="978" w:type="dxa"/>
          </w:tcPr>
          <w:p>
            <w:pPr>
              <w:pStyle w:val="13"/>
              <w:spacing w:line="360" w:lineRule="exact"/>
              <w:ind w:left="360" w:firstLine="0" w:firstLineChars="0"/>
              <w:rPr>
                <w:rFonts w:asciiTheme="majorEastAsia" w:hAnsiTheme="majorEastAsia" w:eastAsia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3</w:t>
            </w:r>
          </w:p>
        </w:tc>
        <w:tc>
          <w:tcPr>
            <w:tcW w:w="1985"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蔬菜类、鱼肉类供应保障能力</w:t>
            </w:r>
          </w:p>
        </w:tc>
        <w:tc>
          <w:tcPr>
            <w:tcW w:w="708"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6分</w:t>
            </w:r>
          </w:p>
        </w:tc>
        <w:tc>
          <w:tcPr>
            <w:tcW w:w="4962" w:type="dxa"/>
          </w:tcPr>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投标人拥有自己名下的蔬菜种植场或蔬菜经营单位，有得3分；无，得0分。</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投标人拥有自己名下的鱼肉类养殖场或鱼肉类经营单位，有得3分；无，得0分。</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须提供投标人自己名下的营业执照、经营等相关证明材料。</w:t>
            </w:r>
          </w:p>
        </w:tc>
        <w:tc>
          <w:tcPr>
            <w:tcW w:w="978" w:type="dxa"/>
          </w:tcPr>
          <w:p>
            <w:pPr>
              <w:pStyle w:val="13"/>
              <w:spacing w:line="360" w:lineRule="exact"/>
              <w:ind w:left="360" w:firstLine="0" w:firstLineChars="0"/>
              <w:rPr>
                <w:rFonts w:asciiTheme="majorEastAsia" w:hAnsiTheme="majorEastAsia" w:eastAsia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4</w:t>
            </w:r>
          </w:p>
        </w:tc>
        <w:tc>
          <w:tcPr>
            <w:tcW w:w="1985"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食堂文明建设</w:t>
            </w:r>
          </w:p>
        </w:tc>
        <w:tc>
          <w:tcPr>
            <w:tcW w:w="708"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5分</w:t>
            </w:r>
          </w:p>
        </w:tc>
        <w:tc>
          <w:tcPr>
            <w:tcW w:w="4962" w:type="dxa"/>
          </w:tcPr>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根据投标人提供食堂文明建设的方案进行评分</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优得：5分  良3分  一般1分</w:t>
            </w:r>
          </w:p>
        </w:tc>
        <w:tc>
          <w:tcPr>
            <w:tcW w:w="978" w:type="dxa"/>
          </w:tcPr>
          <w:p>
            <w:pPr>
              <w:spacing w:line="360" w:lineRule="exact"/>
              <w:rPr>
                <w:rFonts w:asciiTheme="majorEastAsia" w:hAnsiTheme="majorEastAsia" w:eastAsia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5</w:t>
            </w:r>
          </w:p>
        </w:tc>
        <w:tc>
          <w:tcPr>
            <w:tcW w:w="1985"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服务响应</w:t>
            </w:r>
          </w:p>
        </w:tc>
        <w:tc>
          <w:tcPr>
            <w:tcW w:w="708"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3分</w:t>
            </w:r>
          </w:p>
        </w:tc>
        <w:tc>
          <w:tcPr>
            <w:tcW w:w="4962" w:type="dxa"/>
          </w:tcPr>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根据投标人在学校重大活动的配合、校方监管响应、上级部门检查响应，师生建议与投诉的响应等服务承诺，及上述服务必要的资源投入的承诺进行评分。</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优得：3分  良2分  一般1分</w:t>
            </w:r>
          </w:p>
        </w:tc>
        <w:tc>
          <w:tcPr>
            <w:tcW w:w="978" w:type="dxa"/>
          </w:tcPr>
          <w:p>
            <w:pPr>
              <w:spacing w:line="360" w:lineRule="exact"/>
              <w:rPr>
                <w:rFonts w:asciiTheme="majorEastAsia" w:hAnsiTheme="majorEastAsia" w:eastAsia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6</w:t>
            </w:r>
          </w:p>
        </w:tc>
        <w:tc>
          <w:tcPr>
            <w:tcW w:w="1985"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餐饮场所责任保险承诺</w:t>
            </w:r>
          </w:p>
        </w:tc>
        <w:tc>
          <w:tcPr>
            <w:tcW w:w="708"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2分</w:t>
            </w:r>
          </w:p>
        </w:tc>
        <w:tc>
          <w:tcPr>
            <w:tcW w:w="4962" w:type="dxa"/>
          </w:tcPr>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投标人承诺为本项目购买餐饮场所责任保险（或公众责任险）。</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承诺为本项目购买保险并已为名下其他承包服务项目购买过保险的得2分，承诺为本项目购买得1分</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（需提供已购买本年度的保险复印件，原件校对后退回，购买的保险必须为投标人自己经营的服务项目）</w:t>
            </w:r>
          </w:p>
        </w:tc>
        <w:tc>
          <w:tcPr>
            <w:tcW w:w="978" w:type="dxa"/>
          </w:tcPr>
          <w:p>
            <w:pPr>
              <w:spacing w:line="360" w:lineRule="exact"/>
              <w:rPr>
                <w:rFonts w:asciiTheme="majorEastAsia" w:hAnsiTheme="majorEastAsia" w:eastAsia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9" w:type="dxa"/>
            <w:vAlign w:val="center"/>
          </w:tcPr>
          <w:p>
            <w:pPr>
              <w:spacing w:line="36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7</w:t>
            </w:r>
          </w:p>
        </w:tc>
        <w:tc>
          <w:tcPr>
            <w:tcW w:w="1985"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供餐保障承诺</w:t>
            </w:r>
          </w:p>
        </w:tc>
        <w:tc>
          <w:tcPr>
            <w:tcW w:w="708" w:type="dxa"/>
            <w:vAlign w:val="center"/>
          </w:tcPr>
          <w:p>
            <w:pPr>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3分</w:t>
            </w:r>
          </w:p>
        </w:tc>
        <w:tc>
          <w:tcPr>
            <w:tcW w:w="4962" w:type="dxa"/>
          </w:tcPr>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根据投标人承诺在午餐和晚餐营业时间临结束前，仍能较好提供菜品的供餐保障方案进行评分</w:t>
            </w:r>
          </w:p>
          <w:p>
            <w:pPr>
              <w:spacing w:line="360" w:lineRule="exact"/>
              <w:rPr>
                <w:rFonts w:asciiTheme="majorEastAsia" w:hAnsiTheme="majorEastAsia" w:eastAsiaTheme="majorEastAsia"/>
                <w:sz w:val="18"/>
                <w:szCs w:val="24"/>
              </w:rPr>
            </w:pPr>
            <w:r>
              <w:rPr>
                <w:rFonts w:hint="eastAsia" w:asciiTheme="majorEastAsia" w:hAnsiTheme="majorEastAsia" w:eastAsiaTheme="majorEastAsia"/>
                <w:sz w:val="18"/>
                <w:szCs w:val="24"/>
              </w:rPr>
              <w:t>优得3分，良得2分，一般得1分</w:t>
            </w:r>
          </w:p>
        </w:tc>
        <w:tc>
          <w:tcPr>
            <w:tcW w:w="978" w:type="dxa"/>
          </w:tcPr>
          <w:p>
            <w:pPr>
              <w:spacing w:line="360" w:lineRule="exact"/>
              <w:rPr>
                <w:rFonts w:asciiTheme="majorEastAsia" w:hAnsiTheme="majorEastAsia" w:eastAsiaTheme="majorEastAsia"/>
                <w:sz w:val="30"/>
                <w:szCs w:val="30"/>
              </w:rPr>
            </w:pPr>
          </w:p>
        </w:tc>
      </w:tr>
    </w:tbl>
    <w:p>
      <w:pPr>
        <w:rPr>
          <w:sz w:val="30"/>
          <w:szCs w:val="30"/>
        </w:rPr>
      </w:pPr>
    </w:p>
    <w:p>
      <w:pPr>
        <w:spacing w:line="500" w:lineRule="exact"/>
        <w:rPr>
          <w:rFonts w:asciiTheme="majorEastAsia" w:hAnsiTheme="majorEastAsia" w:eastAsiaTheme="majorEastAsia"/>
          <w:b/>
          <w:sz w:val="30"/>
          <w:szCs w:val="30"/>
        </w:rPr>
      </w:pPr>
      <w:r>
        <w:rPr>
          <w:rFonts w:hint="eastAsia" w:asciiTheme="majorEastAsia" w:hAnsiTheme="majorEastAsia" w:eastAsiaTheme="majorEastAsia"/>
          <w:b/>
          <w:sz w:val="30"/>
          <w:szCs w:val="30"/>
        </w:rPr>
        <w:t>附件11</w:t>
      </w:r>
    </w:p>
    <w:p>
      <w:pPr>
        <w:spacing w:line="500" w:lineRule="exact"/>
        <w:ind w:left="600"/>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商务（评审、自查）评分表（25分）</w:t>
      </w:r>
    </w:p>
    <w:tbl>
      <w:tblPr>
        <w:tblStyle w:val="9"/>
        <w:tblW w:w="9214"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1"/>
        <w:gridCol w:w="1701"/>
        <w:gridCol w:w="850"/>
        <w:gridCol w:w="4962"/>
        <w:gridCol w:w="8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line="50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序号</w:t>
            </w:r>
          </w:p>
        </w:tc>
        <w:tc>
          <w:tcPr>
            <w:tcW w:w="1701" w:type="dxa"/>
          </w:tcPr>
          <w:p>
            <w:pPr>
              <w:spacing w:line="50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评审项目</w:t>
            </w:r>
          </w:p>
        </w:tc>
        <w:tc>
          <w:tcPr>
            <w:tcW w:w="850" w:type="dxa"/>
          </w:tcPr>
          <w:p>
            <w:pPr>
              <w:spacing w:line="50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分值</w:t>
            </w:r>
          </w:p>
        </w:tc>
        <w:tc>
          <w:tcPr>
            <w:tcW w:w="4962" w:type="dxa"/>
            <w:tcBorders>
              <w:right w:val="single" w:color="auto" w:sz="4" w:space="0"/>
            </w:tcBorders>
          </w:tcPr>
          <w:p>
            <w:pPr>
              <w:spacing w:line="50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打分细则</w:t>
            </w:r>
          </w:p>
        </w:tc>
        <w:tc>
          <w:tcPr>
            <w:tcW w:w="850" w:type="dxa"/>
            <w:tcBorders>
              <w:left w:val="single" w:color="auto" w:sz="4" w:space="0"/>
            </w:tcBorders>
          </w:tcPr>
          <w:p>
            <w:pPr>
              <w:spacing w:line="50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8" w:hRule="atLeast"/>
        </w:trPr>
        <w:tc>
          <w:tcPr>
            <w:tcW w:w="851" w:type="dxa"/>
          </w:tcPr>
          <w:p>
            <w:pPr>
              <w:spacing w:line="500" w:lineRule="exact"/>
              <w:jc w:val="center"/>
              <w:rPr>
                <w:rFonts w:asciiTheme="majorEastAsia" w:hAnsiTheme="majorEastAsia" w:eastAsiaTheme="majorEastAsia"/>
                <w:sz w:val="30"/>
                <w:szCs w:val="30"/>
              </w:rPr>
            </w:pPr>
          </w:p>
          <w:p>
            <w:pPr>
              <w:spacing w:line="500" w:lineRule="exact"/>
              <w:jc w:val="center"/>
              <w:rPr>
                <w:rFonts w:asciiTheme="majorEastAsia" w:hAnsiTheme="majorEastAsia" w:eastAsiaTheme="majorEastAsia"/>
                <w:sz w:val="30"/>
                <w:szCs w:val="30"/>
              </w:rPr>
            </w:pPr>
          </w:p>
          <w:p>
            <w:pPr>
              <w:spacing w:line="50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1</w:t>
            </w:r>
          </w:p>
        </w:tc>
        <w:tc>
          <w:tcPr>
            <w:tcW w:w="1701" w:type="dxa"/>
          </w:tcPr>
          <w:p>
            <w:pPr>
              <w:spacing w:line="440" w:lineRule="exact"/>
              <w:rPr>
                <w:rFonts w:asciiTheme="minorEastAsia" w:hAnsiTheme="minorEastAsia"/>
                <w:sz w:val="24"/>
                <w:szCs w:val="24"/>
              </w:rPr>
            </w:pP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政府及行业</w:t>
            </w:r>
          </w:p>
          <w:p>
            <w:pPr>
              <w:spacing w:line="440" w:lineRule="exact"/>
              <w:rPr>
                <w:rFonts w:asciiTheme="minorEastAsia" w:hAnsiTheme="minorEastAsia"/>
                <w:sz w:val="24"/>
                <w:szCs w:val="24"/>
              </w:rPr>
            </w:pPr>
            <w:r>
              <w:rPr>
                <w:rFonts w:hint="eastAsia" w:asciiTheme="minorEastAsia" w:hAnsiTheme="minorEastAsia"/>
                <w:sz w:val="24"/>
                <w:szCs w:val="24"/>
              </w:rPr>
              <w:t>管理部门认证</w:t>
            </w:r>
          </w:p>
        </w:tc>
        <w:tc>
          <w:tcPr>
            <w:tcW w:w="850" w:type="dxa"/>
          </w:tcPr>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r>
              <w:rPr>
                <w:rFonts w:hint="eastAsia" w:asciiTheme="minorEastAsia" w:hAnsiTheme="minorEastAsia"/>
                <w:sz w:val="24"/>
                <w:szCs w:val="24"/>
              </w:rPr>
              <w:t>7分</w:t>
            </w:r>
          </w:p>
        </w:tc>
        <w:tc>
          <w:tcPr>
            <w:tcW w:w="4962" w:type="dxa"/>
            <w:tcBorders>
              <w:right w:val="single" w:color="auto" w:sz="4" w:space="0"/>
            </w:tcBorders>
          </w:tcPr>
          <w:p>
            <w:pPr>
              <w:spacing w:line="360" w:lineRule="exact"/>
              <w:rPr>
                <w:rFonts w:asciiTheme="minorEastAsia" w:hAnsiTheme="minorEastAsia"/>
                <w:sz w:val="22"/>
                <w:szCs w:val="24"/>
              </w:rPr>
            </w:pPr>
            <w:r>
              <w:rPr>
                <w:rFonts w:hint="eastAsia" w:asciiTheme="minorEastAsia" w:hAnsiTheme="minorEastAsia"/>
                <w:sz w:val="22"/>
                <w:szCs w:val="24"/>
              </w:rPr>
              <w:t>1、投标人通过（质量、食品安全、环境、健康）等管理体系认证，获得认证每项得1分，最高得4分。</w:t>
            </w:r>
          </w:p>
          <w:p>
            <w:pPr>
              <w:spacing w:line="360" w:lineRule="exact"/>
              <w:rPr>
                <w:rFonts w:asciiTheme="minorEastAsia" w:hAnsiTheme="minorEastAsia"/>
                <w:sz w:val="22"/>
                <w:szCs w:val="24"/>
              </w:rPr>
            </w:pPr>
            <w:r>
              <w:rPr>
                <w:rFonts w:hint="eastAsia" w:asciiTheme="minorEastAsia" w:hAnsiTheme="minorEastAsia"/>
                <w:sz w:val="22"/>
                <w:szCs w:val="24"/>
              </w:rPr>
              <w:t>2、根据投标人2018-2020年经营过的食堂获得市级或以上教育、食品行政部门颁发的“优秀食堂”、“A级食堂”、“食品</w:t>
            </w:r>
            <w:r>
              <w:rPr>
                <w:rFonts w:asciiTheme="minorEastAsia" w:hAnsiTheme="minorEastAsia"/>
                <w:sz w:val="22"/>
                <w:szCs w:val="24"/>
              </w:rPr>
              <w:t>安全</w:t>
            </w:r>
            <w:r>
              <w:rPr>
                <w:rFonts w:hint="eastAsia" w:asciiTheme="minorEastAsia" w:hAnsiTheme="minorEastAsia"/>
                <w:sz w:val="22"/>
                <w:szCs w:val="24"/>
              </w:rPr>
              <w:t>示范食堂”称号。获称号1个得</w:t>
            </w:r>
            <w:r>
              <w:rPr>
                <w:rFonts w:asciiTheme="minorEastAsia" w:hAnsiTheme="minorEastAsia"/>
                <w:sz w:val="22"/>
                <w:szCs w:val="24"/>
              </w:rPr>
              <w:t>1</w:t>
            </w:r>
            <w:r>
              <w:rPr>
                <w:rFonts w:hint="eastAsia" w:asciiTheme="minorEastAsia" w:hAnsiTheme="minorEastAsia"/>
                <w:sz w:val="22"/>
                <w:szCs w:val="24"/>
              </w:rPr>
              <w:t>分，获称号2个</w:t>
            </w:r>
            <w:r>
              <w:rPr>
                <w:rFonts w:asciiTheme="minorEastAsia" w:hAnsiTheme="minorEastAsia"/>
                <w:sz w:val="22"/>
                <w:szCs w:val="24"/>
              </w:rPr>
              <w:t>得2</w:t>
            </w:r>
            <w:r>
              <w:rPr>
                <w:rFonts w:hint="eastAsia" w:asciiTheme="minorEastAsia" w:hAnsiTheme="minorEastAsia"/>
                <w:sz w:val="22"/>
                <w:szCs w:val="24"/>
              </w:rPr>
              <w:t>分</w:t>
            </w:r>
            <w:r>
              <w:rPr>
                <w:rFonts w:asciiTheme="minorEastAsia" w:hAnsiTheme="minorEastAsia"/>
                <w:sz w:val="22"/>
                <w:szCs w:val="24"/>
              </w:rPr>
              <w:t>，</w:t>
            </w:r>
            <w:r>
              <w:rPr>
                <w:rFonts w:hint="eastAsia" w:asciiTheme="minorEastAsia" w:hAnsiTheme="minorEastAsia"/>
                <w:sz w:val="22"/>
                <w:szCs w:val="24"/>
              </w:rPr>
              <w:t>获称号3个得3分，最高得3分，无获得的，得0分</w:t>
            </w:r>
          </w:p>
        </w:tc>
        <w:tc>
          <w:tcPr>
            <w:tcW w:w="850" w:type="dxa"/>
            <w:tcBorders>
              <w:left w:val="single" w:color="auto" w:sz="4" w:space="0"/>
            </w:tcBorders>
          </w:tcPr>
          <w:p>
            <w:pPr>
              <w:spacing w:line="500" w:lineRule="exact"/>
              <w:rPr>
                <w:rFonts w:asciiTheme="majorEastAsia" w:hAnsiTheme="majorEastAsia" w:eastAsia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line="500" w:lineRule="exact"/>
              <w:jc w:val="center"/>
              <w:rPr>
                <w:rFonts w:asciiTheme="majorEastAsia" w:hAnsiTheme="majorEastAsia" w:eastAsiaTheme="majorEastAsia"/>
                <w:sz w:val="30"/>
                <w:szCs w:val="30"/>
              </w:rPr>
            </w:pPr>
          </w:p>
          <w:p>
            <w:pPr>
              <w:spacing w:line="500" w:lineRule="exact"/>
              <w:ind w:firstLine="150" w:firstLineChars="50"/>
              <w:rPr>
                <w:rFonts w:asciiTheme="majorEastAsia" w:hAnsiTheme="majorEastAsia" w:eastAsiaTheme="majorEastAsia"/>
                <w:sz w:val="30"/>
                <w:szCs w:val="30"/>
              </w:rPr>
            </w:pPr>
            <w:r>
              <w:rPr>
                <w:rFonts w:hint="eastAsia" w:asciiTheme="majorEastAsia" w:hAnsiTheme="majorEastAsia" w:eastAsiaTheme="majorEastAsia"/>
                <w:sz w:val="30"/>
                <w:szCs w:val="30"/>
              </w:rPr>
              <w:t>2</w:t>
            </w:r>
          </w:p>
        </w:tc>
        <w:tc>
          <w:tcPr>
            <w:tcW w:w="1701" w:type="dxa"/>
          </w:tcPr>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ind w:firstLine="240" w:firstLineChars="100"/>
              <w:rPr>
                <w:rFonts w:asciiTheme="minorEastAsia" w:hAnsiTheme="minorEastAsia"/>
                <w:sz w:val="24"/>
                <w:szCs w:val="24"/>
              </w:rPr>
            </w:pPr>
            <w:r>
              <w:rPr>
                <w:rFonts w:hint="eastAsia" w:asciiTheme="minorEastAsia" w:hAnsiTheme="minorEastAsia"/>
                <w:sz w:val="24"/>
                <w:szCs w:val="24"/>
              </w:rPr>
              <w:t>企业信誉</w:t>
            </w:r>
          </w:p>
        </w:tc>
        <w:tc>
          <w:tcPr>
            <w:tcW w:w="850" w:type="dxa"/>
          </w:tcPr>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r>
              <w:rPr>
                <w:rFonts w:hint="eastAsia" w:asciiTheme="minorEastAsia" w:hAnsiTheme="minorEastAsia"/>
                <w:sz w:val="24"/>
                <w:szCs w:val="24"/>
              </w:rPr>
              <w:t>6分</w:t>
            </w:r>
          </w:p>
        </w:tc>
        <w:tc>
          <w:tcPr>
            <w:tcW w:w="4962" w:type="dxa"/>
            <w:tcBorders>
              <w:right w:val="single" w:color="auto" w:sz="4" w:space="0"/>
            </w:tcBorders>
          </w:tcPr>
          <w:p>
            <w:pPr>
              <w:spacing w:line="360" w:lineRule="exact"/>
              <w:rPr>
                <w:rFonts w:asciiTheme="minorEastAsia" w:hAnsiTheme="minorEastAsia"/>
                <w:sz w:val="22"/>
                <w:szCs w:val="24"/>
              </w:rPr>
            </w:pPr>
            <w:r>
              <w:rPr>
                <w:rFonts w:hint="eastAsia" w:asciiTheme="minorEastAsia" w:hAnsiTheme="minorEastAsia"/>
                <w:sz w:val="22"/>
                <w:szCs w:val="24"/>
              </w:rPr>
              <w:t>根据投标人经营的公司2018-2020年度，每一年度</w:t>
            </w:r>
            <w:r>
              <w:rPr>
                <w:rFonts w:asciiTheme="minorEastAsia" w:hAnsiTheme="minorEastAsia"/>
                <w:sz w:val="22"/>
                <w:szCs w:val="24"/>
              </w:rPr>
              <w:t>获得</w:t>
            </w:r>
            <w:r>
              <w:rPr>
                <w:rFonts w:hint="eastAsia" w:asciiTheme="minorEastAsia" w:hAnsiTheme="minorEastAsia"/>
                <w:sz w:val="22"/>
                <w:szCs w:val="24"/>
              </w:rPr>
              <w:t>一次市级以上“</w:t>
            </w:r>
            <w:r>
              <w:rPr>
                <w:rFonts w:asciiTheme="minorEastAsia" w:hAnsiTheme="minorEastAsia"/>
                <w:sz w:val="22"/>
                <w:szCs w:val="24"/>
              </w:rPr>
              <w:t>重合同守信用</w:t>
            </w:r>
            <w:r>
              <w:rPr>
                <w:rFonts w:hint="eastAsia" w:asciiTheme="minorEastAsia" w:hAnsiTheme="minorEastAsia"/>
                <w:sz w:val="22"/>
                <w:szCs w:val="24"/>
              </w:rPr>
              <w:t>”</w:t>
            </w:r>
            <w:r>
              <w:rPr>
                <w:rFonts w:asciiTheme="minorEastAsia" w:hAnsiTheme="minorEastAsia"/>
                <w:sz w:val="22"/>
                <w:szCs w:val="24"/>
              </w:rPr>
              <w:t>单位称号</w:t>
            </w:r>
            <w:r>
              <w:rPr>
                <w:rFonts w:hint="eastAsia" w:asciiTheme="minorEastAsia" w:hAnsiTheme="minorEastAsia"/>
                <w:sz w:val="22"/>
                <w:szCs w:val="24"/>
              </w:rPr>
              <w:t>，得2分，最高得6分  无获得的，得0分</w:t>
            </w:r>
          </w:p>
          <w:p>
            <w:pPr>
              <w:spacing w:line="360" w:lineRule="exact"/>
              <w:rPr>
                <w:rFonts w:asciiTheme="minorEastAsia" w:hAnsiTheme="minorEastAsia"/>
                <w:sz w:val="22"/>
                <w:szCs w:val="24"/>
              </w:rPr>
            </w:pPr>
            <w:r>
              <w:rPr>
                <w:rFonts w:asciiTheme="minorEastAsia" w:hAnsiTheme="minorEastAsia"/>
                <w:sz w:val="22"/>
                <w:szCs w:val="24"/>
              </w:rPr>
              <w:t>（以上须提供相关证书复印件加盖公章，没有提供不得分。招标人有权核查原件备查。）</w:t>
            </w:r>
          </w:p>
        </w:tc>
        <w:tc>
          <w:tcPr>
            <w:tcW w:w="850" w:type="dxa"/>
            <w:tcBorders>
              <w:left w:val="single" w:color="auto" w:sz="4" w:space="0"/>
            </w:tcBorders>
          </w:tcPr>
          <w:p>
            <w:pPr>
              <w:spacing w:line="500" w:lineRule="exact"/>
              <w:rPr>
                <w:rFonts w:asciiTheme="majorEastAsia" w:hAnsiTheme="majorEastAsia" w:eastAsia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51" w:type="dxa"/>
          </w:tcPr>
          <w:p>
            <w:pPr>
              <w:spacing w:line="500" w:lineRule="exact"/>
              <w:jc w:val="center"/>
              <w:rPr>
                <w:rFonts w:asciiTheme="majorEastAsia" w:hAnsiTheme="majorEastAsia" w:eastAsiaTheme="majorEastAsia"/>
                <w:sz w:val="30"/>
                <w:szCs w:val="30"/>
              </w:rPr>
            </w:pPr>
          </w:p>
          <w:p>
            <w:pPr>
              <w:spacing w:line="500" w:lineRule="exact"/>
              <w:jc w:val="center"/>
              <w:rPr>
                <w:rFonts w:asciiTheme="majorEastAsia" w:hAnsiTheme="majorEastAsia" w:eastAsiaTheme="majorEastAsia"/>
                <w:sz w:val="30"/>
                <w:szCs w:val="30"/>
              </w:rPr>
            </w:pPr>
          </w:p>
          <w:p>
            <w:pPr>
              <w:spacing w:line="500" w:lineRule="exact"/>
              <w:jc w:val="center"/>
              <w:rPr>
                <w:rFonts w:asciiTheme="majorEastAsia" w:hAnsiTheme="majorEastAsia" w:eastAsiaTheme="majorEastAsia"/>
                <w:sz w:val="30"/>
                <w:szCs w:val="30"/>
              </w:rPr>
            </w:pPr>
          </w:p>
          <w:p>
            <w:pPr>
              <w:spacing w:line="500" w:lineRule="exact"/>
              <w:jc w:val="center"/>
              <w:rPr>
                <w:rFonts w:asciiTheme="majorEastAsia" w:hAnsiTheme="majorEastAsia" w:eastAsiaTheme="majorEastAsia"/>
                <w:sz w:val="30"/>
                <w:szCs w:val="30"/>
              </w:rPr>
            </w:pPr>
          </w:p>
          <w:p>
            <w:pPr>
              <w:spacing w:line="50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3</w:t>
            </w:r>
          </w:p>
        </w:tc>
        <w:tc>
          <w:tcPr>
            <w:tcW w:w="1701" w:type="dxa"/>
          </w:tcPr>
          <w:p>
            <w:pPr>
              <w:spacing w:line="440" w:lineRule="exact"/>
              <w:jc w:val="center"/>
              <w:rPr>
                <w:rFonts w:asciiTheme="minorEastAsia" w:hAnsiTheme="minorEastAsia"/>
                <w:sz w:val="24"/>
                <w:szCs w:val="24"/>
              </w:rPr>
            </w:pPr>
          </w:p>
          <w:p>
            <w:pPr>
              <w:spacing w:line="440" w:lineRule="exact"/>
              <w:jc w:val="center"/>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jc w:val="center"/>
              <w:rPr>
                <w:rFonts w:asciiTheme="minorEastAsia" w:hAnsiTheme="minorEastAsia"/>
                <w:sz w:val="24"/>
                <w:szCs w:val="24"/>
              </w:rPr>
            </w:pPr>
            <w:r>
              <w:rPr>
                <w:rFonts w:asciiTheme="minorEastAsia" w:hAnsiTheme="minorEastAsia"/>
                <w:sz w:val="24"/>
                <w:szCs w:val="24"/>
              </w:rPr>
              <w:t>企业</w:t>
            </w:r>
            <w:r>
              <w:rPr>
                <w:rFonts w:hint="eastAsia" w:asciiTheme="minorEastAsia" w:hAnsiTheme="minorEastAsia"/>
                <w:sz w:val="24"/>
                <w:szCs w:val="24"/>
              </w:rPr>
              <w:t>经营能</w:t>
            </w:r>
            <w:r>
              <w:rPr>
                <w:rFonts w:asciiTheme="minorEastAsia" w:hAnsiTheme="minorEastAsia"/>
                <w:sz w:val="24"/>
                <w:szCs w:val="24"/>
              </w:rPr>
              <w:t>力</w:t>
            </w:r>
          </w:p>
        </w:tc>
        <w:tc>
          <w:tcPr>
            <w:tcW w:w="850" w:type="dxa"/>
          </w:tcPr>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r>
              <w:rPr>
                <w:rFonts w:hint="eastAsia" w:asciiTheme="minorEastAsia" w:hAnsiTheme="minorEastAsia"/>
                <w:sz w:val="24"/>
                <w:szCs w:val="24"/>
              </w:rPr>
              <w:t>6分</w:t>
            </w:r>
          </w:p>
        </w:tc>
        <w:tc>
          <w:tcPr>
            <w:tcW w:w="4962" w:type="dxa"/>
            <w:tcBorders>
              <w:right w:val="single" w:color="auto" w:sz="4" w:space="0"/>
            </w:tcBorders>
          </w:tcPr>
          <w:p>
            <w:pPr>
              <w:spacing w:line="360" w:lineRule="exact"/>
              <w:rPr>
                <w:rFonts w:asciiTheme="minorEastAsia" w:hAnsiTheme="minorEastAsia"/>
                <w:sz w:val="22"/>
                <w:szCs w:val="24"/>
              </w:rPr>
            </w:pPr>
            <w:r>
              <w:rPr>
                <w:rFonts w:asciiTheme="minorEastAsia" w:hAnsiTheme="minorEastAsia"/>
                <w:sz w:val="22"/>
                <w:szCs w:val="24"/>
              </w:rPr>
              <w:t>①</w:t>
            </w:r>
            <w:r>
              <w:rPr>
                <w:rFonts w:hint="eastAsia" w:asciiTheme="minorEastAsia" w:hAnsiTheme="minorEastAsia"/>
                <w:sz w:val="22"/>
                <w:szCs w:val="24"/>
              </w:rPr>
              <w:t>、</w:t>
            </w:r>
            <w:r>
              <w:rPr>
                <w:rFonts w:asciiTheme="minorEastAsia" w:hAnsiTheme="minorEastAsia"/>
                <w:sz w:val="22"/>
                <w:szCs w:val="24"/>
              </w:rPr>
              <w:t>根据投标人提供近三年由第三方会计师事务所审计的《审计报告》</w:t>
            </w:r>
            <w:r>
              <w:rPr>
                <w:rFonts w:hint="eastAsia" w:asciiTheme="minorEastAsia" w:hAnsiTheme="minorEastAsia"/>
                <w:sz w:val="22"/>
                <w:szCs w:val="24"/>
              </w:rPr>
              <w:t>。</w:t>
            </w:r>
            <w:r>
              <w:rPr>
                <w:rFonts w:asciiTheme="minorEastAsia" w:hAnsiTheme="minorEastAsia"/>
                <w:sz w:val="22"/>
                <w:szCs w:val="24"/>
              </w:rPr>
              <w:t>201</w:t>
            </w:r>
            <w:r>
              <w:rPr>
                <w:rFonts w:hint="eastAsia" w:asciiTheme="minorEastAsia" w:hAnsiTheme="minorEastAsia"/>
                <w:sz w:val="22"/>
                <w:szCs w:val="24"/>
              </w:rPr>
              <w:t>8</w:t>
            </w:r>
            <w:r>
              <w:rPr>
                <w:rFonts w:asciiTheme="minorEastAsia" w:hAnsiTheme="minorEastAsia"/>
                <w:sz w:val="22"/>
                <w:szCs w:val="24"/>
              </w:rPr>
              <w:t xml:space="preserve"> 年盈利的得1分，201</w:t>
            </w:r>
            <w:r>
              <w:rPr>
                <w:rFonts w:hint="eastAsia" w:asciiTheme="minorEastAsia" w:hAnsiTheme="minorEastAsia"/>
                <w:sz w:val="22"/>
                <w:szCs w:val="24"/>
              </w:rPr>
              <w:t>9</w:t>
            </w:r>
            <w:r>
              <w:rPr>
                <w:rFonts w:asciiTheme="minorEastAsia" w:hAnsiTheme="minorEastAsia"/>
                <w:sz w:val="22"/>
                <w:szCs w:val="24"/>
              </w:rPr>
              <w:t xml:space="preserve"> 年盈利的得1分，20</w:t>
            </w:r>
            <w:r>
              <w:rPr>
                <w:rFonts w:hint="eastAsia" w:asciiTheme="minorEastAsia" w:hAnsiTheme="minorEastAsia"/>
                <w:sz w:val="22"/>
                <w:szCs w:val="24"/>
              </w:rPr>
              <w:t>20</w:t>
            </w:r>
            <w:r>
              <w:rPr>
                <w:rFonts w:asciiTheme="minorEastAsia" w:hAnsiTheme="minorEastAsia"/>
                <w:sz w:val="22"/>
                <w:szCs w:val="24"/>
              </w:rPr>
              <w:t xml:space="preserve"> 年</w:t>
            </w:r>
            <w:r>
              <w:rPr>
                <w:rFonts w:hint="eastAsia" w:asciiTheme="minorEastAsia" w:hAnsiTheme="minorEastAsia"/>
                <w:sz w:val="22"/>
                <w:szCs w:val="24"/>
              </w:rPr>
              <w:t>盈利的得</w:t>
            </w:r>
            <w:r>
              <w:rPr>
                <w:rFonts w:asciiTheme="minorEastAsia" w:hAnsiTheme="minorEastAsia"/>
                <w:sz w:val="22"/>
                <w:szCs w:val="24"/>
              </w:rPr>
              <w:t>1分</w:t>
            </w:r>
            <w:r>
              <w:rPr>
                <w:rFonts w:hint="eastAsia" w:asciiTheme="minorEastAsia" w:hAnsiTheme="minorEastAsia"/>
                <w:sz w:val="22"/>
                <w:szCs w:val="24"/>
              </w:rPr>
              <w:t>。最高得3分</w:t>
            </w:r>
            <w:r>
              <w:rPr>
                <w:rFonts w:asciiTheme="minorEastAsia" w:hAnsiTheme="minorEastAsia"/>
                <w:sz w:val="22"/>
                <w:szCs w:val="24"/>
              </w:rPr>
              <w:t>（没有盈利或没有提供的，</w:t>
            </w:r>
            <w:r>
              <w:rPr>
                <w:rFonts w:hint="eastAsia" w:asciiTheme="minorEastAsia" w:hAnsiTheme="minorEastAsia"/>
                <w:sz w:val="22"/>
                <w:szCs w:val="24"/>
              </w:rPr>
              <w:t>该年度</w:t>
            </w:r>
            <w:r>
              <w:rPr>
                <w:rFonts w:asciiTheme="minorEastAsia" w:hAnsiTheme="minorEastAsia"/>
                <w:sz w:val="22"/>
                <w:szCs w:val="24"/>
              </w:rPr>
              <w:t>得</w:t>
            </w:r>
            <w:r>
              <w:rPr>
                <w:rFonts w:hint="eastAsia" w:asciiTheme="minorEastAsia" w:hAnsiTheme="minorEastAsia"/>
                <w:sz w:val="22"/>
                <w:szCs w:val="24"/>
              </w:rPr>
              <w:t>0</w:t>
            </w:r>
            <w:r>
              <w:rPr>
                <w:rFonts w:asciiTheme="minorEastAsia" w:hAnsiTheme="minorEastAsia"/>
                <w:sz w:val="22"/>
                <w:szCs w:val="24"/>
              </w:rPr>
              <w:t>分。）</w:t>
            </w:r>
          </w:p>
          <w:p>
            <w:pPr>
              <w:spacing w:line="360" w:lineRule="exact"/>
              <w:rPr>
                <w:rFonts w:asciiTheme="minorEastAsia" w:hAnsiTheme="minorEastAsia"/>
                <w:sz w:val="22"/>
                <w:szCs w:val="24"/>
              </w:rPr>
            </w:pPr>
            <w:r>
              <w:rPr>
                <w:rFonts w:asciiTheme="minorEastAsia" w:hAnsiTheme="minorEastAsia"/>
                <w:sz w:val="22"/>
                <w:szCs w:val="24"/>
              </w:rPr>
              <w:t>②</w:t>
            </w:r>
            <w:r>
              <w:rPr>
                <w:rFonts w:hint="eastAsia" w:asciiTheme="minorEastAsia" w:hAnsiTheme="minorEastAsia"/>
                <w:sz w:val="22"/>
                <w:szCs w:val="24"/>
              </w:rPr>
              <w:t>、根据</w:t>
            </w:r>
            <w:r>
              <w:rPr>
                <w:rFonts w:asciiTheme="minorEastAsia" w:hAnsiTheme="minorEastAsia"/>
                <w:sz w:val="22"/>
                <w:szCs w:val="24"/>
              </w:rPr>
              <w:t>投标人</w:t>
            </w:r>
            <w:r>
              <w:rPr>
                <w:rFonts w:hint="eastAsia" w:asciiTheme="minorEastAsia" w:hAnsiTheme="minorEastAsia"/>
                <w:sz w:val="22"/>
                <w:szCs w:val="24"/>
              </w:rPr>
              <w:t>在</w:t>
            </w:r>
            <w:r>
              <w:rPr>
                <w:rFonts w:asciiTheme="minorEastAsia" w:hAnsiTheme="minorEastAsia"/>
                <w:sz w:val="22"/>
                <w:szCs w:val="24"/>
              </w:rPr>
              <w:t>（201</w:t>
            </w:r>
            <w:r>
              <w:rPr>
                <w:rFonts w:hint="eastAsia" w:asciiTheme="minorEastAsia" w:hAnsiTheme="minorEastAsia"/>
                <w:sz w:val="22"/>
                <w:szCs w:val="24"/>
              </w:rPr>
              <w:t>8</w:t>
            </w:r>
            <w:r>
              <w:rPr>
                <w:rFonts w:asciiTheme="minorEastAsia" w:hAnsiTheme="minorEastAsia"/>
                <w:sz w:val="22"/>
                <w:szCs w:val="24"/>
              </w:rPr>
              <w:t xml:space="preserve"> </w:t>
            </w:r>
            <w:r>
              <w:rPr>
                <w:rFonts w:hint="eastAsia" w:asciiTheme="minorEastAsia" w:hAnsiTheme="minorEastAsia"/>
                <w:sz w:val="22"/>
                <w:szCs w:val="24"/>
              </w:rPr>
              <w:t>-</w:t>
            </w:r>
            <w:r>
              <w:rPr>
                <w:rFonts w:asciiTheme="minorEastAsia" w:hAnsiTheme="minorEastAsia"/>
                <w:sz w:val="22"/>
                <w:szCs w:val="24"/>
              </w:rPr>
              <w:t>20</w:t>
            </w:r>
            <w:r>
              <w:rPr>
                <w:rFonts w:hint="eastAsia" w:asciiTheme="minorEastAsia" w:hAnsiTheme="minorEastAsia"/>
                <w:sz w:val="22"/>
                <w:szCs w:val="24"/>
              </w:rPr>
              <w:t>20）</w:t>
            </w:r>
            <w:r>
              <w:rPr>
                <w:rFonts w:asciiTheme="minorEastAsia" w:hAnsiTheme="minorEastAsia"/>
                <w:sz w:val="22"/>
                <w:szCs w:val="24"/>
              </w:rPr>
              <w:t xml:space="preserve"> 年</w:t>
            </w:r>
            <w:r>
              <w:rPr>
                <w:rFonts w:hint="eastAsia" w:asciiTheme="minorEastAsia" w:hAnsiTheme="minorEastAsia"/>
                <w:sz w:val="22"/>
                <w:szCs w:val="24"/>
              </w:rPr>
              <w:t>度获得税务行政部门颁发的“纳税信用等级A级”证书，连续2年及以上得3分，不连续但获得其中二年得2分，获得其中一年得1分，无获得的，得0分。</w:t>
            </w:r>
          </w:p>
          <w:p>
            <w:pPr>
              <w:spacing w:line="360" w:lineRule="exact"/>
              <w:rPr>
                <w:rFonts w:asciiTheme="minorEastAsia" w:hAnsiTheme="minorEastAsia"/>
                <w:sz w:val="22"/>
                <w:szCs w:val="24"/>
              </w:rPr>
            </w:pPr>
            <w:r>
              <w:rPr>
                <w:rFonts w:hint="eastAsia" w:asciiTheme="minorEastAsia" w:hAnsiTheme="minorEastAsia"/>
                <w:sz w:val="22"/>
                <w:szCs w:val="24"/>
              </w:rPr>
              <w:t>（以税务部分颁发的证件为准，原件备查）</w:t>
            </w:r>
          </w:p>
        </w:tc>
        <w:tc>
          <w:tcPr>
            <w:tcW w:w="850" w:type="dxa"/>
            <w:tcBorders>
              <w:left w:val="single" w:color="auto" w:sz="4" w:space="0"/>
            </w:tcBorders>
          </w:tcPr>
          <w:p>
            <w:pPr>
              <w:spacing w:line="500" w:lineRule="exact"/>
              <w:rPr>
                <w:rFonts w:asciiTheme="majorEastAsia" w:hAnsiTheme="majorEastAsia" w:eastAsiaTheme="majorEastAsia"/>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spacing w:line="500" w:lineRule="exact"/>
              <w:jc w:val="center"/>
              <w:rPr>
                <w:rFonts w:asciiTheme="majorEastAsia" w:hAnsiTheme="majorEastAsia" w:eastAsiaTheme="majorEastAsia"/>
                <w:sz w:val="30"/>
                <w:szCs w:val="30"/>
              </w:rPr>
            </w:pPr>
          </w:p>
          <w:p>
            <w:pPr>
              <w:spacing w:line="500" w:lineRule="exact"/>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4</w:t>
            </w:r>
          </w:p>
        </w:tc>
        <w:tc>
          <w:tcPr>
            <w:tcW w:w="1701" w:type="dxa"/>
          </w:tcPr>
          <w:p>
            <w:pPr>
              <w:spacing w:line="440" w:lineRule="exact"/>
              <w:rPr>
                <w:rFonts w:asciiTheme="minorEastAsia" w:hAnsiTheme="minorEastAsia"/>
                <w:sz w:val="24"/>
                <w:szCs w:val="24"/>
              </w:rPr>
            </w:pPr>
          </w:p>
          <w:p>
            <w:pPr>
              <w:spacing w:line="440" w:lineRule="exact"/>
              <w:ind w:left="240" w:hanging="240" w:hangingChars="100"/>
              <w:rPr>
                <w:rFonts w:asciiTheme="minorEastAsia" w:hAnsiTheme="minorEastAsia"/>
                <w:sz w:val="24"/>
                <w:szCs w:val="24"/>
              </w:rPr>
            </w:pPr>
            <w:r>
              <w:rPr>
                <w:rFonts w:hint="eastAsia" w:asciiTheme="minorEastAsia" w:hAnsiTheme="minorEastAsia"/>
                <w:sz w:val="24"/>
                <w:szCs w:val="24"/>
              </w:rPr>
              <w:t>承包餐饮服务项目的业绩</w:t>
            </w:r>
          </w:p>
        </w:tc>
        <w:tc>
          <w:tcPr>
            <w:tcW w:w="850" w:type="dxa"/>
          </w:tcPr>
          <w:p>
            <w:pPr>
              <w:spacing w:line="440" w:lineRule="exact"/>
              <w:rPr>
                <w:rFonts w:asciiTheme="minorEastAsia" w:hAnsiTheme="minorEastAsia"/>
                <w:sz w:val="24"/>
                <w:szCs w:val="24"/>
              </w:rPr>
            </w:pPr>
          </w:p>
          <w:p>
            <w:pPr>
              <w:spacing w:line="440" w:lineRule="exact"/>
              <w:rPr>
                <w:rFonts w:asciiTheme="minorEastAsia" w:hAnsiTheme="minorEastAsia"/>
                <w:sz w:val="24"/>
                <w:szCs w:val="24"/>
              </w:rPr>
            </w:pPr>
            <w:r>
              <w:rPr>
                <w:rFonts w:hint="eastAsia" w:asciiTheme="minorEastAsia" w:hAnsiTheme="minorEastAsia"/>
                <w:sz w:val="24"/>
                <w:szCs w:val="24"/>
              </w:rPr>
              <w:t>6分</w:t>
            </w:r>
          </w:p>
        </w:tc>
        <w:tc>
          <w:tcPr>
            <w:tcW w:w="4962" w:type="dxa"/>
            <w:tcBorders>
              <w:right w:val="single" w:color="auto" w:sz="4" w:space="0"/>
            </w:tcBorders>
          </w:tcPr>
          <w:p>
            <w:pPr>
              <w:spacing w:line="360" w:lineRule="exact"/>
              <w:rPr>
                <w:rFonts w:asciiTheme="minorEastAsia" w:hAnsiTheme="minorEastAsia"/>
                <w:sz w:val="22"/>
                <w:szCs w:val="24"/>
              </w:rPr>
            </w:pPr>
            <w:r>
              <w:rPr>
                <w:rFonts w:asciiTheme="minorEastAsia" w:hAnsiTheme="minorEastAsia"/>
                <w:sz w:val="22"/>
                <w:szCs w:val="24"/>
              </w:rPr>
              <w:t>根据投标人</w:t>
            </w:r>
            <w:r>
              <w:rPr>
                <w:rFonts w:hint="eastAsia" w:asciiTheme="minorEastAsia" w:hAnsiTheme="minorEastAsia"/>
                <w:sz w:val="22"/>
                <w:szCs w:val="24"/>
              </w:rPr>
              <w:t>2021年承包</w:t>
            </w:r>
            <w:r>
              <w:rPr>
                <w:rFonts w:asciiTheme="minorEastAsia" w:hAnsiTheme="minorEastAsia"/>
                <w:sz w:val="22"/>
                <w:szCs w:val="24"/>
              </w:rPr>
              <w:t xml:space="preserve">具有 </w:t>
            </w:r>
            <w:r>
              <w:rPr>
                <w:rFonts w:hint="eastAsia" w:asciiTheme="minorEastAsia" w:hAnsiTheme="minorEastAsia"/>
                <w:sz w:val="22"/>
                <w:szCs w:val="24"/>
              </w:rPr>
              <w:t>200</w:t>
            </w:r>
            <w:r>
              <w:rPr>
                <w:rFonts w:asciiTheme="minorEastAsia" w:hAnsiTheme="minorEastAsia"/>
                <w:sz w:val="22"/>
                <w:szCs w:val="24"/>
              </w:rPr>
              <w:t>人以上规模</w:t>
            </w:r>
            <w:r>
              <w:rPr>
                <w:rFonts w:hint="eastAsia" w:asciiTheme="minorEastAsia" w:hAnsiTheme="minorEastAsia"/>
                <w:sz w:val="22"/>
                <w:szCs w:val="24"/>
              </w:rPr>
              <w:t>的</w:t>
            </w:r>
            <w:r>
              <w:rPr>
                <w:rFonts w:asciiTheme="minorEastAsia" w:hAnsiTheme="minorEastAsia"/>
                <w:sz w:val="22"/>
                <w:szCs w:val="24"/>
              </w:rPr>
              <w:t>高校</w:t>
            </w:r>
            <w:r>
              <w:rPr>
                <w:rFonts w:hint="eastAsia" w:asciiTheme="minorEastAsia" w:hAnsiTheme="minorEastAsia"/>
                <w:sz w:val="22"/>
                <w:szCs w:val="24"/>
              </w:rPr>
              <w:t>、</w:t>
            </w:r>
            <w:r>
              <w:rPr>
                <w:rFonts w:asciiTheme="minorEastAsia" w:hAnsiTheme="minorEastAsia"/>
                <w:sz w:val="22"/>
                <w:szCs w:val="24"/>
              </w:rPr>
              <w:t>企事业单位食堂、经营</w:t>
            </w:r>
            <w:r>
              <w:rPr>
                <w:rFonts w:hint="eastAsia" w:asciiTheme="minorEastAsia" w:hAnsiTheme="minorEastAsia"/>
                <w:sz w:val="22"/>
                <w:szCs w:val="24"/>
              </w:rPr>
              <w:t>中</w:t>
            </w:r>
            <w:r>
              <w:rPr>
                <w:rFonts w:asciiTheme="minorEastAsia" w:hAnsiTheme="minorEastAsia"/>
                <w:sz w:val="22"/>
                <w:szCs w:val="24"/>
              </w:rPr>
              <w:t xml:space="preserve">型餐饮店（每餐不低于 </w:t>
            </w:r>
            <w:r>
              <w:rPr>
                <w:rFonts w:hint="eastAsia" w:asciiTheme="minorEastAsia" w:hAnsiTheme="minorEastAsia"/>
                <w:sz w:val="22"/>
                <w:szCs w:val="24"/>
              </w:rPr>
              <w:t>100</w:t>
            </w:r>
            <w:r>
              <w:rPr>
                <w:rFonts w:asciiTheme="minorEastAsia" w:hAnsiTheme="minorEastAsia"/>
                <w:sz w:val="22"/>
                <w:szCs w:val="24"/>
              </w:rPr>
              <w:t xml:space="preserve"> 人次）项目业绩进行评审，每提供 1 个合同，得</w:t>
            </w:r>
            <w:r>
              <w:rPr>
                <w:rFonts w:hint="eastAsia" w:asciiTheme="minorEastAsia" w:hAnsiTheme="minorEastAsia"/>
                <w:sz w:val="22"/>
                <w:szCs w:val="24"/>
              </w:rPr>
              <w:t>1</w:t>
            </w:r>
            <w:r>
              <w:rPr>
                <w:rFonts w:asciiTheme="minorEastAsia" w:hAnsiTheme="minorEastAsia"/>
                <w:sz w:val="22"/>
                <w:szCs w:val="24"/>
              </w:rPr>
              <w:t>分，</w:t>
            </w:r>
            <w:r>
              <w:rPr>
                <w:rFonts w:hint="eastAsia" w:asciiTheme="minorEastAsia" w:hAnsiTheme="minorEastAsia"/>
                <w:sz w:val="22"/>
                <w:szCs w:val="24"/>
              </w:rPr>
              <w:t>最高</w:t>
            </w:r>
            <w:r>
              <w:rPr>
                <w:rFonts w:asciiTheme="minorEastAsia" w:hAnsiTheme="minorEastAsia"/>
                <w:sz w:val="22"/>
                <w:szCs w:val="24"/>
              </w:rPr>
              <w:t>得</w:t>
            </w:r>
            <w:r>
              <w:rPr>
                <w:rFonts w:hint="eastAsia" w:asciiTheme="minorEastAsia" w:hAnsiTheme="minorEastAsia"/>
                <w:sz w:val="22"/>
                <w:szCs w:val="24"/>
              </w:rPr>
              <w:t>6</w:t>
            </w:r>
            <w:r>
              <w:rPr>
                <w:rFonts w:asciiTheme="minorEastAsia" w:hAnsiTheme="minorEastAsia"/>
                <w:sz w:val="22"/>
                <w:szCs w:val="24"/>
              </w:rPr>
              <w:t>分</w:t>
            </w:r>
            <w:r>
              <w:rPr>
                <w:rFonts w:hint="eastAsia" w:asciiTheme="minorEastAsia" w:hAnsiTheme="minorEastAsia"/>
                <w:sz w:val="22"/>
                <w:szCs w:val="24"/>
              </w:rPr>
              <w:t>，无提供的，得0分</w:t>
            </w:r>
            <w:r>
              <w:rPr>
                <w:rFonts w:asciiTheme="minorEastAsia" w:hAnsiTheme="minorEastAsia"/>
                <w:sz w:val="22"/>
                <w:szCs w:val="24"/>
              </w:rPr>
              <w:t>。</w:t>
            </w:r>
          </w:p>
          <w:p>
            <w:pPr>
              <w:spacing w:line="360" w:lineRule="exact"/>
              <w:rPr>
                <w:rFonts w:asciiTheme="minorEastAsia" w:hAnsiTheme="minorEastAsia"/>
                <w:sz w:val="22"/>
                <w:szCs w:val="24"/>
              </w:rPr>
            </w:pPr>
            <w:r>
              <w:rPr>
                <w:rFonts w:asciiTheme="minorEastAsia" w:hAnsiTheme="minorEastAsia"/>
                <w:sz w:val="22"/>
                <w:szCs w:val="24"/>
              </w:rPr>
              <w:t>（以上须提供合同复印件</w:t>
            </w:r>
            <w:r>
              <w:rPr>
                <w:rFonts w:hint="eastAsia" w:asciiTheme="minorEastAsia" w:hAnsiTheme="minorEastAsia"/>
                <w:sz w:val="22"/>
                <w:szCs w:val="24"/>
              </w:rPr>
              <w:t>及实地核查</w:t>
            </w:r>
            <w:r>
              <w:rPr>
                <w:rFonts w:asciiTheme="minorEastAsia" w:hAnsiTheme="minorEastAsia"/>
                <w:sz w:val="22"/>
                <w:szCs w:val="24"/>
              </w:rPr>
              <w:t>，原件备查）</w:t>
            </w:r>
          </w:p>
        </w:tc>
        <w:tc>
          <w:tcPr>
            <w:tcW w:w="850" w:type="dxa"/>
            <w:tcBorders>
              <w:left w:val="single" w:color="auto" w:sz="4" w:space="0"/>
            </w:tcBorders>
          </w:tcPr>
          <w:p>
            <w:pPr>
              <w:spacing w:line="500" w:lineRule="exact"/>
              <w:rPr>
                <w:rFonts w:asciiTheme="majorEastAsia" w:hAnsiTheme="majorEastAsia" w:eastAsiaTheme="majorEastAsia"/>
                <w:sz w:val="30"/>
                <w:szCs w:val="30"/>
              </w:rPr>
            </w:pPr>
          </w:p>
        </w:tc>
      </w:tr>
    </w:tbl>
    <w:p>
      <w:pPr>
        <w:spacing w:line="302" w:lineRule="exact"/>
        <w:rPr>
          <w:rFonts w:ascii="Times New Roman" w:hAnsi="Times New Roman"/>
          <w:b/>
          <w:sz w:val="30"/>
          <w:szCs w:val="30"/>
        </w:rPr>
      </w:pPr>
    </w:p>
    <w:p>
      <w:pPr>
        <w:spacing w:line="302" w:lineRule="exact"/>
        <w:rPr>
          <w:rFonts w:ascii="Times New Roman" w:hAnsi="Times New Roman"/>
          <w:b/>
          <w:sz w:val="30"/>
          <w:szCs w:val="30"/>
        </w:rPr>
      </w:pPr>
    </w:p>
    <w:p>
      <w:pPr>
        <w:spacing w:line="302" w:lineRule="exact"/>
        <w:rPr>
          <w:rFonts w:ascii="Times New Roman" w:hAnsi="Times New Roman"/>
          <w:b/>
          <w:sz w:val="30"/>
          <w:szCs w:val="30"/>
        </w:rPr>
      </w:pPr>
    </w:p>
    <w:p>
      <w:pPr>
        <w:spacing w:line="302" w:lineRule="exact"/>
        <w:rPr>
          <w:rFonts w:ascii="Times New Roman" w:hAnsi="Times New Roman"/>
          <w:b/>
          <w:sz w:val="30"/>
          <w:szCs w:val="30"/>
        </w:rPr>
      </w:pPr>
    </w:p>
    <w:p>
      <w:pPr>
        <w:spacing w:line="302" w:lineRule="exact"/>
        <w:rPr>
          <w:rFonts w:ascii="Times New Roman" w:hAnsi="Times New Roman"/>
          <w:b/>
          <w:sz w:val="30"/>
          <w:szCs w:val="30"/>
        </w:rPr>
      </w:pPr>
    </w:p>
    <w:p>
      <w:pPr>
        <w:spacing w:line="302" w:lineRule="exact"/>
        <w:rPr>
          <w:rFonts w:ascii="Times New Roman" w:hAnsi="Times New Roman"/>
          <w:b/>
          <w:sz w:val="30"/>
          <w:szCs w:val="30"/>
        </w:rPr>
      </w:pPr>
      <w:r>
        <w:rPr>
          <w:rFonts w:hint="eastAsia" w:ascii="Times New Roman" w:hAnsi="Times New Roman"/>
          <w:b/>
          <w:sz w:val="30"/>
          <w:szCs w:val="30"/>
        </w:rPr>
        <w:t>附件12</w:t>
      </w:r>
    </w:p>
    <w:p>
      <w:pPr>
        <w:spacing w:line="500" w:lineRule="exact"/>
        <w:ind w:left="600"/>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技术（评审、自查）评分表（40分）</w:t>
      </w:r>
    </w:p>
    <w:tbl>
      <w:tblPr>
        <w:tblStyle w:val="9"/>
        <w:tblW w:w="93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276"/>
        <w:gridCol w:w="567"/>
        <w:gridCol w:w="5670"/>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817" w:type="dxa"/>
          </w:tcPr>
          <w:p>
            <w:pPr>
              <w:spacing w:line="320" w:lineRule="exact"/>
              <w:jc w:val="center"/>
              <w:rPr>
                <w:rFonts w:asciiTheme="minorEastAsia" w:hAnsiTheme="minorEastAsia"/>
                <w:sz w:val="28"/>
                <w:szCs w:val="28"/>
              </w:rPr>
            </w:pPr>
            <w:r>
              <w:rPr>
                <w:rFonts w:hint="eastAsia" w:asciiTheme="minorEastAsia" w:hAnsiTheme="minorEastAsia"/>
                <w:sz w:val="28"/>
                <w:szCs w:val="28"/>
              </w:rPr>
              <w:t>序号</w:t>
            </w:r>
          </w:p>
        </w:tc>
        <w:tc>
          <w:tcPr>
            <w:tcW w:w="1276" w:type="dxa"/>
          </w:tcPr>
          <w:p>
            <w:pPr>
              <w:spacing w:line="320" w:lineRule="exact"/>
              <w:jc w:val="center"/>
              <w:rPr>
                <w:rFonts w:asciiTheme="minorEastAsia" w:hAnsiTheme="minorEastAsia"/>
                <w:sz w:val="28"/>
                <w:szCs w:val="28"/>
              </w:rPr>
            </w:pPr>
            <w:r>
              <w:rPr>
                <w:rFonts w:hint="eastAsia" w:asciiTheme="minorEastAsia" w:hAnsiTheme="minorEastAsia"/>
                <w:sz w:val="28"/>
                <w:szCs w:val="28"/>
              </w:rPr>
              <w:t>评审项目</w:t>
            </w:r>
          </w:p>
        </w:tc>
        <w:tc>
          <w:tcPr>
            <w:tcW w:w="567" w:type="dxa"/>
          </w:tcPr>
          <w:p>
            <w:pPr>
              <w:spacing w:line="320" w:lineRule="exact"/>
              <w:jc w:val="center"/>
              <w:rPr>
                <w:rFonts w:asciiTheme="minorEastAsia" w:hAnsiTheme="minorEastAsia"/>
                <w:sz w:val="28"/>
                <w:szCs w:val="28"/>
              </w:rPr>
            </w:pPr>
            <w:r>
              <w:rPr>
                <w:rFonts w:hint="eastAsia" w:asciiTheme="minorEastAsia" w:hAnsiTheme="minorEastAsia"/>
                <w:sz w:val="28"/>
                <w:szCs w:val="28"/>
              </w:rPr>
              <w:t>分值</w:t>
            </w:r>
          </w:p>
        </w:tc>
        <w:tc>
          <w:tcPr>
            <w:tcW w:w="5670" w:type="dxa"/>
          </w:tcPr>
          <w:p>
            <w:pPr>
              <w:spacing w:line="320" w:lineRule="exact"/>
              <w:jc w:val="center"/>
              <w:rPr>
                <w:rFonts w:asciiTheme="minorEastAsia" w:hAnsiTheme="minorEastAsia"/>
                <w:sz w:val="28"/>
                <w:szCs w:val="28"/>
              </w:rPr>
            </w:pPr>
            <w:r>
              <w:rPr>
                <w:rFonts w:hint="eastAsia" w:asciiTheme="minorEastAsia" w:hAnsiTheme="minorEastAsia"/>
                <w:sz w:val="28"/>
                <w:szCs w:val="28"/>
              </w:rPr>
              <w:t>打分细则</w:t>
            </w:r>
          </w:p>
        </w:tc>
        <w:tc>
          <w:tcPr>
            <w:tcW w:w="992" w:type="dxa"/>
          </w:tcPr>
          <w:p>
            <w:pPr>
              <w:spacing w:line="320" w:lineRule="exact"/>
              <w:jc w:val="center"/>
              <w:rPr>
                <w:rFonts w:ascii="Times New Roman" w:hAnsi="Times New Roman"/>
                <w:sz w:val="30"/>
                <w:szCs w:val="30"/>
              </w:rPr>
            </w:pPr>
            <w:r>
              <w:rPr>
                <w:rFonts w:hint="eastAsia" w:ascii="Times New Roman" w:hAnsi="Times New Roman"/>
                <w:sz w:val="30"/>
                <w:szCs w:val="30"/>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1</w:t>
            </w:r>
          </w:p>
        </w:tc>
        <w:tc>
          <w:tcPr>
            <w:tcW w:w="1276" w:type="dxa"/>
          </w:tcPr>
          <w:p>
            <w:pPr>
              <w:spacing w:line="320" w:lineRule="exact"/>
              <w:rPr>
                <w:rFonts w:asciiTheme="minorEastAsia" w:hAnsiTheme="minorEastAsia"/>
                <w:szCs w:val="24"/>
              </w:rPr>
            </w:pPr>
          </w:p>
          <w:p>
            <w:pPr>
              <w:spacing w:line="320" w:lineRule="exact"/>
              <w:rPr>
                <w:rFonts w:asciiTheme="minorEastAsia" w:hAnsiTheme="minorEastAsia"/>
                <w:szCs w:val="24"/>
              </w:rPr>
            </w:pPr>
            <w:r>
              <w:rPr>
                <w:rFonts w:hint="eastAsia" w:asciiTheme="minorEastAsia" w:hAnsiTheme="minorEastAsia"/>
                <w:szCs w:val="24"/>
              </w:rPr>
              <w:t>投标</w:t>
            </w:r>
            <w:r>
              <w:rPr>
                <w:rFonts w:asciiTheme="minorEastAsia" w:hAnsiTheme="minorEastAsia"/>
                <w:szCs w:val="24"/>
              </w:rPr>
              <w:t>项目经营</w:t>
            </w:r>
            <w:r>
              <w:rPr>
                <w:rFonts w:hint="eastAsia" w:asciiTheme="minorEastAsia" w:hAnsiTheme="minorEastAsia"/>
                <w:szCs w:val="24"/>
              </w:rPr>
              <w:t>服务</w:t>
            </w:r>
            <w:r>
              <w:rPr>
                <w:rFonts w:asciiTheme="minorEastAsia" w:hAnsiTheme="minorEastAsia"/>
                <w:szCs w:val="24"/>
              </w:rPr>
              <w:t>方案</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9分</w:t>
            </w:r>
          </w:p>
        </w:tc>
        <w:tc>
          <w:tcPr>
            <w:tcW w:w="5670" w:type="dxa"/>
          </w:tcPr>
          <w:p>
            <w:pPr>
              <w:spacing w:line="320" w:lineRule="exact"/>
              <w:rPr>
                <w:rFonts w:asciiTheme="minorEastAsia" w:hAnsiTheme="minorEastAsia"/>
                <w:sz w:val="18"/>
                <w:szCs w:val="24"/>
              </w:rPr>
            </w:pPr>
            <w:r>
              <w:rPr>
                <w:rFonts w:asciiTheme="minorEastAsia" w:hAnsiTheme="minorEastAsia"/>
                <w:sz w:val="18"/>
                <w:szCs w:val="24"/>
              </w:rPr>
              <w:t>根据投标人对本项目要求及招标任务的理解</w:t>
            </w:r>
            <w:r>
              <w:rPr>
                <w:rFonts w:hint="eastAsia" w:asciiTheme="minorEastAsia" w:hAnsiTheme="minorEastAsia"/>
                <w:sz w:val="18"/>
                <w:szCs w:val="24"/>
              </w:rPr>
              <w:t>，要求</w:t>
            </w:r>
            <w:r>
              <w:rPr>
                <w:rFonts w:asciiTheme="minorEastAsia" w:hAnsiTheme="minorEastAsia"/>
                <w:sz w:val="18"/>
                <w:szCs w:val="24"/>
              </w:rPr>
              <w:t>项目经营理念新颖，服务方案</w:t>
            </w:r>
            <w:r>
              <w:rPr>
                <w:rFonts w:hint="eastAsia" w:asciiTheme="minorEastAsia" w:hAnsiTheme="minorEastAsia"/>
                <w:sz w:val="18"/>
                <w:szCs w:val="24"/>
              </w:rPr>
              <w:t>明晰、可</w:t>
            </w:r>
            <w:r>
              <w:rPr>
                <w:rFonts w:asciiTheme="minorEastAsia" w:hAnsiTheme="minorEastAsia"/>
                <w:sz w:val="18"/>
                <w:szCs w:val="24"/>
              </w:rPr>
              <w:t>操作性强、食品</w:t>
            </w:r>
            <w:r>
              <w:rPr>
                <w:rFonts w:hint="eastAsia" w:asciiTheme="minorEastAsia" w:hAnsiTheme="minorEastAsia"/>
                <w:sz w:val="18"/>
                <w:szCs w:val="24"/>
              </w:rPr>
              <w:t>质量控制、食品</w:t>
            </w:r>
            <w:r>
              <w:rPr>
                <w:rFonts w:asciiTheme="minorEastAsia" w:hAnsiTheme="minorEastAsia"/>
                <w:sz w:val="18"/>
                <w:szCs w:val="24"/>
              </w:rPr>
              <w:t>安全卫生</w:t>
            </w:r>
            <w:r>
              <w:rPr>
                <w:rFonts w:hint="eastAsia" w:asciiTheme="minorEastAsia" w:hAnsiTheme="minorEastAsia"/>
                <w:sz w:val="18"/>
                <w:szCs w:val="24"/>
              </w:rPr>
              <w:t>管理</w:t>
            </w:r>
            <w:r>
              <w:rPr>
                <w:rFonts w:asciiTheme="minorEastAsia" w:hAnsiTheme="minorEastAsia"/>
                <w:sz w:val="18"/>
                <w:szCs w:val="24"/>
              </w:rPr>
              <w:t>、</w:t>
            </w:r>
            <w:r>
              <w:rPr>
                <w:rFonts w:hint="eastAsia" w:asciiTheme="minorEastAsia" w:hAnsiTheme="minorEastAsia"/>
                <w:sz w:val="18"/>
                <w:szCs w:val="24"/>
              </w:rPr>
              <w:t>生产</w:t>
            </w:r>
            <w:r>
              <w:rPr>
                <w:rFonts w:asciiTheme="minorEastAsia" w:hAnsiTheme="minorEastAsia"/>
                <w:sz w:val="18"/>
                <w:szCs w:val="24"/>
              </w:rPr>
              <w:t>操作流程</w:t>
            </w:r>
            <w:r>
              <w:rPr>
                <w:rFonts w:hint="eastAsia" w:asciiTheme="minorEastAsia" w:hAnsiTheme="minorEastAsia"/>
                <w:sz w:val="18"/>
                <w:szCs w:val="24"/>
              </w:rPr>
              <w:t>规范</w:t>
            </w:r>
            <w:r>
              <w:rPr>
                <w:rFonts w:asciiTheme="minorEastAsia" w:hAnsiTheme="minorEastAsia"/>
                <w:sz w:val="18"/>
                <w:szCs w:val="24"/>
              </w:rPr>
              <w:t>、</w:t>
            </w:r>
            <w:r>
              <w:rPr>
                <w:rFonts w:hint="eastAsia" w:asciiTheme="minorEastAsia" w:hAnsiTheme="minorEastAsia"/>
                <w:sz w:val="18"/>
                <w:szCs w:val="24"/>
              </w:rPr>
              <w:t>日常管理、产品质量保障措施、</w:t>
            </w:r>
            <w:r>
              <w:rPr>
                <w:rFonts w:asciiTheme="minorEastAsia" w:hAnsiTheme="minorEastAsia"/>
                <w:sz w:val="18"/>
                <w:szCs w:val="24"/>
              </w:rPr>
              <w:t>服务</w:t>
            </w:r>
            <w:r>
              <w:rPr>
                <w:rFonts w:hint="eastAsia" w:asciiTheme="minorEastAsia" w:hAnsiTheme="minorEastAsia"/>
                <w:sz w:val="18"/>
                <w:szCs w:val="24"/>
              </w:rPr>
              <w:t>质量</w:t>
            </w:r>
            <w:r>
              <w:rPr>
                <w:rFonts w:asciiTheme="minorEastAsia" w:hAnsiTheme="minorEastAsia"/>
                <w:sz w:val="18"/>
                <w:szCs w:val="24"/>
              </w:rPr>
              <w:t>保障</w:t>
            </w:r>
            <w:r>
              <w:rPr>
                <w:rFonts w:hint="eastAsia" w:asciiTheme="minorEastAsia" w:hAnsiTheme="minorEastAsia"/>
                <w:sz w:val="18"/>
                <w:szCs w:val="24"/>
              </w:rPr>
              <w:t>措施</w:t>
            </w:r>
            <w:r>
              <w:rPr>
                <w:rFonts w:asciiTheme="minorEastAsia" w:hAnsiTheme="minorEastAsia"/>
                <w:sz w:val="18"/>
                <w:szCs w:val="24"/>
              </w:rPr>
              <w:t>等进行综合评价</w:t>
            </w:r>
          </w:p>
          <w:p>
            <w:pPr>
              <w:spacing w:line="320" w:lineRule="exact"/>
              <w:rPr>
                <w:rFonts w:asciiTheme="minorEastAsia" w:hAnsiTheme="minorEastAsia"/>
                <w:sz w:val="18"/>
                <w:szCs w:val="24"/>
              </w:rPr>
            </w:pPr>
            <w:r>
              <w:rPr>
                <w:rFonts w:asciiTheme="minorEastAsia" w:hAnsiTheme="minorEastAsia"/>
                <w:sz w:val="18"/>
                <w:szCs w:val="24"/>
              </w:rPr>
              <w:t>优</w:t>
            </w:r>
            <w:r>
              <w:rPr>
                <w:rFonts w:hint="eastAsia" w:asciiTheme="minorEastAsia" w:hAnsiTheme="minorEastAsia"/>
                <w:sz w:val="18"/>
                <w:szCs w:val="24"/>
              </w:rPr>
              <w:t>9</w:t>
            </w:r>
            <w:r>
              <w:rPr>
                <w:rFonts w:asciiTheme="minorEastAsia" w:hAnsiTheme="minorEastAsia"/>
                <w:sz w:val="18"/>
                <w:szCs w:val="24"/>
              </w:rPr>
              <w:t>分；良</w:t>
            </w:r>
            <w:r>
              <w:rPr>
                <w:rFonts w:hint="eastAsia" w:asciiTheme="minorEastAsia" w:hAnsiTheme="minorEastAsia"/>
                <w:sz w:val="18"/>
                <w:szCs w:val="24"/>
              </w:rPr>
              <w:t>6</w:t>
            </w:r>
            <w:r>
              <w:rPr>
                <w:rFonts w:asciiTheme="minorEastAsia" w:hAnsiTheme="minorEastAsia"/>
                <w:sz w:val="18"/>
                <w:szCs w:val="24"/>
              </w:rPr>
              <w:t>分；一般</w:t>
            </w:r>
            <w:r>
              <w:rPr>
                <w:rFonts w:hint="eastAsia" w:asciiTheme="minorEastAsia" w:hAnsiTheme="minorEastAsia"/>
                <w:sz w:val="18"/>
                <w:szCs w:val="24"/>
              </w:rPr>
              <w:t>3</w:t>
            </w:r>
            <w:r>
              <w:rPr>
                <w:rFonts w:asciiTheme="minorEastAsia" w:hAnsiTheme="minorEastAsia"/>
                <w:sz w:val="18"/>
                <w:szCs w:val="24"/>
              </w:rPr>
              <w:t>分；差</w:t>
            </w:r>
            <w:r>
              <w:rPr>
                <w:rFonts w:hint="eastAsia" w:asciiTheme="minorEastAsia" w:hAnsiTheme="minorEastAsia"/>
                <w:sz w:val="18"/>
                <w:szCs w:val="24"/>
              </w:rPr>
              <w:t>1</w:t>
            </w:r>
            <w:r>
              <w:rPr>
                <w:rFonts w:asciiTheme="minorEastAsia" w:hAnsiTheme="minorEastAsia"/>
                <w:sz w:val="18"/>
                <w:szCs w:val="24"/>
              </w:rPr>
              <w:t>分；没有提供不得分。</w:t>
            </w:r>
          </w:p>
        </w:tc>
        <w:tc>
          <w:tcPr>
            <w:tcW w:w="992" w:type="dxa"/>
          </w:tcPr>
          <w:p>
            <w:pPr>
              <w:spacing w:line="320" w:lineRule="exact"/>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2</w:t>
            </w:r>
          </w:p>
        </w:tc>
        <w:tc>
          <w:tcPr>
            <w:tcW w:w="1276" w:type="dxa"/>
          </w:tcPr>
          <w:p>
            <w:pPr>
              <w:spacing w:line="320" w:lineRule="exact"/>
              <w:rPr>
                <w:rFonts w:asciiTheme="minorEastAsia" w:hAnsiTheme="minorEastAsia"/>
                <w:szCs w:val="24"/>
              </w:rPr>
            </w:pPr>
            <w:r>
              <w:rPr>
                <w:rFonts w:hint="eastAsia" w:asciiTheme="minorEastAsia" w:hAnsiTheme="minorEastAsia"/>
                <w:szCs w:val="24"/>
              </w:rPr>
              <w:t>早餐品种、质量、及价格</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3分</w:t>
            </w:r>
          </w:p>
        </w:tc>
        <w:tc>
          <w:tcPr>
            <w:tcW w:w="5670" w:type="dxa"/>
          </w:tcPr>
          <w:p>
            <w:pPr>
              <w:spacing w:line="320" w:lineRule="exact"/>
              <w:rPr>
                <w:rFonts w:asciiTheme="minorEastAsia" w:hAnsiTheme="minorEastAsia"/>
                <w:sz w:val="18"/>
                <w:szCs w:val="24"/>
              </w:rPr>
            </w:pPr>
            <w:r>
              <w:rPr>
                <w:rFonts w:asciiTheme="minorEastAsia" w:hAnsiTheme="minorEastAsia"/>
                <w:sz w:val="18"/>
                <w:szCs w:val="24"/>
              </w:rPr>
              <w:t>要求每餐品种不少于 8 个，附售价一览表（列有详细的菜色品种名称、分量和价格）</w:t>
            </w:r>
          </w:p>
          <w:p>
            <w:pPr>
              <w:spacing w:line="320" w:lineRule="exact"/>
              <w:rPr>
                <w:rFonts w:asciiTheme="minorEastAsia" w:hAnsiTheme="minorEastAsia"/>
                <w:sz w:val="18"/>
                <w:szCs w:val="24"/>
              </w:rPr>
            </w:pPr>
            <w:r>
              <w:rPr>
                <w:rFonts w:asciiTheme="minorEastAsia" w:hAnsiTheme="minorEastAsia"/>
                <w:sz w:val="18"/>
                <w:szCs w:val="24"/>
              </w:rPr>
              <w:t>优</w:t>
            </w:r>
            <w:r>
              <w:rPr>
                <w:rFonts w:hint="eastAsia" w:asciiTheme="minorEastAsia" w:hAnsiTheme="minorEastAsia"/>
                <w:sz w:val="18"/>
                <w:szCs w:val="24"/>
              </w:rPr>
              <w:t>5</w:t>
            </w:r>
            <w:r>
              <w:rPr>
                <w:rFonts w:asciiTheme="minorEastAsia" w:hAnsiTheme="minorEastAsia"/>
                <w:sz w:val="18"/>
                <w:szCs w:val="24"/>
              </w:rPr>
              <w:t>分；良</w:t>
            </w:r>
            <w:r>
              <w:rPr>
                <w:rFonts w:hint="eastAsia" w:asciiTheme="minorEastAsia" w:hAnsiTheme="minorEastAsia"/>
                <w:sz w:val="18"/>
                <w:szCs w:val="24"/>
              </w:rPr>
              <w:t>3</w:t>
            </w:r>
            <w:r>
              <w:rPr>
                <w:rFonts w:asciiTheme="minorEastAsia" w:hAnsiTheme="minorEastAsia"/>
                <w:sz w:val="18"/>
                <w:szCs w:val="24"/>
              </w:rPr>
              <w:t>分；一般</w:t>
            </w:r>
            <w:r>
              <w:rPr>
                <w:rFonts w:hint="eastAsia" w:asciiTheme="minorEastAsia" w:hAnsiTheme="minorEastAsia"/>
                <w:sz w:val="18"/>
                <w:szCs w:val="24"/>
              </w:rPr>
              <w:t>1</w:t>
            </w:r>
            <w:r>
              <w:rPr>
                <w:rFonts w:asciiTheme="minorEastAsia" w:hAnsiTheme="minorEastAsia"/>
                <w:sz w:val="18"/>
                <w:szCs w:val="24"/>
              </w:rPr>
              <w:t>分；差</w:t>
            </w:r>
            <w:r>
              <w:rPr>
                <w:rFonts w:hint="eastAsia" w:asciiTheme="minorEastAsia" w:hAnsiTheme="minorEastAsia"/>
                <w:sz w:val="18"/>
                <w:szCs w:val="24"/>
              </w:rPr>
              <w:t>0</w:t>
            </w:r>
            <w:r>
              <w:rPr>
                <w:rFonts w:asciiTheme="minorEastAsia" w:hAnsiTheme="minorEastAsia"/>
                <w:sz w:val="18"/>
                <w:szCs w:val="24"/>
              </w:rPr>
              <w:t>分。</w:t>
            </w:r>
          </w:p>
        </w:tc>
        <w:tc>
          <w:tcPr>
            <w:tcW w:w="992" w:type="dxa"/>
          </w:tcPr>
          <w:p>
            <w:pPr>
              <w:spacing w:line="320" w:lineRule="exact"/>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3</w:t>
            </w:r>
          </w:p>
        </w:tc>
        <w:tc>
          <w:tcPr>
            <w:tcW w:w="1276" w:type="dxa"/>
          </w:tcPr>
          <w:p>
            <w:pPr>
              <w:spacing w:line="320" w:lineRule="exact"/>
              <w:rPr>
                <w:rFonts w:asciiTheme="minorEastAsia" w:hAnsiTheme="minorEastAsia"/>
                <w:szCs w:val="24"/>
              </w:rPr>
            </w:pPr>
            <w:r>
              <w:rPr>
                <w:rFonts w:hint="eastAsia" w:asciiTheme="minorEastAsia" w:hAnsiTheme="minorEastAsia"/>
                <w:szCs w:val="24"/>
              </w:rPr>
              <w:t>中、晚餐品种、质量及价格</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5分</w:t>
            </w:r>
          </w:p>
        </w:tc>
        <w:tc>
          <w:tcPr>
            <w:tcW w:w="5670" w:type="dxa"/>
          </w:tcPr>
          <w:p>
            <w:pPr>
              <w:spacing w:line="320" w:lineRule="exact"/>
              <w:rPr>
                <w:rFonts w:asciiTheme="minorEastAsia" w:hAnsiTheme="minorEastAsia"/>
                <w:sz w:val="18"/>
                <w:szCs w:val="24"/>
              </w:rPr>
            </w:pPr>
            <w:r>
              <w:rPr>
                <w:rFonts w:asciiTheme="minorEastAsia" w:hAnsiTheme="minorEastAsia"/>
                <w:sz w:val="18"/>
                <w:szCs w:val="24"/>
              </w:rPr>
              <w:t xml:space="preserve">要求每餐品种不少于 </w:t>
            </w:r>
            <w:r>
              <w:rPr>
                <w:rFonts w:hint="eastAsia" w:asciiTheme="minorEastAsia" w:hAnsiTheme="minorEastAsia"/>
                <w:sz w:val="18"/>
                <w:szCs w:val="24"/>
              </w:rPr>
              <w:t>20</w:t>
            </w:r>
            <w:r>
              <w:rPr>
                <w:rFonts w:asciiTheme="minorEastAsia" w:hAnsiTheme="minorEastAsia"/>
                <w:sz w:val="18"/>
                <w:szCs w:val="24"/>
              </w:rPr>
              <w:t>个，附售价一览表（列有详细的菜色品种名称、分量和价格）</w:t>
            </w:r>
          </w:p>
          <w:p>
            <w:pPr>
              <w:spacing w:line="320" w:lineRule="exact"/>
              <w:rPr>
                <w:rFonts w:asciiTheme="minorEastAsia" w:hAnsiTheme="minorEastAsia"/>
                <w:sz w:val="18"/>
                <w:szCs w:val="24"/>
              </w:rPr>
            </w:pPr>
            <w:r>
              <w:rPr>
                <w:rFonts w:asciiTheme="minorEastAsia" w:hAnsiTheme="minorEastAsia"/>
                <w:sz w:val="18"/>
                <w:szCs w:val="24"/>
              </w:rPr>
              <w:t>菜品多样化，品种结构、风味搭配合理，个性化服务，价格控制有效，操作性强的，优</w:t>
            </w:r>
            <w:r>
              <w:rPr>
                <w:rFonts w:hint="eastAsia" w:asciiTheme="minorEastAsia" w:hAnsiTheme="minorEastAsia"/>
                <w:sz w:val="18"/>
                <w:szCs w:val="24"/>
              </w:rPr>
              <w:t>5</w:t>
            </w:r>
            <w:r>
              <w:rPr>
                <w:rFonts w:asciiTheme="minorEastAsia" w:hAnsiTheme="minorEastAsia"/>
                <w:sz w:val="18"/>
                <w:szCs w:val="24"/>
              </w:rPr>
              <w:t>分；良</w:t>
            </w:r>
            <w:r>
              <w:rPr>
                <w:rFonts w:hint="eastAsia" w:asciiTheme="minorEastAsia" w:hAnsiTheme="minorEastAsia"/>
                <w:sz w:val="18"/>
                <w:szCs w:val="24"/>
              </w:rPr>
              <w:t>3</w:t>
            </w:r>
            <w:r>
              <w:rPr>
                <w:rFonts w:asciiTheme="minorEastAsia" w:hAnsiTheme="minorEastAsia"/>
                <w:sz w:val="18"/>
                <w:szCs w:val="24"/>
              </w:rPr>
              <w:t>分；一般</w:t>
            </w:r>
            <w:r>
              <w:rPr>
                <w:rFonts w:hint="eastAsia" w:asciiTheme="minorEastAsia" w:hAnsiTheme="minorEastAsia"/>
                <w:sz w:val="18"/>
                <w:szCs w:val="24"/>
              </w:rPr>
              <w:t>1</w:t>
            </w:r>
            <w:r>
              <w:rPr>
                <w:rFonts w:asciiTheme="minorEastAsia" w:hAnsiTheme="minorEastAsia"/>
                <w:sz w:val="18"/>
                <w:szCs w:val="24"/>
              </w:rPr>
              <w:t>分；差</w:t>
            </w:r>
            <w:r>
              <w:rPr>
                <w:rFonts w:hint="eastAsia" w:asciiTheme="minorEastAsia" w:hAnsiTheme="minorEastAsia"/>
                <w:sz w:val="18"/>
                <w:szCs w:val="24"/>
              </w:rPr>
              <w:t>0</w:t>
            </w:r>
            <w:r>
              <w:rPr>
                <w:rFonts w:asciiTheme="minorEastAsia" w:hAnsiTheme="minorEastAsia"/>
                <w:sz w:val="18"/>
                <w:szCs w:val="24"/>
              </w:rPr>
              <w:t>分。</w:t>
            </w:r>
          </w:p>
        </w:tc>
        <w:tc>
          <w:tcPr>
            <w:tcW w:w="992" w:type="dxa"/>
          </w:tcPr>
          <w:p>
            <w:pPr>
              <w:spacing w:line="320" w:lineRule="exact"/>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4</w:t>
            </w:r>
          </w:p>
        </w:tc>
        <w:tc>
          <w:tcPr>
            <w:tcW w:w="1276" w:type="dxa"/>
          </w:tcPr>
          <w:p>
            <w:pPr>
              <w:spacing w:line="320" w:lineRule="exact"/>
              <w:rPr>
                <w:rFonts w:asciiTheme="minorEastAsia" w:hAnsiTheme="minorEastAsia"/>
                <w:szCs w:val="24"/>
              </w:rPr>
            </w:pPr>
            <w:r>
              <w:rPr>
                <w:rFonts w:asciiTheme="minorEastAsia" w:hAnsiTheme="minorEastAsia"/>
                <w:szCs w:val="24"/>
              </w:rPr>
              <w:t>食</w:t>
            </w:r>
            <w:r>
              <w:rPr>
                <w:rFonts w:hint="eastAsia" w:asciiTheme="minorEastAsia" w:hAnsiTheme="minorEastAsia"/>
                <w:szCs w:val="24"/>
              </w:rPr>
              <w:t>品卫生</w:t>
            </w:r>
            <w:r>
              <w:rPr>
                <w:rFonts w:asciiTheme="minorEastAsia" w:hAnsiTheme="minorEastAsia"/>
                <w:szCs w:val="24"/>
              </w:rPr>
              <w:t>安全控制措施</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5分</w:t>
            </w:r>
          </w:p>
        </w:tc>
        <w:tc>
          <w:tcPr>
            <w:tcW w:w="5670" w:type="dxa"/>
          </w:tcPr>
          <w:p>
            <w:pPr>
              <w:spacing w:line="320" w:lineRule="exact"/>
              <w:rPr>
                <w:rFonts w:asciiTheme="minorEastAsia" w:hAnsiTheme="minorEastAsia"/>
                <w:sz w:val="18"/>
                <w:szCs w:val="24"/>
              </w:rPr>
            </w:pPr>
            <w:r>
              <w:rPr>
                <w:rFonts w:asciiTheme="minorEastAsia" w:hAnsiTheme="minorEastAsia"/>
                <w:sz w:val="18"/>
                <w:szCs w:val="24"/>
              </w:rPr>
              <w:t>根据投标人</w:t>
            </w:r>
            <w:r>
              <w:rPr>
                <w:rFonts w:hint="eastAsia" w:asciiTheme="minorEastAsia" w:hAnsiTheme="minorEastAsia"/>
                <w:sz w:val="18"/>
                <w:szCs w:val="24"/>
              </w:rPr>
              <w:t>对</w:t>
            </w:r>
            <w:r>
              <w:rPr>
                <w:rFonts w:asciiTheme="minorEastAsia" w:hAnsiTheme="minorEastAsia"/>
                <w:sz w:val="18"/>
                <w:szCs w:val="24"/>
              </w:rPr>
              <w:t>食</w:t>
            </w:r>
            <w:r>
              <w:rPr>
                <w:rFonts w:hint="eastAsia" w:asciiTheme="minorEastAsia" w:hAnsiTheme="minorEastAsia"/>
                <w:sz w:val="18"/>
                <w:szCs w:val="24"/>
              </w:rPr>
              <w:t>材质量要求</w:t>
            </w:r>
            <w:r>
              <w:rPr>
                <w:rFonts w:asciiTheme="minorEastAsia" w:hAnsiTheme="minorEastAsia"/>
                <w:sz w:val="18"/>
                <w:szCs w:val="24"/>
              </w:rPr>
              <w:t>、</w:t>
            </w:r>
            <w:r>
              <w:rPr>
                <w:rFonts w:hint="eastAsia" w:asciiTheme="minorEastAsia" w:hAnsiTheme="minorEastAsia"/>
                <w:sz w:val="18"/>
                <w:szCs w:val="24"/>
              </w:rPr>
              <w:t>食品卫生安全要求</w:t>
            </w:r>
            <w:r>
              <w:rPr>
                <w:rFonts w:asciiTheme="minorEastAsia" w:hAnsiTheme="minorEastAsia"/>
                <w:sz w:val="18"/>
                <w:szCs w:val="24"/>
              </w:rPr>
              <w:t>、</w:t>
            </w:r>
            <w:r>
              <w:rPr>
                <w:rFonts w:hint="eastAsia" w:asciiTheme="minorEastAsia" w:hAnsiTheme="minorEastAsia"/>
                <w:sz w:val="18"/>
                <w:szCs w:val="24"/>
              </w:rPr>
              <w:t>生产环节</w:t>
            </w:r>
            <w:r>
              <w:rPr>
                <w:rFonts w:asciiTheme="minorEastAsia" w:hAnsiTheme="minorEastAsia"/>
                <w:sz w:val="18"/>
                <w:szCs w:val="24"/>
              </w:rPr>
              <w:t>控制</w:t>
            </w:r>
            <w:r>
              <w:rPr>
                <w:rFonts w:hint="eastAsia" w:asciiTheme="minorEastAsia" w:hAnsiTheme="minorEastAsia"/>
                <w:sz w:val="18"/>
                <w:szCs w:val="24"/>
              </w:rPr>
              <w:t>要求</w:t>
            </w:r>
            <w:r>
              <w:rPr>
                <w:rFonts w:asciiTheme="minorEastAsia" w:hAnsiTheme="minorEastAsia"/>
                <w:sz w:val="18"/>
                <w:szCs w:val="24"/>
              </w:rPr>
              <w:t>、</w:t>
            </w:r>
            <w:r>
              <w:rPr>
                <w:rFonts w:hint="eastAsia" w:asciiTheme="minorEastAsia" w:hAnsiTheme="minorEastAsia"/>
                <w:sz w:val="18"/>
                <w:szCs w:val="24"/>
              </w:rPr>
              <w:t>洗消卫生控制，其他卫生安全</w:t>
            </w:r>
            <w:r>
              <w:rPr>
                <w:rFonts w:asciiTheme="minorEastAsia" w:hAnsiTheme="minorEastAsia"/>
                <w:sz w:val="18"/>
                <w:szCs w:val="24"/>
              </w:rPr>
              <w:t>保证措</w:t>
            </w:r>
            <w:r>
              <w:rPr>
                <w:rFonts w:hint="eastAsia" w:asciiTheme="minorEastAsia" w:hAnsiTheme="minorEastAsia"/>
                <w:sz w:val="18"/>
                <w:szCs w:val="24"/>
              </w:rPr>
              <w:t>施等进行综合评价。</w:t>
            </w:r>
          </w:p>
          <w:p>
            <w:pPr>
              <w:spacing w:line="320" w:lineRule="exact"/>
              <w:rPr>
                <w:rFonts w:asciiTheme="minorEastAsia" w:hAnsiTheme="minorEastAsia"/>
                <w:sz w:val="18"/>
                <w:szCs w:val="24"/>
              </w:rPr>
            </w:pPr>
            <w:r>
              <w:rPr>
                <w:rFonts w:asciiTheme="minorEastAsia" w:hAnsiTheme="minorEastAsia"/>
                <w:sz w:val="18"/>
                <w:szCs w:val="24"/>
              </w:rPr>
              <w:t>优</w:t>
            </w:r>
            <w:r>
              <w:rPr>
                <w:rFonts w:hint="eastAsia" w:asciiTheme="minorEastAsia" w:hAnsiTheme="minorEastAsia"/>
                <w:sz w:val="18"/>
                <w:szCs w:val="24"/>
              </w:rPr>
              <w:t>5</w:t>
            </w:r>
            <w:r>
              <w:rPr>
                <w:rFonts w:asciiTheme="minorEastAsia" w:hAnsiTheme="minorEastAsia"/>
                <w:sz w:val="18"/>
                <w:szCs w:val="24"/>
              </w:rPr>
              <w:t>分；良</w:t>
            </w:r>
            <w:r>
              <w:rPr>
                <w:rFonts w:hint="eastAsia" w:asciiTheme="minorEastAsia" w:hAnsiTheme="minorEastAsia"/>
                <w:sz w:val="18"/>
                <w:szCs w:val="24"/>
              </w:rPr>
              <w:t>3</w:t>
            </w:r>
            <w:r>
              <w:rPr>
                <w:rFonts w:asciiTheme="minorEastAsia" w:hAnsiTheme="minorEastAsia"/>
                <w:sz w:val="18"/>
                <w:szCs w:val="24"/>
              </w:rPr>
              <w:t>分；一般</w:t>
            </w:r>
            <w:r>
              <w:rPr>
                <w:rFonts w:hint="eastAsia" w:asciiTheme="minorEastAsia" w:hAnsiTheme="minorEastAsia"/>
                <w:sz w:val="18"/>
                <w:szCs w:val="24"/>
              </w:rPr>
              <w:t>1</w:t>
            </w:r>
            <w:r>
              <w:rPr>
                <w:rFonts w:asciiTheme="minorEastAsia" w:hAnsiTheme="minorEastAsia"/>
                <w:sz w:val="18"/>
                <w:szCs w:val="24"/>
              </w:rPr>
              <w:t>分；差</w:t>
            </w:r>
            <w:r>
              <w:rPr>
                <w:rFonts w:hint="eastAsia" w:asciiTheme="minorEastAsia" w:hAnsiTheme="minorEastAsia"/>
                <w:sz w:val="18"/>
                <w:szCs w:val="24"/>
              </w:rPr>
              <w:t>0</w:t>
            </w:r>
            <w:r>
              <w:rPr>
                <w:rFonts w:asciiTheme="minorEastAsia" w:hAnsiTheme="minorEastAsia"/>
                <w:sz w:val="18"/>
                <w:szCs w:val="24"/>
              </w:rPr>
              <w:t>分。</w:t>
            </w:r>
          </w:p>
        </w:tc>
        <w:tc>
          <w:tcPr>
            <w:tcW w:w="992" w:type="dxa"/>
          </w:tcPr>
          <w:p>
            <w:pPr>
              <w:spacing w:line="320" w:lineRule="exact"/>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5</w:t>
            </w:r>
          </w:p>
        </w:tc>
        <w:tc>
          <w:tcPr>
            <w:tcW w:w="1276" w:type="dxa"/>
          </w:tcPr>
          <w:p>
            <w:pPr>
              <w:spacing w:line="320" w:lineRule="exact"/>
              <w:jc w:val="center"/>
              <w:rPr>
                <w:rFonts w:asciiTheme="minorEastAsia" w:hAnsiTheme="minorEastAsia"/>
                <w:szCs w:val="24"/>
              </w:rPr>
            </w:pPr>
          </w:p>
          <w:p>
            <w:pPr>
              <w:spacing w:line="320" w:lineRule="exact"/>
              <w:jc w:val="center"/>
              <w:rPr>
                <w:rFonts w:asciiTheme="minorEastAsia" w:hAnsiTheme="minorEastAsia"/>
                <w:szCs w:val="24"/>
              </w:rPr>
            </w:pPr>
            <w:r>
              <w:rPr>
                <w:rFonts w:hint="eastAsia" w:asciiTheme="minorEastAsia" w:hAnsiTheme="minorEastAsia"/>
                <w:szCs w:val="24"/>
              </w:rPr>
              <w:t>组织架构</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3分</w:t>
            </w:r>
          </w:p>
        </w:tc>
        <w:tc>
          <w:tcPr>
            <w:tcW w:w="5670" w:type="dxa"/>
          </w:tcPr>
          <w:p>
            <w:pPr>
              <w:spacing w:line="320" w:lineRule="exact"/>
              <w:rPr>
                <w:rFonts w:asciiTheme="minorEastAsia" w:hAnsiTheme="minorEastAsia"/>
                <w:sz w:val="18"/>
                <w:szCs w:val="24"/>
              </w:rPr>
            </w:pPr>
            <w:r>
              <w:rPr>
                <w:rFonts w:asciiTheme="minorEastAsia" w:hAnsiTheme="minorEastAsia"/>
                <w:sz w:val="18"/>
                <w:szCs w:val="24"/>
              </w:rPr>
              <w:t>根据投标人提供的人员管理架构：岗位人员配备、项目</w:t>
            </w:r>
            <w:r>
              <w:rPr>
                <w:rFonts w:hint="eastAsia" w:asciiTheme="minorEastAsia" w:hAnsiTheme="minorEastAsia"/>
                <w:sz w:val="18"/>
                <w:szCs w:val="24"/>
              </w:rPr>
              <w:t>主要</w:t>
            </w:r>
            <w:r>
              <w:rPr>
                <w:rFonts w:asciiTheme="minorEastAsia" w:hAnsiTheme="minorEastAsia"/>
                <w:sz w:val="18"/>
                <w:szCs w:val="24"/>
              </w:rPr>
              <w:t>人员配置</w:t>
            </w:r>
            <w:r>
              <w:rPr>
                <w:rFonts w:hint="eastAsia" w:asciiTheme="minorEastAsia" w:hAnsiTheme="minorEastAsia"/>
                <w:sz w:val="18"/>
                <w:szCs w:val="24"/>
              </w:rPr>
              <w:t>（如食堂管理员</w:t>
            </w:r>
            <w:r>
              <w:rPr>
                <w:rFonts w:asciiTheme="minorEastAsia" w:hAnsiTheme="minorEastAsia"/>
                <w:sz w:val="18"/>
                <w:szCs w:val="24"/>
              </w:rPr>
              <w:t>、</w:t>
            </w:r>
            <w:r>
              <w:rPr>
                <w:rFonts w:hint="eastAsia" w:asciiTheme="minorEastAsia" w:hAnsiTheme="minorEastAsia"/>
                <w:sz w:val="18"/>
                <w:szCs w:val="24"/>
              </w:rPr>
              <w:t>食品安全管理员、消防员</w:t>
            </w:r>
            <w:r>
              <w:rPr>
                <w:rFonts w:asciiTheme="minorEastAsia" w:hAnsiTheme="minorEastAsia"/>
                <w:sz w:val="18"/>
                <w:szCs w:val="24"/>
              </w:rPr>
              <w:t>）、厨师</w:t>
            </w:r>
            <w:r>
              <w:rPr>
                <w:rFonts w:hint="eastAsia" w:asciiTheme="minorEastAsia" w:hAnsiTheme="minorEastAsia"/>
                <w:sz w:val="18"/>
                <w:szCs w:val="24"/>
              </w:rPr>
              <w:t>、技术人员、员工等人员</w:t>
            </w:r>
            <w:r>
              <w:rPr>
                <w:rFonts w:asciiTheme="minorEastAsia" w:hAnsiTheme="minorEastAsia"/>
                <w:sz w:val="18"/>
                <w:szCs w:val="24"/>
              </w:rPr>
              <w:t>配置</w:t>
            </w:r>
            <w:r>
              <w:rPr>
                <w:rFonts w:hint="eastAsia" w:asciiTheme="minorEastAsia" w:hAnsiTheme="minorEastAsia"/>
                <w:sz w:val="18"/>
                <w:szCs w:val="24"/>
              </w:rPr>
              <w:t>情况及合理性进行评价</w:t>
            </w:r>
            <w:r>
              <w:rPr>
                <w:rFonts w:asciiTheme="minorEastAsia" w:hAnsiTheme="minorEastAsia"/>
                <w:sz w:val="18"/>
                <w:szCs w:val="24"/>
              </w:rPr>
              <w:t>。</w:t>
            </w:r>
          </w:p>
          <w:p>
            <w:pPr>
              <w:spacing w:line="320" w:lineRule="exact"/>
              <w:rPr>
                <w:rFonts w:asciiTheme="minorEastAsia" w:hAnsiTheme="minorEastAsia"/>
                <w:sz w:val="18"/>
                <w:szCs w:val="24"/>
              </w:rPr>
            </w:pPr>
            <w:r>
              <w:rPr>
                <w:rFonts w:asciiTheme="minorEastAsia" w:hAnsiTheme="minorEastAsia"/>
                <w:sz w:val="18"/>
                <w:szCs w:val="24"/>
              </w:rPr>
              <w:t>优</w:t>
            </w:r>
            <w:r>
              <w:rPr>
                <w:rFonts w:hint="eastAsia" w:asciiTheme="minorEastAsia" w:hAnsiTheme="minorEastAsia"/>
                <w:sz w:val="18"/>
                <w:szCs w:val="24"/>
              </w:rPr>
              <w:t>3</w:t>
            </w:r>
            <w:r>
              <w:rPr>
                <w:rFonts w:asciiTheme="minorEastAsia" w:hAnsiTheme="minorEastAsia"/>
                <w:sz w:val="18"/>
                <w:szCs w:val="24"/>
              </w:rPr>
              <w:t>分；良</w:t>
            </w:r>
            <w:r>
              <w:rPr>
                <w:rFonts w:hint="eastAsia" w:asciiTheme="minorEastAsia" w:hAnsiTheme="minorEastAsia"/>
                <w:sz w:val="18"/>
                <w:szCs w:val="24"/>
              </w:rPr>
              <w:t>2</w:t>
            </w:r>
            <w:r>
              <w:rPr>
                <w:rFonts w:asciiTheme="minorEastAsia" w:hAnsiTheme="minorEastAsia"/>
                <w:sz w:val="18"/>
                <w:szCs w:val="24"/>
              </w:rPr>
              <w:t>分；一般</w:t>
            </w:r>
            <w:r>
              <w:rPr>
                <w:rFonts w:hint="eastAsia" w:asciiTheme="minorEastAsia" w:hAnsiTheme="minorEastAsia"/>
                <w:sz w:val="18"/>
                <w:szCs w:val="24"/>
              </w:rPr>
              <w:t>1</w:t>
            </w:r>
            <w:r>
              <w:rPr>
                <w:rFonts w:asciiTheme="minorEastAsia" w:hAnsiTheme="minorEastAsia"/>
                <w:sz w:val="18"/>
                <w:szCs w:val="24"/>
              </w:rPr>
              <w:t>分；差</w:t>
            </w:r>
            <w:r>
              <w:rPr>
                <w:rFonts w:hint="eastAsia" w:asciiTheme="minorEastAsia" w:hAnsiTheme="minorEastAsia"/>
                <w:sz w:val="18"/>
                <w:szCs w:val="24"/>
              </w:rPr>
              <w:t>0</w:t>
            </w:r>
            <w:r>
              <w:rPr>
                <w:rFonts w:asciiTheme="minorEastAsia" w:hAnsiTheme="minorEastAsia"/>
                <w:sz w:val="18"/>
                <w:szCs w:val="24"/>
              </w:rPr>
              <w:t>分</w:t>
            </w:r>
            <w:r>
              <w:rPr>
                <w:rFonts w:hint="eastAsia" w:asciiTheme="minorEastAsia" w:hAnsiTheme="minorEastAsia"/>
                <w:sz w:val="18"/>
                <w:szCs w:val="24"/>
              </w:rPr>
              <w:t>。</w:t>
            </w:r>
          </w:p>
          <w:p>
            <w:pPr>
              <w:spacing w:line="320" w:lineRule="exact"/>
              <w:rPr>
                <w:rFonts w:asciiTheme="minorEastAsia" w:hAnsiTheme="minorEastAsia"/>
                <w:sz w:val="18"/>
                <w:szCs w:val="24"/>
              </w:rPr>
            </w:pPr>
            <w:r>
              <w:rPr>
                <w:rFonts w:asciiTheme="minorEastAsia" w:hAnsiTheme="minorEastAsia"/>
                <w:sz w:val="18"/>
                <w:szCs w:val="24"/>
              </w:rPr>
              <w:t>（以上人员须提供有效健康证和</w:t>
            </w:r>
            <w:r>
              <w:rPr>
                <w:rFonts w:hint="eastAsia" w:asciiTheme="minorEastAsia" w:hAnsiTheme="minorEastAsia"/>
                <w:sz w:val="18"/>
                <w:szCs w:val="24"/>
              </w:rPr>
              <w:t>相关证书证明</w:t>
            </w:r>
            <w:r>
              <w:rPr>
                <w:rFonts w:asciiTheme="minorEastAsia" w:hAnsiTheme="minorEastAsia"/>
                <w:sz w:val="18"/>
                <w:szCs w:val="24"/>
              </w:rPr>
              <w:t>，原件备查。）</w:t>
            </w:r>
          </w:p>
        </w:tc>
        <w:tc>
          <w:tcPr>
            <w:tcW w:w="992" w:type="dxa"/>
          </w:tcPr>
          <w:p>
            <w:pPr>
              <w:spacing w:line="320" w:lineRule="exact"/>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6</w:t>
            </w:r>
          </w:p>
        </w:tc>
        <w:tc>
          <w:tcPr>
            <w:tcW w:w="1276" w:type="dxa"/>
          </w:tcPr>
          <w:p>
            <w:pPr>
              <w:spacing w:line="320" w:lineRule="exact"/>
              <w:rPr>
                <w:rFonts w:asciiTheme="minorEastAsia" w:hAnsiTheme="minorEastAsia"/>
                <w:szCs w:val="24"/>
              </w:rPr>
            </w:pPr>
            <w:r>
              <w:rPr>
                <w:rFonts w:hint="eastAsia" w:asciiTheme="minorEastAsia" w:hAnsiTheme="minorEastAsia"/>
                <w:szCs w:val="24"/>
              </w:rPr>
              <w:t>经理、主管等管理人员配备</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2分</w:t>
            </w:r>
          </w:p>
        </w:tc>
        <w:tc>
          <w:tcPr>
            <w:tcW w:w="5670" w:type="dxa"/>
          </w:tcPr>
          <w:p>
            <w:pPr>
              <w:spacing w:line="320" w:lineRule="exact"/>
              <w:rPr>
                <w:rFonts w:asciiTheme="minorEastAsia" w:hAnsiTheme="minorEastAsia"/>
                <w:sz w:val="18"/>
                <w:szCs w:val="24"/>
              </w:rPr>
            </w:pPr>
            <w:r>
              <w:rPr>
                <w:rFonts w:asciiTheme="minorEastAsia" w:hAnsiTheme="minorEastAsia"/>
                <w:sz w:val="18"/>
                <w:szCs w:val="24"/>
              </w:rPr>
              <w:t>经理</w:t>
            </w:r>
            <w:r>
              <w:rPr>
                <w:rFonts w:hint="eastAsia" w:asciiTheme="minorEastAsia" w:hAnsiTheme="minorEastAsia"/>
                <w:sz w:val="18"/>
                <w:szCs w:val="24"/>
              </w:rPr>
              <w:t>及主管</w:t>
            </w:r>
            <w:r>
              <w:rPr>
                <w:rFonts w:asciiTheme="minorEastAsia" w:hAnsiTheme="minorEastAsia"/>
                <w:sz w:val="18"/>
                <w:szCs w:val="24"/>
              </w:rPr>
              <w:t>：</w:t>
            </w:r>
            <w:r>
              <w:rPr>
                <w:rFonts w:hint="eastAsia" w:asciiTheme="minorEastAsia" w:hAnsiTheme="minorEastAsia"/>
                <w:sz w:val="18"/>
                <w:szCs w:val="24"/>
              </w:rPr>
              <w:t>持</w:t>
            </w:r>
            <w:r>
              <w:rPr>
                <w:rFonts w:asciiTheme="minorEastAsia" w:hAnsiTheme="minorEastAsia"/>
                <w:sz w:val="18"/>
                <w:szCs w:val="24"/>
              </w:rPr>
              <w:t>大专学历及以上</w:t>
            </w:r>
            <w:r>
              <w:rPr>
                <w:rFonts w:hint="eastAsia" w:asciiTheme="minorEastAsia" w:hAnsiTheme="minorEastAsia"/>
                <w:sz w:val="18"/>
                <w:szCs w:val="24"/>
              </w:rPr>
              <w:t>学历，有得2</w:t>
            </w:r>
            <w:r>
              <w:rPr>
                <w:rFonts w:asciiTheme="minorEastAsia" w:hAnsiTheme="minorEastAsia"/>
                <w:sz w:val="18"/>
                <w:szCs w:val="24"/>
              </w:rPr>
              <w:t>分</w:t>
            </w:r>
            <w:r>
              <w:rPr>
                <w:rFonts w:hint="eastAsia" w:asciiTheme="minorEastAsia" w:hAnsiTheme="minorEastAsia"/>
                <w:sz w:val="18"/>
                <w:szCs w:val="24"/>
              </w:rPr>
              <w:t>，中专学历得1分，</w:t>
            </w:r>
            <w:r>
              <w:rPr>
                <w:rFonts w:asciiTheme="minorEastAsia" w:hAnsiTheme="minorEastAsia"/>
                <w:sz w:val="18"/>
                <w:szCs w:val="24"/>
              </w:rPr>
              <w:t>不符合条件的</w:t>
            </w:r>
            <w:r>
              <w:rPr>
                <w:rFonts w:hint="eastAsia" w:asciiTheme="minorEastAsia" w:hAnsiTheme="minorEastAsia"/>
                <w:sz w:val="18"/>
                <w:szCs w:val="24"/>
              </w:rPr>
              <w:t>，</w:t>
            </w:r>
            <w:r>
              <w:rPr>
                <w:rFonts w:asciiTheme="minorEastAsia" w:hAnsiTheme="minorEastAsia"/>
                <w:sz w:val="18"/>
                <w:szCs w:val="24"/>
              </w:rPr>
              <w:t>得</w:t>
            </w:r>
            <w:r>
              <w:rPr>
                <w:rFonts w:hint="eastAsia" w:asciiTheme="minorEastAsia" w:hAnsiTheme="minorEastAsia"/>
                <w:sz w:val="18"/>
                <w:szCs w:val="24"/>
              </w:rPr>
              <w:t>0</w:t>
            </w:r>
            <w:r>
              <w:rPr>
                <w:rFonts w:asciiTheme="minorEastAsia" w:hAnsiTheme="minorEastAsia"/>
                <w:sz w:val="18"/>
                <w:szCs w:val="24"/>
              </w:rPr>
              <w:t>分。</w:t>
            </w:r>
          </w:p>
          <w:p>
            <w:pPr>
              <w:spacing w:line="320" w:lineRule="exact"/>
              <w:rPr>
                <w:rFonts w:asciiTheme="minorEastAsia" w:hAnsiTheme="minorEastAsia"/>
                <w:sz w:val="18"/>
                <w:szCs w:val="24"/>
              </w:rPr>
            </w:pPr>
            <w:r>
              <w:rPr>
                <w:rFonts w:asciiTheme="minorEastAsia" w:hAnsiTheme="minorEastAsia"/>
                <w:sz w:val="18"/>
                <w:szCs w:val="24"/>
              </w:rPr>
              <w:t>（以上人员须提供有效学历证书复印件加盖公章，原件备查。）</w:t>
            </w:r>
          </w:p>
        </w:tc>
        <w:tc>
          <w:tcPr>
            <w:tcW w:w="992" w:type="dxa"/>
          </w:tcPr>
          <w:p>
            <w:pPr>
              <w:spacing w:line="320" w:lineRule="exact"/>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7</w:t>
            </w:r>
          </w:p>
        </w:tc>
        <w:tc>
          <w:tcPr>
            <w:tcW w:w="1276" w:type="dxa"/>
          </w:tcPr>
          <w:p>
            <w:pPr>
              <w:spacing w:line="320" w:lineRule="exact"/>
              <w:rPr>
                <w:rFonts w:asciiTheme="minorEastAsia" w:hAnsiTheme="minorEastAsia"/>
                <w:szCs w:val="24"/>
              </w:rPr>
            </w:pPr>
            <w:r>
              <w:rPr>
                <w:rFonts w:hint="eastAsia" w:asciiTheme="minorEastAsia" w:hAnsiTheme="minorEastAsia"/>
                <w:szCs w:val="24"/>
              </w:rPr>
              <w:t>技术人员配备</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3分</w:t>
            </w:r>
          </w:p>
        </w:tc>
        <w:tc>
          <w:tcPr>
            <w:tcW w:w="5670" w:type="dxa"/>
          </w:tcPr>
          <w:p>
            <w:pPr>
              <w:spacing w:line="320" w:lineRule="exact"/>
              <w:rPr>
                <w:rFonts w:asciiTheme="minorEastAsia" w:hAnsiTheme="minorEastAsia"/>
                <w:sz w:val="18"/>
                <w:szCs w:val="24"/>
              </w:rPr>
            </w:pPr>
            <w:r>
              <w:rPr>
                <w:rFonts w:asciiTheme="minorEastAsia" w:hAnsiTheme="minorEastAsia"/>
                <w:sz w:val="18"/>
                <w:szCs w:val="24"/>
              </w:rPr>
              <w:t>技术人员（含厨师、面点师、营养师）</w:t>
            </w:r>
            <w:r>
              <w:rPr>
                <w:rFonts w:hint="eastAsia" w:asciiTheme="minorEastAsia" w:hAnsiTheme="minorEastAsia"/>
                <w:sz w:val="18"/>
                <w:szCs w:val="24"/>
              </w:rPr>
              <w:t>配备评分</w:t>
            </w:r>
            <w:r>
              <w:rPr>
                <w:rFonts w:asciiTheme="minorEastAsia" w:hAnsiTheme="minorEastAsia"/>
                <w:sz w:val="18"/>
                <w:szCs w:val="24"/>
              </w:rPr>
              <w:t>。</w:t>
            </w:r>
          </w:p>
          <w:p>
            <w:pPr>
              <w:spacing w:line="320" w:lineRule="exact"/>
              <w:rPr>
                <w:rFonts w:asciiTheme="minorEastAsia" w:hAnsiTheme="minorEastAsia"/>
                <w:sz w:val="18"/>
                <w:szCs w:val="24"/>
              </w:rPr>
            </w:pPr>
            <w:r>
              <w:rPr>
                <w:rFonts w:hint="eastAsia" w:asciiTheme="minorEastAsia" w:hAnsiTheme="minorEastAsia"/>
                <w:sz w:val="18"/>
                <w:szCs w:val="24"/>
              </w:rPr>
              <w:t>持有上述证件的技术人员上岗，每一人持证得1分，最高得3分</w:t>
            </w:r>
          </w:p>
          <w:p>
            <w:pPr>
              <w:spacing w:line="320" w:lineRule="exact"/>
              <w:rPr>
                <w:rFonts w:asciiTheme="minorEastAsia" w:hAnsiTheme="minorEastAsia"/>
                <w:sz w:val="18"/>
                <w:szCs w:val="24"/>
              </w:rPr>
            </w:pPr>
            <w:r>
              <w:rPr>
                <w:rFonts w:asciiTheme="minorEastAsia" w:hAnsiTheme="minorEastAsia"/>
                <w:sz w:val="18"/>
                <w:szCs w:val="24"/>
              </w:rPr>
              <w:t>（需提供技术人员</w:t>
            </w:r>
            <w:r>
              <w:rPr>
                <w:rFonts w:hint="eastAsia" w:asciiTheme="minorEastAsia" w:hAnsiTheme="minorEastAsia"/>
                <w:sz w:val="18"/>
                <w:szCs w:val="24"/>
              </w:rPr>
              <w:t>的</w:t>
            </w:r>
            <w:r>
              <w:rPr>
                <w:rFonts w:asciiTheme="minorEastAsia" w:hAnsiTheme="minorEastAsia"/>
                <w:sz w:val="18"/>
                <w:szCs w:val="24"/>
              </w:rPr>
              <w:t>资格、职称证明材料等复印件，并加盖单位公章。）</w:t>
            </w:r>
          </w:p>
        </w:tc>
        <w:tc>
          <w:tcPr>
            <w:tcW w:w="992" w:type="dxa"/>
          </w:tcPr>
          <w:p>
            <w:pPr>
              <w:spacing w:line="320" w:lineRule="exact"/>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5" w:hRule="atLeast"/>
        </w:trPr>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8</w:t>
            </w:r>
          </w:p>
        </w:tc>
        <w:tc>
          <w:tcPr>
            <w:tcW w:w="1276" w:type="dxa"/>
          </w:tcPr>
          <w:p>
            <w:pPr>
              <w:spacing w:line="320" w:lineRule="exact"/>
              <w:jc w:val="center"/>
              <w:rPr>
                <w:rFonts w:asciiTheme="minorEastAsia" w:hAnsiTheme="minorEastAsia"/>
                <w:szCs w:val="24"/>
              </w:rPr>
            </w:pPr>
          </w:p>
          <w:p>
            <w:pPr>
              <w:spacing w:line="320" w:lineRule="exact"/>
              <w:jc w:val="center"/>
              <w:rPr>
                <w:rFonts w:asciiTheme="minorEastAsia" w:hAnsiTheme="minorEastAsia"/>
                <w:szCs w:val="24"/>
              </w:rPr>
            </w:pPr>
            <w:r>
              <w:rPr>
                <w:rFonts w:hint="eastAsia" w:asciiTheme="minorEastAsia" w:hAnsiTheme="minorEastAsia"/>
                <w:szCs w:val="24"/>
              </w:rPr>
              <w:t>项目负责人服务能力</w:t>
            </w:r>
          </w:p>
          <w:p>
            <w:pPr>
              <w:spacing w:line="320" w:lineRule="exact"/>
              <w:jc w:val="center"/>
              <w:rPr>
                <w:rFonts w:asciiTheme="minorEastAsia" w:hAnsiTheme="minorEastAsia"/>
                <w:szCs w:val="24"/>
              </w:rPr>
            </w:pPr>
            <w:r>
              <w:rPr>
                <w:rFonts w:hint="eastAsia" w:asciiTheme="minorEastAsia" w:hAnsiTheme="minorEastAsia"/>
                <w:szCs w:val="24"/>
              </w:rPr>
              <w:t>与培训教育</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4分</w:t>
            </w:r>
          </w:p>
        </w:tc>
        <w:tc>
          <w:tcPr>
            <w:tcW w:w="5670" w:type="dxa"/>
          </w:tcPr>
          <w:p>
            <w:pPr>
              <w:spacing w:line="320" w:lineRule="exact"/>
              <w:rPr>
                <w:rFonts w:asciiTheme="minorEastAsia" w:hAnsiTheme="minorEastAsia"/>
                <w:sz w:val="18"/>
                <w:szCs w:val="24"/>
              </w:rPr>
            </w:pPr>
            <w:r>
              <w:rPr>
                <w:rFonts w:hint="eastAsia" w:asciiTheme="minorEastAsia" w:hAnsiTheme="minorEastAsia"/>
                <w:sz w:val="18"/>
                <w:szCs w:val="24"/>
              </w:rPr>
              <w:t>1、项目负责人获得省高校后勤协会颁发的“高校后勤服务之星”荣誉证书，有，得2分；无，得0分</w:t>
            </w:r>
          </w:p>
          <w:p>
            <w:pPr>
              <w:spacing w:line="320" w:lineRule="exact"/>
              <w:rPr>
                <w:rFonts w:asciiTheme="minorEastAsia" w:hAnsiTheme="minorEastAsia"/>
                <w:sz w:val="18"/>
                <w:szCs w:val="24"/>
              </w:rPr>
            </w:pPr>
            <w:r>
              <w:rPr>
                <w:rFonts w:hint="eastAsia" w:asciiTheme="minorEastAsia" w:hAnsiTheme="minorEastAsia"/>
                <w:sz w:val="18"/>
                <w:szCs w:val="24"/>
              </w:rPr>
              <w:t>2、项目负责人获得高级食品安全管理员证书且按规定参加培训学习。2018-2020年度3年均参加培训学习合格得2分；有证书培训不足3年得1分；无，得0分。</w:t>
            </w:r>
          </w:p>
          <w:p>
            <w:pPr>
              <w:spacing w:line="320" w:lineRule="exact"/>
              <w:rPr>
                <w:rFonts w:asciiTheme="minorEastAsia" w:hAnsiTheme="minorEastAsia"/>
                <w:sz w:val="18"/>
                <w:szCs w:val="24"/>
              </w:rPr>
            </w:pPr>
            <w:r>
              <w:rPr>
                <w:rFonts w:hint="eastAsia" w:asciiTheme="minorEastAsia" w:hAnsiTheme="minorEastAsia"/>
                <w:sz w:val="18"/>
                <w:szCs w:val="24"/>
              </w:rPr>
              <w:t>（需提供证书及培训证明，单位社保缴交证明、原件备查）</w:t>
            </w:r>
          </w:p>
        </w:tc>
        <w:tc>
          <w:tcPr>
            <w:tcW w:w="992" w:type="dxa"/>
          </w:tcPr>
          <w:p>
            <w:pPr>
              <w:spacing w:line="320" w:lineRule="exact"/>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9</w:t>
            </w:r>
          </w:p>
        </w:tc>
        <w:tc>
          <w:tcPr>
            <w:tcW w:w="1276" w:type="dxa"/>
          </w:tcPr>
          <w:p>
            <w:pPr>
              <w:spacing w:line="320" w:lineRule="exact"/>
              <w:rPr>
                <w:rFonts w:asciiTheme="minorEastAsia" w:hAnsiTheme="minorEastAsia"/>
                <w:szCs w:val="24"/>
              </w:rPr>
            </w:pPr>
          </w:p>
          <w:p>
            <w:pPr>
              <w:spacing w:line="320" w:lineRule="exact"/>
              <w:rPr>
                <w:rFonts w:asciiTheme="minorEastAsia" w:hAnsiTheme="minorEastAsia"/>
                <w:szCs w:val="24"/>
              </w:rPr>
            </w:pPr>
            <w:r>
              <w:rPr>
                <w:rFonts w:hint="eastAsia" w:asciiTheme="minorEastAsia" w:hAnsiTheme="minorEastAsia"/>
                <w:szCs w:val="24"/>
              </w:rPr>
              <w:t>管理制度</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3分</w:t>
            </w:r>
          </w:p>
        </w:tc>
        <w:tc>
          <w:tcPr>
            <w:tcW w:w="5670" w:type="dxa"/>
          </w:tcPr>
          <w:p>
            <w:pPr>
              <w:spacing w:line="320" w:lineRule="exact"/>
              <w:rPr>
                <w:rFonts w:asciiTheme="minorEastAsia" w:hAnsiTheme="minorEastAsia"/>
                <w:sz w:val="18"/>
                <w:szCs w:val="24"/>
              </w:rPr>
            </w:pPr>
            <w:r>
              <w:rPr>
                <w:rFonts w:asciiTheme="minorEastAsia" w:hAnsiTheme="minorEastAsia"/>
                <w:sz w:val="18"/>
                <w:szCs w:val="24"/>
              </w:rPr>
              <w:t>根据投标人各项管理制度的完善性、可行性、实用性等进行综合评价</w:t>
            </w:r>
          </w:p>
          <w:p>
            <w:pPr>
              <w:spacing w:line="320" w:lineRule="exact"/>
              <w:rPr>
                <w:rFonts w:asciiTheme="minorEastAsia" w:hAnsiTheme="minorEastAsia"/>
                <w:sz w:val="18"/>
                <w:szCs w:val="24"/>
              </w:rPr>
            </w:pPr>
            <w:r>
              <w:rPr>
                <w:rFonts w:asciiTheme="minorEastAsia" w:hAnsiTheme="minorEastAsia"/>
                <w:sz w:val="18"/>
                <w:szCs w:val="24"/>
              </w:rPr>
              <w:t>优</w:t>
            </w:r>
            <w:r>
              <w:rPr>
                <w:rFonts w:hint="eastAsia" w:asciiTheme="minorEastAsia" w:hAnsiTheme="minorEastAsia"/>
                <w:sz w:val="18"/>
                <w:szCs w:val="24"/>
              </w:rPr>
              <w:t>3</w:t>
            </w:r>
            <w:r>
              <w:rPr>
                <w:rFonts w:asciiTheme="minorEastAsia" w:hAnsiTheme="minorEastAsia"/>
                <w:sz w:val="18"/>
                <w:szCs w:val="24"/>
              </w:rPr>
              <w:t>分；良</w:t>
            </w:r>
            <w:r>
              <w:rPr>
                <w:rFonts w:hint="eastAsia" w:asciiTheme="minorEastAsia" w:hAnsiTheme="minorEastAsia"/>
                <w:sz w:val="18"/>
                <w:szCs w:val="24"/>
              </w:rPr>
              <w:t>2</w:t>
            </w:r>
            <w:r>
              <w:rPr>
                <w:rFonts w:asciiTheme="minorEastAsia" w:hAnsiTheme="minorEastAsia"/>
                <w:sz w:val="18"/>
                <w:szCs w:val="24"/>
              </w:rPr>
              <w:t>分；一般1分；差0分。</w:t>
            </w:r>
          </w:p>
        </w:tc>
        <w:tc>
          <w:tcPr>
            <w:tcW w:w="992" w:type="dxa"/>
          </w:tcPr>
          <w:p>
            <w:pPr>
              <w:spacing w:line="320" w:lineRule="exact"/>
              <w:rPr>
                <w:rFonts w:ascii="Times New Roman" w:hAnsi="Times New Roman"/>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20" w:lineRule="exact"/>
              <w:jc w:val="center"/>
              <w:rPr>
                <w:rFonts w:asciiTheme="minorEastAsia" w:hAnsiTheme="minorEastAsia"/>
                <w:sz w:val="28"/>
                <w:szCs w:val="28"/>
              </w:rPr>
            </w:pPr>
          </w:p>
          <w:p>
            <w:pPr>
              <w:spacing w:line="320" w:lineRule="exact"/>
              <w:jc w:val="center"/>
              <w:rPr>
                <w:rFonts w:asciiTheme="minorEastAsia" w:hAnsiTheme="minorEastAsia"/>
                <w:sz w:val="28"/>
                <w:szCs w:val="28"/>
              </w:rPr>
            </w:pPr>
            <w:r>
              <w:rPr>
                <w:rFonts w:hint="eastAsia" w:asciiTheme="minorEastAsia" w:hAnsiTheme="minorEastAsia"/>
                <w:sz w:val="28"/>
                <w:szCs w:val="28"/>
              </w:rPr>
              <w:t>10</w:t>
            </w:r>
          </w:p>
        </w:tc>
        <w:tc>
          <w:tcPr>
            <w:tcW w:w="1276" w:type="dxa"/>
          </w:tcPr>
          <w:p>
            <w:pPr>
              <w:spacing w:line="320" w:lineRule="exact"/>
              <w:jc w:val="center"/>
              <w:rPr>
                <w:rFonts w:asciiTheme="minorEastAsia" w:hAnsiTheme="minorEastAsia"/>
                <w:szCs w:val="24"/>
              </w:rPr>
            </w:pPr>
          </w:p>
          <w:p>
            <w:pPr>
              <w:spacing w:line="320" w:lineRule="exact"/>
              <w:jc w:val="center"/>
              <w:rPr>
                <w:rFonts w:asciiTheme="minorEastAsia" w:hAnsiTheme="minorEastAsia"/>
                <w:szCs w:val="24"/>
              </w:rPr>
            </w:pPr>
            <w:r>
              <w:rPr>
                <w:rFonts w:hint="eastAsia" w:asciiTheme="minorEastAsia" w:hAnsiTheme="minorEastAsia"/>
                <w:szCs w:val="24"/>
              </w:rPr>
              <w:t>应急预案</w:t>
            </w:r>
          </w:p>
        </w:tc>
        <w:tc>
          <w:tcPr>
            <w:tcW w:w="567" w:type="dxa"/>
          </w:tcPr>
          <w:p>
            <w:pPr>
              <w:spacing w:line="320" w:lineRule="exact"/>
              <w:jc w:val="center"/>
              <w:rPr>
                <w:rFonts w:asciiTheme="minorEastAsia" w:hAnsiTheme="minorEastAsia"/>
                <w:sz w:val="24"/>
                <w:szCs w:val="24"/>
              </w:rPr>
            </w:pPr>
          </w:p>
          <w:p>
            <w:pPr>
              <w:spacing w:line="320" w:lineRule="exact"/>
              <w:jc w:val="center"/>
              <w:rPr>
                <w:rFonts w:asciiTheme="minorEastAsia" w:hAnsiTheme="minorEastAsia"/>
                <w:sz w:val="24"/>
                <w:szCs w:val="24"/>
              </w:rPr>
            </w:pPr>
            <w:r>
              <w:rPr>
                <w:rFonts w:hint="eastAsia" w:asciiTheme="minorEastAsia" w:hAnsiTheme="minorEastAsia"/>
                <w:sz w:val="24"/>
                <w:szCs w:val="24"/>
              </w:rPr>
              <w:t>3分</w:t>
            </w:r>
          </w:p>
        </w:tc>
        <w:tc>
          <w:tcPr>
            <w:tcW w:w="5670" w:type="dxa"/>
          </w:tcPr>
          <w:p>
            <w:pPr>
              <w:spacing w:line="320" w:lineRule="exact"/>
              <w:rPr>
                <w:rFonts w:asciiTheme="minorEastAsia" w:hAnsiTheme="minorEastAsia"/>
                <w:sz w:val="18"/>
                <w:szCs w:val="24"/>
              </w:rPr>
            </w:pPr>
            <w:r>
              <w:rPr>
                <w:rFonts w:asciiTheme="minorEastAsia" w:hAnsiTheme="minorEastAsia"/>
                <w:sz w:val="18"/>
                <w:szCs w:val="24"/>
              </w:rPr>
              <w:t>根据投标人紧急事件处理预案的具体、全面、可行性进行综合</w:t>
            </w:r>
            <w:r>
              <w:rPr>
                <w:rFonts w:hint="eastAsia" w:asciiTheme="minorEastAsia" w:hAnsiTheme="minorEastAsia"/>
                <w:sz w:val="18"/>
                <w:szCs w:val="24"/>
              </w:rPr>
              <w:t>评价。</w:t>
            </w:r>
          </w:p>
          <w:p>
            <w:pPr>
              <w:spacing w:line="320" w:lineRule="exact"/>
              <w:rPr>
                <w:rFonts w:asciiTheme="minorEastAsia" w:hAnsiTheme="minorEastAsia"/>
                <w:sz w:val="18"/>
                <w:szCs w:val="24"/>
              </w:rPr>
            </w:pPr>
            <w:r>
              <w:rPr>
                <w:rFonts w:asciiTheme="minorEastAsia" w:hAnsiTheme="minorEastAsia"/>
                <w:sz w:val="18"/>
                <w:szCs w:val="24"/>
              </w:rPr>
              <w:t>优</w:t>
            </w:r>
            <w:r>
              <w:rPr>
                <w:rFonts w:hint="eastAsia" w:asciiTheme="minorEastAsia" w:hAnsiTheme="minorEastAsia"/>
                <w:sz w:val="18"/>
                <w:szCs w:val="24"/>
              </w:rPr>
              <w:t>3</w:t>
            </w:r>
            <w:r>
              <w:rPr>
                <w:rFonts w:asciiTheme="minorEastAsia" w:hAnsiTheme="minorEastAsia"/>
                <w:sz w:val="18"/>
                <w:szCs w:val="24"/>
              </w:rPr>
              <w:t>分；良</w:t>
            </w:r>
            <w:r>
              <w:rPr>
                <w:rFonts w:hint="eastAsia" w:asciiTheme="minorEastAsia" w:hAnsiTheme="minorEastAsia"/>
                <w:sz w:val="18"/>
                <w:szCs w:val="24"/>
              </w:rPr>
              <w:t>2</w:t>
            </w:r>
            <w:r>
              <w:rPr>
                <w:rFonts w:asciiTheme="minorEastAsia" w:hAnsiTheme="minorEastAsia"/>
                <w:sz w:val="18"/>
                <w:szCs w:val="24"/>
              </w:rPr>
              <w:t>分；一般1分；差0分。</w:t>
            </w:r>
          </w:p>
        </w:tc>
        <w:tc>
          <w:tcPr>
            <w:tcW w:w="992" w:type="dxa"/>
          </w:tcPr>
          <w:p>
            <w:pPr>
              <w:spacing w:line="320" w:lineRule="exact"/>
              <w:rPr>
                <w:rFonts w:ascii="Times New Roman" w:hAnsi="Times New Roman"/>
                <w:sz w:val="30"/>
                <w:szCs w:val="30"/>
              </w:rPr>
            </w:pPr>
          </w:p>
        </w:tc>
      </w:tr>
    </w:tbl>
    <w:p>
      <w:pPr>
        <w:spacing w:line="500" w:lineRule="exact"/>
        <w:ind w:firstLine="1285" w:firstLineChars="400"/>
        <w:outlineLvl w:val="1"/>
        <w:rPr>
          <w:rFonts w:ascii="黑体" w:hAnsi="黑体" w:eastAsia="黑体"/>
          <w:b/>
          <w:bCs/>
          <w:snapToGrid w:val="0"/>
          <w:sz w:val="32"/>
          <w:szCs w:val="32"/>
        </w:rPr>
      </w:pPr>
      <w:r>
        <w:rPr>
          <w:rFonts w:ascii="黑体" w:hAnsi="黑体" w:eastAsia="黑体"/>
          <w:b/>
          <w:bCs/>
          <w:sz w:val="32"/>
          <w:szCs w:val="32"/>
        </w:rPr>
        <w:drawing>
          <wp:anchor distT="0" distB="0" distL="114300" distR="114300" simplePos="0" relativeHeight="251664384" behindDoc="1" locked="0" layoutInCell="1" allowOverlap="1">
            <wp:simplePos x="0" y="0"/>
            <wp:positionH relativeFrom="column">
              <wp:align>center</wp:align>
            </wp:positionH>
            <wp:positionV relativeFrom="page">
              <wp:align>center</wp:align>
            </wp:positionV>
            <wp:extent cx="5184775" cy="7429500"/>
            <wp:effectExtent l="19050" t="0" r="0" b="0"/>
            <wp:wrapNone/>
            <wp:docPr id="42" name="图片 42" descr="1117341030_1099840480_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1117341030_1099840480_stu"/>
                    <pic:cNvPicPr preferRelativeResize="0">
                      <a:picLocks noChangeAspect="1" noChangeArrowheads="1"/>
                    </pic:cNvPicPr>
                  </pic:nvPicPr>
                  <pic:blipFill>
                    <a:blip r:embed="rId7" cstate="print">
                      <a:lum bright="94000"/>
                    </a:blip>
                    <a:srcRect/>
                    <a:stretch>
                      <a:fillRect/>
                    </a:stretch>
                  </pic:blipFill>
                  <pic:spPr>
                    <a:xfrm>
                      <a:off x="0" y="0"/>
                      <a:ext cx="5184775" cy="7429500"/>
                    </a:xfrm>
                    <a:prstGeom prst="rect">
                      <a:avLst/>
                    </a:prstGeom>
                    <a:noFill/>
                    <a:ln w="9525" algn="ctr">
                      <a:noFill/>
                      <a:miter lim="800000"/>
                      <a:headEnd/>
                      <a:tailEnd/>
                    </a:ln>
                    <a:effectLst/>
                  </pic:spPr>
                </pic:pic>
              </a:graphicData>
            </a:graphic>
          </wp:anchor>
        </w:drawing>
      </w:r>
      <w:r>
        <w:rPr>
          <w:rFonts w:hint="eastAsia" w:ascii="黑体" w:hAnsi="黑体" w:eastAsia="黑体"/>
          <w:b/>
          <w:bCs/>
          <w:snapToGrid w:val="0"/>
          <w:sz w:val="32"/>
          <w:szCs w:val="32"/>
        </w:rPr>
        <w:t>汕头大学医学院食堂管理实施细则</w:t>
      </w:r>
    </w:p>
    <w:p>
      <w:pPr>
        <w:spacing w:line="500" w:lineRule="exact"/>
        <w:rPr>
          <w:b/>
          <w:bCs/>
          <w:sz w:val="30"/>
          <w:szCs w:val="30"/>
        </w:rPr>
      </w:pPr>
    </w:p>
    <w:p>
      <w:pPr>
        <w:pStyle w:val="6"/>
        <w:numPr>
          <w:ilvl w:val="0"/>
          <w:numId w:val="7"/>
        </w:numPr>
        <w:spacing w:line="500" w:lineRule="exact"/>
        <w:rPr>
          <w:sz w:val="30"/>
          <w:szCs w:val="30"/>
        </w:rPr>
      </w:pPr>
      <w:r>
        <w:rPr>
          <w:rFonts w:hint="eastAsia"/>
          <w:sz w:val="30"/>
          <w:szCs w:val="30"/>
        </w:rPr>
        <w:t>经营管理要求</w:t>
      </w:r>
    </w:p>
    <w:p>
      <w:pPr>
        <w:numPr>
          <w:ilvl w:val="1"/>
          <w:numId w:val="1"/>
        </w:numPr>
        <w:spacing w:line="500" w:lineRule="exact"/>
        <w:outlineLvl w:val="1"/>
        <w:rPr>
          <w:rFonts w:ascii="宋体" w:hAnsi="宋体"/>
          <w:sz w:val="30"/>
          <w:szCs w:val="30"/>
        </w:rPr>
      </w:pPr>
      <w:r>
        <w:rPr>
          <w:rFonts w:hint="eastAsia" w:ascii="宋体" w:hAnsi="宋体"/>
          <w:sz w:val="30"/>
          <w:szCs w:val="30"/>
        </w:rPr>
        <w:t>承包方（以下简称乙方）只能在中标的食堂从事饭菜、包点供应工作。除特别许可之外，不准经营非餐饮行业的经营项目，违反规定者将处罚款100-500元，并没收所有商品；</w:t>
      </w:r>
    </w:p>
    <w:p>
      <w:pPr>
        <w:numPr>
          <w:ilvl w:val="1"/>
          <w:numId w:val="1"/>
        </w:numPr>
        <w:spacing w:line="500" w:lineRule="exact"/>
        <w:outlineLvl w:val="1"/>
        <w:rPr>
          <w:rFonts w:ascii="宋体" w:hAnsi="宋体"/>
          <w:sz w:val="30"/>
          <w:szCs w:val="30"/>
        </w:rPr>
      </w:pPr>
      <w:r>
        <w:rPr>
          <w:rFonts w:hint="eastAsia" w:ascii="宋体" w:hAnsi="宋体"/>
          <w:sz w:val="30"/>
          <w:szCs w:val="30"/>
        </w:rPr>
        <w:t>乙方应在甲方规定的经营区内按设备的功能和服务项目从事经营，不准在餐厅内乱设点和摆卖，检查发现违反者每次处罚款500元；</w:t>
      </w:r>
    </w:p>
    <w:p>
      <w:pPr>
        <w:numPr>
          <w:ilvl w:val="1"/>
          <w:numId w:val="1"/>
        </w:numPr>
        <w:spacing w:line="500" w:lineRule="exact"/>
        <w:outlineLvl w:val="1"/>
        <w:rPr>
          <w:rFonts w:ascii="宋体" w:hAnsi="宋体"/>
          <w:sz w:val="30"/>
          <w:szCs w:val="30"/>
        </w:rPr>
      </w:pPr>
      <w:r>
        <w:rPr>
          <w:rFonts w:hint="eastAsia" w:ascii="宋体" w:hAnsi="宋体"/>
          <w:sz w:val="30"/>
          <w:szCs w:val="30"/>
        </w:rPr>
        <w:t>乙方应按甲方规定的经营服务项目和饭菜的花式品种做好经营服务工作，花式品种早餐主食3种以上，副食5种以上；中、晚餐主食5种以上，副食</w:t>
      </w:r>
      <w:r>
        <w:rPr>
          <w:rFonts w:ascii="宋体" w:hAnsi="宋体"/>
          <w:sz w:val="30"/>
          <w:szCs w:val="30"/>
        </w:rPr>
        <w:t>2</w:t>
      </w:r>
      <w:r>
        <w:rPr>
          <w:rFonts w:hint="eastAsia" w:ascii="宋体" w:hAnsi="宋体"/>
          <w:sz w:val="30"/>
          <w:szCs w:val="30"/>
        </w:rPr>
        <w:t>0种以上，检查发现少一个品种处罚款20元；</w:t>
      </w:r>
    </w:p>
    <w:p>
      <w:pPr>
        <w:numPr>
          <w:ilvl w:val="1"/>
          <w:numId w:val="1"/>
        </w:numPr>
        <w:spacing w:line="500" w:lineRule="exact"/>
        <w:outlineLvl w:val="1"/>
        <w:rPr>
          <w:rFonts w:ascii="宋体" w:hAnsi="宋体"/>
          <w:sz w:val="30"/>
          <w:szCs w:val="30"/>
        </w:rPr>
      </w:pPr>
      <w:r>
        <w:rPr>
          <w:rFonts w:hint="eastAsia" w:ascii="宋体" w:hAnsi="宋体"/>
          <w:sz w:val="30"/>
          <w:szCs w:val="30"/>
        </w:rPr>
        <w:t>为保证出售食品卫生，保护用餐师生身体健康，乙方出售食品时不能收现金。如收现金，一经发现按所收现金十倍罚款。</w:t>
      </w:r>
    </w:p>
    <w:p>
      <w:pPr>
        <w:pStyle w:val="6"/>
        <w:numPr>
          <w:ilvl w:val="0"/>
          <w:numId w:val="7"/>
        </w:numPr>
        <w:spacing w:line="500" w:lineRule="exact"/>
        <w:rPr>
          <w:bCs/>
          <w:sz w:val="30"/>
          <w:szCs w:val="30"/>
        </w:rPr>
      </w:pPr>
      <w:r>
        <w:rPr>
          <w:rFonts w:hint="eastAsia"/>
          <w:sz w:val="30"/>
          <w:szCs w:val="30"/>
        </w:rPr>
        <w:t>生产、加工、分餐销售场地卫生管理要求</w:t>
      </w:r>
    </w:p>
    <w:p>
      <w:pPr>
        <w:numPr>
          <w:ilvl w:val="1"/>
          <w:numId w:val="8"/>
        </w:numPr>
        <w:spacing w:line="500" w:lineRule="exact"/>
        <w:ind w:left="0"/>
        <w:outlineLvl w:val="1"/>
        <w:rPr>
          <w:rFonts w:ascii="宋体" w:hAnsi="宋体"/>
          <w:sz w:val="30"/>
          <w:szCs w:val="30"/>
        </w:rPr>
      </w:pPr>
      <w:r>
        <w:rPr>
          <w:rFonts w:hint="eastAsia" w:ascii="宋体" w:hAnsi="宋体"/>
          <w:sz w:val="30"/>
          <w:szCs w:val="30"/>
        </w:rPr>
        <w:t>严格加强生产场地卫生管理，粗加工区的地面，工作台和排水沟，工作完毕应马上冲洗干净，检查不合格食堂每次罚款50元；</w:t>
      </w:r>
    </w:p>
    <w:p>
      <w:pPr>
        <w:numPr>
          <w:ilvl w:val="1"/>
          <w:numId w:val="8"/>
        </w:numPr>
        <w:spacing w:line="500" w:lineRule="exact"/>
        <w:ind w:left="0"/>
        <w:outlineLvl w:val="1"/>
        <w:rPr>
          <w:rFonts w:ascii="宋体" w:hAnsi="宋体"/>
          <w:sz w:val="30"/>
          <w:szCs w:val="30"/>
        </w:rPr>
      </w:pPr>
      <w:r>
        <w:rPr>
          <w:rFonts w:hint="eastAsia" w:ascii="宋体" w:hAnsi="宋体"/>
          <w:sz w:val="30"/>
          <w:szCs w:val="30"/>
        </w:rPr>
        <w:t>厨房、售卖间及各工作间的地面，工作台和排水沟，每餐工作完毕应马上冲洗干净，检查不合格食堂每次罚款50元；</w:t>
      </w:r>
    </w:p>
    <w:p>
      <w:pPr>
        <w:numPr>
          <w:ilvl w:val="1"/>
          <w:numId w:val="8"/>
        </w:numPr>
        <w:spacing w:line="500" w:lineRule="exact"/>
        <w:ind w:left="0"/>
        <w:outlineLvl w:val="1"/>
        <w:rPr>
          <w:rFonts w:ascii="宋体" w:hAnsi="宋体"/>
          <w:sz w:val="30"/>
          <w:szCs w:val="30"/>
        </w:rPr>
      </w:pPr>
      <w:r>
        <w:rPr>
          <w:rFonts w:hint="eastAsia" w:ascii="宋体" w:hAnsi="宋体"/>
          <w:sz w:val="30"/>
          <w:szCs w:val="30"/>
        </w:rPr>
        <w:t>售卖保温台每餐工作完毕应冲洗一次，备餐台及时擦洗干净。保温水每餐更换，不得有剩饭菜渣。每餐工作完毕后应开启紫外线灯进行消毒各一次，每次十分钟。检查不合格食堂每次罚款50元；</w:t>
      </w:r>
    </w:p>
    <w:p>
      <w:pPr>
        <w:numPr>
          <w:ilvl w:val="1"/>
          <w:numId w:val="8"/>
        </w:numPr>
        <w:spacing w:line="500" w:lineRule="exact"/>
        <w:ind w:left="0"/>
        <w:outlineLvl w:val="1"/>
        <w:rPr>
          <w:rFonts w:ascii="宋体" w:hAnsi="宋体"/>
          <w:sz w:val="30"/>
          <w:szCs w:val="30"/>
        </w:rPr>
      </w:pPr>
      <w:r>
        <w:rPr>
          <w:rFonts w:hint="eastAsia" w:ascii="宋体" w:hAnsi="宋体"/>
          <w:sz w:val="30"/>
          <w:szCs w:val="30"/>
        </w:rPr>
        <w:t>餐厅地面，每餐用餐完毕应清扫拖地一次，洗碗台、排水沟当餐冲洗干净。地面不得留有什物和剩饭菜渣，检查不合格食堂每项罚款50元；</w:t>
      </w:r>
    </w:p>
    <w:p>
      <w:pPr>
        <w:numPr>
          <w:ilvl w:val="1"/>
          <w:numId w:val="8"/>
        </w:numPr>
        <w:spacing w:line="500" w:lineRule="exact"/>
        <w:ind w:left="0"/>
        <w:outlineLvl w:val="1"/>
        <w:rPr>
          <w:rFonts w:ascii="宋体" w:hAnsi="宋体"/>
          <w:sz w:val="30"/>
          <w:szCs w:val="30"/>
        </w:rPr>
      </w:pPr>
      <w:r>
        <w:rPr>
          <w:rFonts w:ascii="宋体" w:hAnsi="宋体"/>
          <w:sz w:val="30"/>
          <w:szCs w:val="30"/>
        </w:rPr>
        <w:drawing>
          <wp:anchor distT="0" distB="0" distL="114300" distR="114300" simplePos="0" relativeHeight="251665408" behindDoc="1" locked="0" layoutInCell="1" allowOverlap="1">
            <wp:simplePos x="0" y="0"/>
            <wp:positionH relativeFrom="column">
              <wp:posOffset>200025</wp:posOffset>
            </wp:positionH>
            <wp:positionV relativeFrom="page">
              <wp:posOffset>1784985</wp:posOffset>
            </wp:positionV>
            <wp:extent cx="5184775" cy="7429500"/>
            <wp:effectExtent l="19050" t="0" r="0" b="0"/>
            <wp:wrapNone/>
            <wp:docPr id="43" name="图片 43" descr="1117341030_1099840480_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1117341030_1099840480_stu"/>
                    <pic:cNvPicPr preferRelativeResize="0">
                      <a:picLocks noChangeAspect="1" noChangeArrowheads="1"/>
                    </pic:cNvPicPr>
                  </pic:nvPicPr>
                  <pic:blipFill>
                    <a:blip r:embed="rId7" cstate="print">
                      <a:lum bright="94000"/>
                    </a:blip>
                    <a:srcRect/>
                    <a:stretch>
                      <a:fillRect/>
                    </a:stretch>
                  </pic:blipFill>
                  <pic:spPr>
                    <a:xfrm>
                      <a:off x="0" y="0"/>
                      <a:ext cx="5184775" cy="7429500"/>
                    </a:xfrm>
                    <a:prstGeom prst="rect">
                      <a:avLst/>
                    </a:prstGeom>
                    <a:noFill/>
                    <a:ln w="9525" algn="ctr">
                      <a:noFill/>
                      <a:miter lim="800000"/>
                      <a:headEnd/>
                      <a:tailEnd/>
                    </a:ln>
                    <a:effectLst/>
                  </pic:spPr>
                </pic:pic>
              </a:graphicData>
            </a:graphic>
          </wp:anchor>
        </w:drawing>
      </w:r>
      <w:r>
        <w:rPr>
          <w:rFonts w:hint="eastAsia" w:ascii="宋体" w:hAnsi="宋体"/>
          <w:sz w:val="30"/>
          <w:szCs w:val="30"/>
        </w:rPr>
        <w:t>餐桌、椅每餐完毕应擦洗干净，桌面不得有油迹，剩饭菜渣，骨碟要清洗干净，摆放整齐，检查不合格食堂每次罚款50元。</w:t>
      </w:r>
    </w:p>
    <w:p>
      <w:pPr>
        <w:pStyle w:val="6"/>
        <w:numPr>
          <w:ilvl w:val="0"/>
          <w:numId w:val="7"/>
        </w:numPr>
        <w:spacing w:line="500" w:lineRule="exact"/>
        <w:rPr>
          <w:sz w:val="30"/>
          <w:szCs w:val="30"/>
        </w:rPr>
      </w:pPr>
      <w:r>
        <w:rPr>
          <w:rFonts w:hint="eastAsia"/>
          <w:sz w:val="30"/>
          <w:szCs w:val="30"/>
        </w:rPr>
        <w:t>食品机械，用具餐具卫生监管细则</w:t>
      </w:r>
    </w:p>
    <w:p>
      <w:pPr>
        <w:numPr>
          <w:ilvl w:val="1"/>
          <w:numId w:val="9"/>
        </w:numPr>
        <w:spacing w:line="500" w:lineRule="exact"/>
        <w:outlineLvl w:val="1"/>
        <w:rPr>
          <w:rFonts w:ascii="宋体" w:hAnsi="宋体"/>
          <w:sz w:val="30"/>
          <w:szCs w:val="30"/>
        </w:rPr>
      </w:pPr>
      <w:r>
        <w:rPr>
          <w:rFonts w:hint="eastAsia" w:ascii="宋体" w:hAnsi="宋体"/>
          <w:sz w:val="30"/>
          <w:szCs w:val="30"/>
        </w:rPr>
        <w:t>食品机械设备应定点存放，搅面机、压面机生产完毕应刮干净，不得有面残渣，检查不合格罚款50元；</w:t>
      </w:r>
    </w:p>
    <w:p>
      <w:pPr>
        <w:numPr>
          <w:ilvl w:val="1"/>
          <w:numId w:val="9"/>
        </w:numPr>
        <w:spacing w:line="500" w:lineRule="exact"/>
        <w:outlineLvl w:val="1"/>
        <w:rPr>
          <w:rFonts w:ascii="宋体" w:hAnsi="宋体"/>
          <w:sz w:val="30"/>
          <w:szCs w:val="30"/>
        </w:rPr>
      </w:pPr>
      <w:r>
        <w:rPr>
          <w:rFonts w:hint="eastAsia" w:ascii="宋体" w:hAnsi="宋体"/>
          <w:sz w:val="30"/>
          <w:szCs w:val="30"/>
        </w:rPr>
        <w:t>切肉机、切瓜果机使用完毕应马上冲洗干净，不得余留肉碎和瓜、果渣，切肉机不得有异味，检查不合格食堂每次罚款50元；</w:t>
      </w:r>
    </w:p>
    <w:p>
      <w:pPr>
        <w:numPr>
          <w:ilvl w:val="1"/>
          <w:numId w:val="9"/>
        </w:numPr>
        <w:spacing w:line="500" w:lineRule="exact"/>
        <w:outlineLvl w:val="1"/>
        <w:rPr>
          <w:rFonts w:ascii="宋体" w:hAnsi="宋体"/>
          <w:sz w:val="30"/>
          <w:szCs w:val="30"/>
        </w:rPr>
      </w:pPr>
      <w:r>
        <w:rPr>
          <w:rFonts w:hint="eastAsia" w:ascii="宋体" w:hAnsi="宋体"/>
          <w:sz w:val="30"/>
          <w:szCs w:val="30"/>
        </w:rPr>
        <w:t>蒸饭柜、蒸菜柜每餐使用完毕应马上冲洗干净，蒸柜内不得有剩饭、食品残渣、油污，蒸柜外表面不准有油污，检查不合格食堂每次罚款50元；</w:t>
      </w:r>
    </w:p>
    <w:p>
      <w:pPr>
        <w:numPr>
          <w:ilvl w:val="1"/>
          <w:numId w:val="9"/>
        </w:numPr>
        <w:spacing w:line="500" w:lineRule="exact"/>
        <w:outlineLvl w:val="1"/>
        <w:rPr>
          <w:rFonts w:ascii="宋体" w:hAnsi="宋体"/>
          <w:sz w:val="30"/>
          <w:szCs w:val="30"/>
        </w:rPr>
      </w:pPr>
      <w:r>
        <w:rPr>
          <w:rFonts w:hint="eastAsia" w:ascii="宋体" w:hAnsi="宋体"/>
          <w:sz w:val="30"/>
          <w:szCs w:val="30"/>
        </w:rPr>
        <w:t>蒸饭格、蒸面食格、盛饭车、饭桶、菜盆，每餐供应完毕，应马上清洗干净，不得有剩饭、菜渣和油迹，检查不合格每项处罚款50元；</w:t>
      </w:r>
    </w:p>
    <w:p>
      <w:pPr>
        <w:numPr>
          <w:ilvl w:val="1"/>
          <w:numId w:val="9"/>
        </w:numPr>
        <w:spacing w:line="500" w:lineRule="exact"/>
        <w:outlineLvl w:val="1"/>
        <w:rPr>
          <w:rFonts w:ascii="宋体" w:hAnsi="宋体"/>
          <w:sz w:val="30"/>
          <w:szCs w:val="30"/>
        </w:rPr>
      </w:pPr>
      <w:r>
        <w:rPr>
          <w:rFonts w:hint="eastAsia" w:ascii="宋体" w:hAnsi="宋体"/>
          <w:sz w:val="30"/>
          <w:szCs w:val="30"/>
        </w:rPr>
        <w:t>炒菜炉灶，泡面汤炉使用完毕，应及时冲洗干净，锅内不留脏水，残面饭菜，台面不准有油污，检查不合格食堂每次罚款50元；</w:t>
      </w:r>
    </w:p>
    <w:p>
      <w:pPr>
        <w:numPr>
          <w:ilvl w:val="1"/>
          <w:numId w:val="9"/>
        </w:numPr>
        <w:spacing w:line="500" w:lineRule="exact"/>
        <w:outlineLvl w:val="1"/>
        <w:rPr>
          <w:rFonts w:ascii="宋体" w:hAnsi="宋体"/>
          <w:sz w:val="30"/>
          <w:szCs w:val="30"/>
        </w:rPr>
      </w:pPr>
      <w:r>
        <w:rPr>
          <w:rFonts w:hint="eastAsia" w:ascii="宋体" w:hAnsi="宋体"/>
          <w:sz w:val="30"/>
          <w:szCs w:val="30"/>
        </w:rPr>
        <w:t>抽油烟系统、油烟罩、鲜风系统、送风管，每15天清洗一次，保证无油污，检查不合格食堂每次罚款100元；</w:t>
      </w:r>
    </w:p>
    <w:p>
      <w:pPr>
        <w:numPr>
          <w:ilvl w:val="1"/>
          <w:numId w:val="9"/>
        </w:numPr>
        <w:spacing w:line="500" w:lineRule="exact"/>
        <w:outlineLvl w:val="1"/>
        <w:rPr>
          <w:rFonts w:ascii="宋体" w:hAnsi="宋体"/>
          <w:sz w:val="30"/>
          <w:szCs w:val="30"/>
        </w:rPr>
      </w:pPr>
      <w:r>
        <w:rPr>
          <w:rFonts w:hint="eastAsia" w:ascii="宋体" w:hAnsi="宋体"/>
          <w:sz w:val="30"/>
          <w:szCs w:val="30"/>
        </w:rPr>
        <w:t>公用餐具应做到一冲、二刷、三洗、四消毒，不得有油污，消毒好的公用餐具应存放在消毒柜内或专用的餐具保洁柜内，检查不合格食堂每次罚款100元；</w:t>
      </w:r>
    </w:p>
    <w:p>
      <w:pPr>
        <w:numPr>
          <w:ilvl w:val="1"/>
          <w:numId w:val="9"/>
        </w:numPr>
        <w:spacing w:line="500" w:lineRule="exact"/>
        <w:outlineLvl w:val="1"/>
        <w:rPr>
          <w:rFonts w:ascii="宋体" w:hAnsi="宋体"/>
          <w:sz w:val="30"/>
          <w:szCs w:val="30"/>
        </w:rPr>
      </w:pPr>
      <w:r>
        <w:rPr>
          <w:rFonts w:hint="eastAsia" w:ascii="宋体" w:hAnsi="宋体"/>
          <w:sz w:val="30"/>
          <w:szCs w:val="30"/>
        </w:rPr>
        <w:t>盛装熟食的盘、盆、用具应每餐进行清洗消毒，按规定放在消毒柜或保洁柜内，不按规定消毒或存放，检查发现每次罚款100元。</w:t>
      </w:r>
    </w:p>
    <w:p>
      <w:pPr>
        <w:pStyle w:val="6"/>
        <w:numPr>
          <w:ilvl w:val="0"/>
          <w:numId w:val="7"/>
        </w:numPr>
        <w:spacing w:line="500" w:lineRule="exact"/>
        <w:rPr>
          <w:sz w:val="30"/>
          <w:szCs w:val="30"/>
        </w:rPr>
      </w:pPr>
      <w:r>
        <w:rPr>
          <w:rFonts w:hint="eastAsia"/>
          <w:sz w:val="30"/>
          <w:szCs w:val="30"/>
        </w:rPr>
        <w:t>食品加工、制作、销售、贮存卫生监管细则</w:t>
      </w:r>
    </w:p>
    <w:p>
      <w:pPr>
        <w:numPr>
          <w:ilvl w:val="1"/>
          <w:numId w:val="10"/>
        </w:numPr>
        <w:spacing w:line="500" w:lineRule="exact"/>
        <w:outlineLvl w:val="1"/>
        <w:rPr>
          <w:rFonts w:ascii="宋体" w:hAnsi="宋体"/>
          <w:sz w:val="30"/>
          <w:szCs w:val="30"/>
        </w:rPr>
      </w:pPr>
      <w:r>
        <w:rPr>
          <w:rFonts w:hint="eastAsia" w:ascii="宋体" w:hAnsi="宋体"/>
          <w:sz w:val="30"/>
          <w:szCs w:val="30"/>
        </w:rPr>
        <w:t>食品在加工、运输、贮存过程中，要做到原料与半成品分开，半成品与成品分开，食品与杂物分开，生熟食品分开，检查不合格食堂每次罚款100元；</w:t>
      </w:r>
    </w:p>
    <w:p>
      <w:pPr>
        <w:numPr>
          <w:ilvl w:val="1"/>
          <w:numId w:val="10"/>
        </w:numPr>
        <w:spacing w:line="500" w:lineRule="exact"/>
        <w:outlineLvl w:val="1"/>
        <w:rPr>
          <w:rFonts w:ascii="宋体" w:hAnsi="宋体"/>
          <w:sz w:val="30"/>
          <w:szCs w:val="30"/>
        </w:rPr>
      </w:pPr>
      <w:r>
        <w:rPr>
          <w:rFonts w:hint="eastAsia" w:ascii="宋体" w:hAnsi="宋体"/>
          <w:sz w:val="30"/>
          <w:szCs w:val="30"/>
        </w:rPr>
        <w:t>动物性原料与植物性原料加工处理，要分台、分池（洗涤池）操作。猪肉、鸡鸭要刮净和拨净毛，清洗干净，检查不合格食堂每次罚款100元；</w:t>
      </w:r>
    </w:p>
    <w:p>
      <w:pPr>
        <w:numPr>
          <w:ilvl w:val="1"/>
          <w:numId w:val="10"/>
        </w:numPr>
        <w:spacing w:line="500" w:lineRule="exact"/>
        <w:outlineLvl w:val="1"/>
        <w:rPr>
          <w:rFonts w:ascii="宋体" w:hAnsi="宋体"/>
          <w:sz w:val="30"/>
          <w:szCs w:val="30"/>
        </w:rPr>
      </w:pPr>
      <w:r>
        <w:rPr>
          <w:rFonts w:ascii="宋体" w:hAnsi="宋体"/>
          <w:sz w:val="30"/>
          <w:szCs w:val="30"/>
        </w:rPr>
        <w:drawing>
          <wp:anchor distT="0" distB="0" distL="114300" distR="114300" simplePos="0" relativeHeight="251666432" behindDoc="1" locked="0" layoutInCell="1" allowOverlap="1">
            <wp:simplePos x="0" y="0"/>
            <wp:positionH relativeFrom="column">
              <wp:align>center</wp:align>
            </wp:positionH>
            <wp:positionV relativeFrom="page">
              <wp:align>center</wp:align>
            </wp:positionV>
            <wp:extent cx="5184775" cy="7429500"/>
            <wp:effectExtent l="19050" t="0" r="0" b="0"/>
            <wp:wrapNone/>
            <wp:docPr id="44" name="图片 44" descr="1117341030_1099840480_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1117341030_1099840480_stu"/>
                    <pic:cNvPicPr preferRelativeResize="0">
                      <a:picLocks noChangeAspect="1" noChangeArrowheads="1"/>
                    </pic:cNvPicPr>
                  </pic:nvPicPr>
                  <pic:blipFill>
                    <a:blip r:embed="rId7" cstate="print">
                      <a:lum bright="94000"/>
                    </a:blip>
                    <a:srcRect/>
                    <a:stretch>
                      <a:fillRect/>
                    </a:stretch>
                  </pic:blipFill>
                  <pic:spPr>
                    <a:xfrm>
                      <a:off x="0" y="0"/>
                      <a:ext cx="5184775" cy="7429500"/>
                    </a:xfrm>
                    <a:prstGeom prst="rect">
                      <a:avLst/>
                    </a:prstGeom>
                    <a:noFill/>
                    <a:ln w="9525" algn="ctr">
                      <a:noFill/>
                      <a:miter lim="800000"/>
                      <a:headEnd/>
                      <a:tailEnd/>
                    </a:ln>
                    <a:effectLst/>
                  </pic:spPr>
                </pic:pic>
              </a:graphicData>
            </a:graphic>
          </wp:anchor>
        </w:drawing>
      </w:r>
      <w:r>
        <w:rPr>
          <w:rFonts w:hint="eastAsia" w:ascii="宋体" w:hAnsi="宋体"/>
          <w:sz w:val="30"/>
          <w:szCs w:val="30"/>
        </w:rPr>
        <w:t>青菜加工应先解捆，摘去黄叶，捡去杂物，先洗后切，做到一泡、二洗、三烫，检查不按规定操作食堂每次罚款100元；</w:t>
      </w:r>
    </w:p>
    <w:p>
      <w:pPr>
        <w:numPr>
          <w:ilvl w:val="1"/>
          <w:numId w:val="10"/>
        </w:numPr>
        <w:spacing w:line="500" w:lineRule="exact"/>
        <w:outlineLvl w:val="1"/>
        <w:rPr>
          <w:rFonts w:ascii="宋体" w:hAnsi="宋体"/>
          <w:sz w:val="30"/>
          <w:szCs w:val="30"/>
        </w:rPr>
      </w:pPr>
      <w:r>
        <w:rPr>
          <w:rFonts w:hint="eastAsia" w:ascii="宋体" w:hAnsi="宋体"/>
          <w:sz w:val="30"/>
          <w:szCs w:val="30"/>
        </w:rPr>
        <w:t>冰箱、保鲜柜按规定分类存放，不得生熟混放，防止交叉污染，检查不合格食堂每次罚款100元；</w:t>
      </w:r>
    </w:p>
    <w:p>
      <w:pPr>
        <w:numPr>
          <w:ilvl w:val="1"/>
          <w:numId w:val="10"/>
        </w:numPr>
        <w:spacing w:line="500" w:lineRule="exact"/>
        <w:outlineLvl w:val="1"/>
        <w:rPr>
          <w:rFonts w:ascii="宋体" w:hAnsi="宋体"/>
          <w:sz w:val="30"/>
          <w:szCs w:val="30"/>
        </w:rPr>
      </w:pPr>
      <w:r>
        <w:rPr>
          <w:rFonts w:hint="eastAsia" w:ascii="宋体" w:hAnsi="宋体"/>
          <w:sz w:val="30"/>
          <w:szCs w:val="30"/>
        </w:rPr>
        <w:t>鱼类加工应去鳞、去腮和内脏，清洗干净，检查不合格食堂每次罚款100元；</w:t>
      </w:r>
    </w:p>
    <w:p>
      <w:pPr>
        <w:numPr>
          <w:ilvl w:val="1"/>
          <w:numId w:val="10"/>
        </w:numPr>
        <w:spacing w:line="500" w:lineRule="exact"/>
        <w:outlineLvl w:val="1"/>
        <w:rPr>
          <w:rFonts w:ascii="宋体" w:hAnsi="宋体"/>
          <w:sz w:val="30"/>
          <w:szCs w:val="30"/>
        </w:rPr>
      </w:pPr>
      <w:r>
        <w:rPr>
          <w:rFonts w:hint="eastAsia" w:ascii="宋体" w:hAnsi="宋体"/>
          <w:sz w:val="30"/>
          <w:szCs w:val="30"/>
        </w:rPr>
        <w:t>食品加工，调味不按规定在操作台上操作，盛盆放在地上操作的食堂，发现每次罚款100元；</w:t>
      </w:r>
    </w:p>
    <w:p>
      <w:pPr>
        <w:numPr>
          <w:ilvl w:val="1"/>
          <w:numId w:val="10"/>
        </w:numPr>
        <w:spacing w:line="500" w:lineRule="exact"/>
        <w:outlineLvl w:val="1"/>
        <w:rPr>
          <w:rFonts w:ascii="宋体" w:hAnsi="宋体"/>
          <w:sz w:val="30"/>
          <w:szCs w:val="30"/>
        </w:rPr>
      </w:pPr>
      <w:r>
        <w:rPr>
          <w:rFonts w:hint="eastAsia" w:ascii="宋体" w:hAnsi="宋体"/>
          <w:sz w:val="30"/>
          <w:szCs w:val="30"/>
        </w:rPr>
        <w:t>加工好的肉类，青菜烹饪前应存放在层架上，盛装加工好的肉类，青菜的器具不准落地。不按规定的食堂检查发现每次罚款100元；</w:t>
      </w:r>
    </w:p>
    <w:p>
      <w:pPr>
        <w:numPr>
          <w:ilvl w:val="1"/>
          <w:numId w:val="10"/>
        </w:numPr>
        <w:spacing w:line="500" w:lineRule="exact"/>
        <w:outlineLvl w:val="1"/>
        <w:rPr>
          <w:rFonts w:ascii="宋体" w:hAnsi="宋体"/>
          <w:sz w:val="30"/>
          <w:szCs w:val="30"/>
        </w:rPr>
      </w:pPr>
      <w:r>
        <w:rPr>
          <w:rFonts w:hint="eastAsia" w:ascii="宋体" w:hAnsi="宋体"/>
          <w:sz w:val="30"/>
          <w:szCs w:val="30"/>
        </w:rPr>
        <w:t>出售熟食品，现炒现卖的半成品应加盖，做好防蝇工作，检查未按规定处理的食堂，每次罚款100元；</w:t>
      </w:r>
    </w:p>
    <w:p>
      <w:pPr>
        <w:numPr>
          <w:ilvl w:val="1"/>
          <w:numId w:val="10"/>
        </w:numPr>
        <w:spacing w:line="500" w:lineRule="exact"/>
        <w:outlineLvl w:val="1"/>
        <w:rPr>
          <w:rFonts w:ascii="宋体" w:hAnsi="宋体"/>
          <w:sz w:val="30"/>
          <w:szCs w:val="30"/>
        </w:rPr>
      </w:pPr>
      <w:r>
        <w:rPr>
          <w:rFonts w:hint="eastAsia" w:ascii="宋体" w:hAnsi="宋体"/>
          <w:sz w:val="30"/>
          <w:szCs w:val="30"/>
        </w:rPr>
        <w:t>剩余食品应分类盛装，并存放保鲜柜保鲜。隔餐隔夜的剩余食品必须进行高温处理后，方可继续出售。不准出售变质变味的食品，如检查发现每次对食堂罚款200元。如学生投诉饭菜变味则按饭菜价格2倍赔偿给用餐学生，并处罚款200元；</w:t>
      </w:r>
    </w:p>
    <w:p>
      <w:pPr>
        <w:numPr>
          <w:ilvl w:val="1"/>
          <w:numId w:val="10"/>
        </w:numPr>
        <w:spacing w:line="500" w:lineRule="exact"/>
        <w:outlineLvl w:val="1"/>
        <w:rPr>
          <w:rFonts w:ascii="宋体" w:hAnsi="宋体"/>
          <w:sz w:val="30"/>
          <w:szCs w:val="30"/>
        </w:rPr>
      </w:pPr>
      <w:r>
        <w:rPr>
          <w:rFonts w:hint="eastAsia" w:ascii="宋体" w:hAnsi="宋体"/>
          <w:sz w:val="30"/>
          <w:szCs w:val="30"/>
        </w:rPr>
        <w:t>必须采用新鲜洁净的原料，使用的调味品、食品添加剂和辅料必须符合卫生标准。不准出售对人体有害的食品，检查发现将报送市卫生防疫部门鉴定处理，鉴定费用由承包者支付，并对食堂罚款500元。</w:t>
      </w:r>
    </w:p>
    <w:p>
      <w:pPr>
        <w:numPr>
          <w:ilvl w:val="1"/>
          <w:numId w:val="10"/>
        </w:numPr>
        <w:spacing w:line="500" w:lineRule="exact"/>
        <w:outlineLvl w:val="1"/>
        <w:rPr>
          <w:rFonts w:ascii="宋体" w:hAnsi="宋体"/>
          <w:sz w:val="30"/>
          <w:szCs w:val="30"/>
        </w:rPr>
      </w:pPr>
      <w:r>
        <w:rPr>
          <w:rFonts w:hint="eastAsia" w:ascii="宋体" w:hAnsi="宋体"/>
          <w:sz w:val="30"/>
          <w:szCs w:val="30"/>
        </w:rPr>
        <w:t>食堂每餐出售的食品应按做好留样，以备查验。原则上早餐、中餐、晚餐均按售卖品种留样。食品留样保留时间48小时，每品种留样200克，违反规定每少一个品种处20元罚款。</w:t>
      </w:r>
    </w:p>
    <w:p>
      <w:pPr>
        <w:pStyle w:val="6"/>
        <w:numPr>
          <w:ilvl w:val="0"/>
          <w:numId w:val="7"/>
        </w:numPr>
        <w:spacing w:line="500" w:lineRule="exact"/>
        <w:rPr>
          <w:sz w:val="30"/>
          <w:szCs w:val="30"/>
        </w:rPr>
      </w:pPr>
      <w:r>
        <w:rPr>
          <w:rFonts w:hint="eastAsia"/>
          <w:sz w:val="30"/>
          <w:szCs w:val="30"/>
        </w:rPr>
        <w:t>食堂食品采购与储存监管细则</w:t>
      </w:r>
    </w:p>
    <w:p>
      <w:pPr>
        <w:numPr>
          <w:ilvl w:val="1"/>
          <w:numId w:val="11"/>
        </w:numPr>
        <w:spacing w:line="500" w:lineRule="exact"/>
        <w:outlineLvl w:val="1"/>
        <w:rPr>
          <w:rFonts w:ascii="宋体" w:hAnsi="宋体"/>
          <w:sz w:val="30"/>
          <w:szCs w:val="30"/>
        </w:rPr>
      </w:pPr>
      <w:r>
        <w:rPr>
          <w:rFonts w:hint="eastAsia" w:ascii="宋体" w:hAnsi="宋体"/>
          <w:sz w:val="30"/>
          <w:szCs w:val="30"/>
        </w:rPr>
        <w:t>食堂要严格把好食品采购关，在采购食品时，米、</w:t>
      </w:r>
      <w:r>
        <w:rPr>
          <w:rFonts w:ascii="宋体" w:hAnsi="宋体"/>
          <w:sz w:val="30"/>
          <w:szCs w:val="30"/>
        </w:rPr>
        <w:t>面、食用油必须是大型商场</w:t>
      </w:r>
      <w:r>
        <w:rPr>
          <w:rFonts w:hint="eastAsia" w:ascii="宋体" w:hAnsi="宋体"/>
          <w:sz w:val="30"/>
          <w:szCs w:val="30"/>
        </w:rPr>
        <w:t>或定点采购</w:t>
      </w:r>
      <w:r>
        <w:rPr>
          <w:rFonts w:ascii="宋体" w:hAnsi="宋体"/>
          <w:sz w:val="30"/>
          <w:szCs w:val="30"/>
        </w:rPr>
        <w:t>，</w:t>
      </w:r>
      <w:r>
        <w:rPr>
          <w:rFonts w:hint="eastAsia" w:ascii="宋体" w:hAnsi="宋体"/>
          <w:sz w:val="30"/>
          <w:szCs w:val="30"/>
        </w:rPr>
        <w:t>必须确认食品生产经营者持有有效的食品经营许可证，发现无食品经营许可证、无厂家，食品无生产日期和保质期的食品，一律查封销毁。并对该食堂处罚款500元；</w:t>
      </w:r>
    </w:p>
    <w:p>
      <w:pPr>
        <w:numPr>
          <w:ilvl w:val="1"/>
          <w:numId w:val="11"/>
        </w:numPr>
        <w:spacing w:line="500" w:lineRule="exact"/>
        <w:outlineLvl w:val="1"/>
        <w:rPr>
          <w:rFonts w:ascii="宋体" w:hAnsi="宋体"/>
          <w:sz w:val="30"/>
          <w:szCs w:val="30"/>
        </w:rPr>
      </w:pPr>
      <w:r>
        <w:rPr>
          <w:rFonts w:hint="eastAsia" w:ascii="宋体" w:hAnsi="宋体"/>
          <w:sz w:val="30"/>
          <w:szCs w:val="30"/>
        </w:rPr>
        <w:t>采购猪肉时，必须到政府部门批准的生猪定点屠宰厂购买，须索取兽医卫生检验单位出具检验合格证明，禁止购进有病猪肉，检查发现无检验合格或购进病猪肉的单位每次处罚款500元，并查封不合格的猪肉；</w:t>
      </w:r>
    </w:p>
    <w:p>
      <w:pPr>
        <w:numPr>
          <w:ilvl w:val="1"/>
          <w:numId w:val="11"/>
        </w:numPr>
        <w:spacing w:line="500" w:lineRule="exact"/>
        <w:outlineLvl w:val="1"/>
        <w:rPr>
          <w:rFonts w:ascii="宋体" w:hAnsi="宋体"/>
          <w:sz w:val="30"/>
          <w:szCs w:val="30"/>
        </w:rPr>
      </w:pPr>
      <w:r>
        <w:rPr>
          <w:rFonts w:ascii="宋体" w:hAnsi="宋体"/>
          <w:sz w:val="30"/>
          <w:szCs w:val="30"/>
        </w:rPr>
        <w:drawing>
          <wp:anchor distT="0" distB="0" distL="114300" distR="114300" simplePos="0" relativeHeight="251667456" behindDoc="1" locked="0" layoutInCell="1" allowOverlap="1">
            <wp:simplePos x="0" y="0"/>
            <wp:positionH relativeFrom="column">
              <wp:align>center</wp:align>
            </wp:positionH>
            <wp:positionV relativeFrom="page">
              <wp:align>center</wp:align>
            </wp:positionV>
            <wp:extent cx="5184775" cy="7429500"/>
            <wp:effectExtent l="19050" t="0" r="0" b="0"/>
            <wp:wrapNone/>
            <wp:docPr id="45" name="图片 45" descr="1117341030_1099840480_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117341030_1099840480_stu"/>
                    <pic:cNvPicPr preferRelativeResize="0">
                      <a:picLocks noChangeAspect="1" noChangeArrowheads="1"/>
                    </pic:cNvPicPr>
                  </pic:nvPicPr>
                  <pic:blipFill>
                    <a:blip r:embed="rId7" cstate="print">
                      <a:lum bright="94000"/>
                    </a:blip>
                    <a:srcRect/>
                    <a:stretch>
                      <a:fillRect/>
                    </a:stretch>
                  </pic:blipFill>
                  <pic:spPr>
                    <a:xfrm>
                      <a:off x="0" y="0"/>
                      <a:ext cx="5184775" cy="7429500"/>
                    </a:xfrm>
                    <a:prstGeom prst="rect">
                      <a:avLst/>
                    </a:prstGeom>
                    <a:noFill/>
                    <a:ln w="9525" algn="ctr">
                      <a:noFill/>
                      <a:miter lim="800000"/>
                      <a:headEnd/>
                      <a:tailEnd/>
                    </a:ln>
                    <a:effectLst/>
                  </pic:spPr>
                </pic:pic>
              </a:graphicData>
            </a:graphic>
          </wp:anchor>
        </w:drawing>
      </w:r>
      <w:r>
        <w:rPr>
          <w:rFonts w:hint="eastAsia" w:ascii="宋体" w:hAnsi="宋体"/>
          <w:sz w:val="30"/>
          <w:szCs w:val="30"/>
        </w:rPr>
        <w:t>采购禽肉类原料时，必须索取兽医卫生检验单位出具检验合格证明，禁止购进有病禽类，检查发现无检验合格或购进病禽类的单位每次处罚款500元，并查封不合格的禽类；</w:t>
      </w:r>
    </w:p>
    <w:p>
      <w:pPr>
        <w:numPr>
          <w:ilvl w:val="1"/>
          <w:numId w:val="11"/>
        </w:numPr>
        <w:spacing w:line="500" w:lineRule="exact"/>
        <w:outlineLvl w:val="1"/>
        <w:rPr>
          <w:rFonts w:ascii="宋体" w:hAnsi="宋体"/>
          <w:sz w:val="30"/>
          <w:szCs w:val="30"/>
        </w:rPr>
      </w:pPr>
      <w:r>
        <w:rPr>
          <w:rFonts w:hint="eastAsia" w:ascii="宋体" w:hAnsi="宋体"/>
          <w:sz w:val="30"/>
          <w:szCs w:val="30"/>
        </w:rPr>
        <w:t>禁止采购腐烂变质、酸败、污秽不洁、混有异物或其他感官性状异常；含有毒、有害物质或者被污染的物质；未经兽医检验或者检验不合格的肉类及其制品；超过保质期、对人体健康有害的食品。检查发现每次对食堂处罚款1000元，并查封、销毁不合格产品；</w:t>
      </w:r>
    </w:p>
    <w:p>
      <w:pPr>
        <w:numPr>
          <w:ilvl w:val="1"/>
          <w:numId w:val="11"/>
        </w:numPr>
        <w:spacing w:line="500" w:lineRule="exact"/>
        <w:outlineLvl w:val="1"/>
        <w:rPr>
          <w:rFonts w:ascii="宋体" w:hAnsi="宋体"/>
          <w:sz w:val="30"/>
          <w:szCs w:val="30"/>
        </w:rPr>
      </w:pPr>
      <w:r>
        <w:rPr>
          <w:rFonts w:hint="eastAsia" w:ascii="宋体" w:hAnsi="宋体"/>
          <w:sz w:val="30"/>
          <w:szCs w:val="30"/>
        </w:rPr>
        <w:t>购进食品原料时，应按要求进行索证登记，注明生产厂家，生产日期及保质期和进货量做到先进先用，保证食品原料不变质，未按规定进行登记的食堂检查发现每次处罚款100元；</w:t>
      </w:r>
    </w:p>
    <w:p>
      <w:pPr>
        <w:numPr>
          <w:ilvl w:val="1"/>
          <w:numId w:val="11"/>
        </w:numPr>
        <w:spacing w:line="500" w:lineRule="exact"/>
        <w:outlineLvl w:val="1"/>
        <w:rPr>
          <w:rFonts w:ascii="宋体" w:hAnsi="宋体"/>
          <w:sz w:val="30"/>
          <w:szCs w:val="30"/>
        </w:rPr>
      </w:pPr>
      <w:r>
        <w:rPr>
          <w:rFonts w:hint="eastAsia" w:ascii="宋体" w:hAnsi="宋体"/>
          <w:sz w:val="30"/>
          <w:szCs w:val="30"/>
        </w:rPr>
        <w:t>每批购进的大米、面粉、食油等主要原料，均按批次留样品并标明日期，以备检验，每批每种留样不少于200克，未留样的食堂每次处罚款200元；</w:t>
      </w:r>
    </w:p>
    <w:p>
      <w:pPr>
        <w:numPr>
          <w:ilvl w:val="1"/>
          <w:numId w:val="11"/>
        </w:numPr>
        <w:spacing w:line="500" w:lineRule="exact"/>
        <w:outlineLvl w:val="1"/>
        <w:rPr>
          <w:rFonts w:ascii="宋体" w:hAnsi="宋体"/>
          <w:sz w:val="30"/>
          <w:szCs w:val="30"/>
        </w:rPr>
      </w:pPr>
      <w:r>
        <w:rPr>
          <w:rFonts w:hint="eastAsia" w:ascii="宋体" w:hAnsi="宋体"/>
          <w:sz w:val="30"/>
          <w:szCs w:val="30"/>
        </w:rPr>
        <w:t>不得采购腐烂变质青菜和发芽马铃薯，要同固定经营单位采购蔬菜，防止带有农药蔬菜进入食堂，青菜每批应进行农药测试检验。不按规定进行农药残留检测的，每次对食堂罚款200元；</w:t>
      </w:r>
    </w:p>
    <w:p>
      <w:pPr>
        <w:numPr>
          <w:ilvl w:val="1"/>
          <w:numId w:val="11"/>
        </w:numPr>
        <w:spacing w:line="500" w:lineRule="exact"/>
        <w:outlineLvl w:val="1"/>
        <w:rPr>
          <w:rFonts w:ascii="宋体" w:hAnsi="宋体"/>
          <w:sz w:val="30"/>
          <w:szCs w:val="30"/>
        </w:rPr>
      </w:pPr>
      <w:r>
        <w:rPr>
          <w:rFonts w:hint="eastAsia" w:ascii="宋体" w:hAnsi="宋体"/>
          <w:sz w:val="30"/>
          <w:szCs w:val="30"/>
        </w:rPr>
        <w:t>主食、副食品要做好储存工作，主食储存要做到离地、离墙，副食品储存要做到分类上架存放。做好防鼠工作，检查未按规定储存保管的，每次罚款100元；</w:t>
      </w:r>
    </w:p>
    <w:p>
      <w:pPr>
        <w:numPr>
          <w:ilvl w:val="1"/>
          <w:numId w:val="11"/>
        </w:numPr>
        <w:spacing w:line="500" w:lineRule="exact"/>
        <w:outlineLvl w:val="1"/>
        <w:rPr>
          <w:rFonts w:ascii="宋体" w:hAnsi="宋体"/>
          <w:sz w:val="30"/>
          <w:szCs w:val="30"/>
        </w:rPr>
      </w:pPr>
      <w:r>
        <w:rPr>
          <w:rFonts w:hint="eastAsia" w:ascii="宋体" w:hAnsi="宋体"/>
          <w:sz w:val="30"/>
          <w:szCs w:val="30"/>
        </w:rPr>
        <w:t>熟食类食品不准从外面采购，必须由本食堂自己加工制作，违反规定者罚款200元，并没收所有熟食品。</w:t>
      </w:r>
    </w:p>
    <w:p>
      <w:pPr>
        <w:pStyle w:val="6"/>
        <w:numPr>
          <w:ilvl w:val="0"/>
          <w:numId w:val="7"/>
        </w:numPr>
        <w:spacing w:line="500" w:lineRule="exact"/>
        <w:rPr>
          <w:sz w:val="30"/>
          <w:szCs w:val="30"/>
        </w:rPr>
      </w:pPr>
      <w:r>
        <w:rPr>
          <w:rFonts w:hint="eastAsia"/>
          <w:sz w:val="30"/>
          <w:szCs w:val="30"/>
        </w:rPr>
        <w:t>饮食从业人员卫生监管细则</w:t>
      </w:r>
    </w:p>
    <w:p>
      <w:pPr>
        <w:numPr>
          <w:ilvl w:val="1"/>
          <w:numId w:val="12"/>
        </w:numPr>
        <w:spacing w:line="500" w:lineRule="exact"/>
        <w:outlineLvl w:val="1"/>
        <w:rPr>
          <w:rFonts w:ascii="宋体" w:hAnsi="宋体"/>
          <w:sz w:val="30"/>
          <w:szCs w:val="30"/>
        </w:rPr>
      </w:pPr>
      <w:r>
        <w:rPr>
          <w:rFonts w:hint="eastAsia" w:ascii="宋体" w:hAnsi="宋体"/>
          <w:sz w:val="30"/>
          <w:szCs w:val="30"/>
        </w:rPr>
        <w:t>食堂从业人员应按规定进行体检，取得“从业人员健康证明”，并经卫生知识培训合格后方可上岗。检查未经体检上岗的，每人次对食堂罚款100元；</w:t>
      </w:r>
    </w:p>
    <w:p>
      <w:pPr>
        <w:numPr>
          <w:ilvl w:val="1"/>
          <w:numId w:val="12"/>
        </w:numPr>
        <w:spacing w:line="500" w:lineRule="exact"/>
        <w:outlineLvl w:val="1"/>
        <w:rPr>
          <w:rFonts w:ascii="宋体" w:hAnsi="宋体"/>
          <w:sz w:val="30"/>
          <w:szCs w:val="30"/>
        </w:rPr>
      </w:pPr>
      <w:r>
        <w:rPr>
          <w:rFonts w:hint="eastAsia" w:ascii="宋体" w:hAnsi="宋体"/>
          <w:sz w:val="30"/>
          <w:szCs w:val="30"/>
        </w:rPr>
        <w:t>食堂从业人员应按规定每年进行体检一次，凡体检不合格人员不准继续从事饮食工作，检查留用体检不合格人员，每人次对食堂罚款200元；</w:t>
      </w:r>
    </w:p>
    <w:p>
      <w:pPr>
        <w:numPr>
          <w:ilvl w:val="1"/>
          <w:numId w:val="12"/>
        </w:numPr>
        <w:spacing w:line="500" w:lineRule="exact"/>
        <w:outlineLvl w:val="1"/>
        <w:rPr>
          <w:rFonts w:ascii="宋体" w:hAnsi="宋体"/>
          <w:sz w:val="30"/>
          <w:szCs w:val="30"/>
        </w:rPr>
      </w:pPr>
      <w:r>
        <w:rPr>
          <w:rFonts w:hint="eastAsia" w:ascii="宋体" w:hAnsi="宋体"/>
          <w:sz w:val="30"/>
          <w:szCs w:val="30"/>
        </w:rPr>
        <w:t>食堂从业人员在工作期间患有痢疾，伤寒，病毒性肝炎，活动性肺结核，化脓性或渗出性皮肤病以及有碍于食品卫生疾病的，应立即解聘。如留用每人次对食堂罚款200元；</w:t>
      </w:r>
    </w:p>
    <w:p>
      <w:pPr>
        <w:numPr>
          <w:ilvl w:val="1"/>
          <w:numId w:val="12"/>
        </w:numPr>
        <w:spacing w:line="500" w:lineRule="exact"/>
        <w:outlineLvl w:val="1"/>
        <w:rPr>
          <w:rFonts w:ascii="宋体" w:hAnsi="宋体"/>
          <w:sz w:val="30"/>
          <w:szCs w:val="30"/>
        </w:rPr>
      </w:pPr>
      <w:r>
        <w:rPr>
          <w:rFonts w:ascii="宋体" w:hAnsi="宋体"/>
          <w:sz w:val="30"/>
          <w:szCs w:val="30"/>
        </w:rPr>
        <w:drawing>
          <wp:anchor distT="0" distB="0" distL="114300" distR="114300" simplePos="0" relativeHeight="251668480" behindDoc="1" locked="0" layoutInCell="1" allowOverlap="1">
            <wp:simplePos x="0" y="0"/>
            <wp:positionH relativeFrom="column">
              <wp:align>center</wp:align>
            </wp:positionH>
            <wp:positionV relativeFrom="page">
              <wp:align>center</wp:align>
            </wp:positionV>
            <wp:extent cx="5184775" cy="7429500"/>
            <wp:effectExtent l="19050" t="0" r="0" b="0"/>
            <wp:wrapNone/>
            <wp:docPr id="46" name="图片 46" descr="1117341030_1099840480_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1117341030_1099840480_stu"/>
                    <pic:cNvPicPr preferRelativeResize="0">
                      <a:picLocks noChangeAspect="1" noChangeArrowheads="1"/>
                    </pic:cNvPicPr>
                  </pic:nvPicPr>
                  <pic:blipFill>
                    <a:blip r:embed="rId7" cstate="print">
                      <a:lum bright="94000"/>
                    </a:blip>
                    <a:srcRect/>
                    <a:stretch>
                      <a:fillRect/>
                    </a:stretch>
                  </pic:blipFill>
                  <pic:spPr>
                    <a:xfrm>
                      <a:off x="0" y="0"/>
                      <a:ext cx="5184775" cy="7429500"/>
                    </a:xfrm>
                    <a:prstGeom prst="rect">
                      <a:avLst/>
                    </a:prstGeom>
                    <a:noFill/>
                    <a:ln w="9525" algn="ctr">
                      <a:noFill/>
                      <a:miter lim="800000"/>
                      <a:headEnd/>
                      <a:tailEnd/>
                    </a:ln>
                    <a:effectLst/>
                  </pic:spPr>
                </pic:pic>
              </a:graphicData>
            </a:graphic>
          </wp:anchor>
        </w:drawing>
      </w:r>
      <w:r>
        <w:rPr>
          <w:rFonts w:hint="eastAsia" w:ascii="宋体" w:hAnsi="宋体"/>
          <w:sz w:val="30"/>
          <w:szCs w:val="30"/>
        </w:rPr>
        <w:t>食堂从业人员在工作期间出现咳嗽，腹泻，发热，呕吐等病症时，应立即脱离岗位，待查明病因，排除有碍食品卫生的病症或治愈后，方可重新上岗。检查未按规定处理，每人次对食堂罚款200元；</w:t>
      </w:r>
    </w:p>
    <w:p>
      <w:pPr>
        <w:numPr>
          <w:ilvl w:val="1"/>
          <w:numId w:val="12"/>
        </w:numPr>
        <w:spacing w:line="500" w:lineRule="exact"/>
        <w:outlineLvl w:val="1"/>
        <w:rPr>
          <w:rFonts w:ascii="宋体" w:hAnsi="宋体"/>
          <w:sz w:val="30"/>
          <w:szCs w:val="30"/>
        </w:rPr>
      </w:pPr>
      <w:r>
        <w:rPr>
          <w:rFonts w:hint="eastAsia" w:ascii="宋体" w:hAnsi="宋体"/>
          <w:sz w:val="30"/>
          <w:szCs w:val="30"/>
        </w:rPr>
        <w:t>食堂从业人员应按《食品卫生》有关规定，上班前洗手，便后洗手，上岗穿工作服、戴工作帽、出售食品时应戴口罩。检查上岗不穿工作服戴、工作帽、出售食品时不戴口罩，每人次对食堂罚款20元；</w:t>
      </w:r>
    </w:p>
    <w:p>
      <w:pPr>
        <w:numPr>
          <w:ilvl w:val="1"/>
          <w:numId w:val="12"/>
        </w:numPr>
        <w:spacing w:line="500" w:lineRule="exact"/>
        <w:outlineLvl w:val="1"/>
        <w:rPr>
          <w:rFonts w:ascii="宋体" w:hAnsi="宋体"/>
          <w:sz w:val="30"/>
          <w:szCs w:val="30"/>
        </w:rPr>
      </w:pPr>
      <w:r>
        <w:rPr>
          <w:rFonts w:hint="eastAsia" w:ascii="宋体" w:hAnsi="宋体"/>
          <w:sz w:val="30"/>
          <w:szCs w:val="30"/>
        </w:rPr>
        <w:t>食堂从业人员应按《食品卫生法》的规定，上岗不准涂指甲油，戴介指，戴手表。检查发现每人次对食堂罚款20元；</w:t>
      </w:r>
    </w:p>
    <w:p>
      <w:pPr>
        <w:numPr>
          <w:ilvl w:val="1"/>
          <w:numId w:val="12"/>
        </w:numPr>
        <w:spacing w:line="500" w:lineRule="exact"/>
        <w:outlineLvl w:val="1"/>
        <w:rPr>
          <w:rFonts w:ascii="宋体" w:hAnsi="宋体"/>
          <w:sz w:val="30"/>
          <w:szCs w:val="30"/>
        </w:rPr>
      </w:pPr>
      <w:r>
        <w:rPr>
          <w:rFonts w:hint="eastAsia" w:ascii="宋体" w:hAnsi="宋体"/>
          <w:sz w:val="30"/>
          <w:szCs w:val="30"/>
        </w:rPr>
        <w:t>食堂从业人员不得留长指甲，留长头发，工作服、工作帽要整洁卫生，检查不合格每人次对食堂罚款20元；</w:t>
      </w:r>
    </w:p>
    <w:p>
      <w:pPr>
        <w:numPr>
          <w:ilvl w:val="1"/>
          <w:numId w:val="12"/>
        </w:numPr>
        <w:spacing w:line="500" w:lineRule="exact"/>
        <w:outlineLvl w:val="1"/>
        <w:rPr>
          <w:rFonts w:ascii="宋体" w:hAnsi="宋体"/>
          <w:sz w:val="30"/>
          <w:szCs w:val="30"/>
        </w:rPr>
      </w:pPr>
      <w:r>
        <w:rPr>
          <w:rFonts w:hint="eastAsia" w:ascii="宋体" w:hAnsi="宋体"/>
          <w:sz w:val="30"/>
          <w:szCs w:val="30"/>
        </w:rPr>
        <w:t>食堂从业人员不得在厨房内洗衣服、洗澡和从事有影响饮食卫生的活动。检查发现每人次对食堂罚款100元；</w:t>
      </w:r>
    </w:p>
    <w:p>
      <w:pPr>
        <w:numPr>
          <w:ilvl w:val="1"/>
          <w:numId w:val="12"/>
        </w:numPr>
        <w:spacing w:line="500" w:lineRule="exact"/>
        <w:outlineLvl w:val="1"/>
        <w:rPr>
          <w:rFonts w:ascii="宋体" w:hAnsi="宋体"/>
          <w:sz w:val="30"/>
          <w:szCs w:val="30"/>
        </w:rPr>
      </w:pPr>
      <w:r>
        <w:rPr>
          <w:rFonts w:hint="eastAsia" w:ascii="宋体" w:hAnsi="宋体"/>
          <w:sz w:val="30"/>
          <w:szCs w:val="30"/>
        </w:rPr>
        <w:t>食堂人员在加工食品或出售食品时抽烟，发现每人次对食堂罚款100元。</w:t>
      </w:r>
    </w:p>
    <w:p>
      <w:pPr>
        <w:numPr>
          <w:ilvl w:val="1"/>
          <w:numId w:val="12"/>
        </w:numPr>
        <w:spacing w:line="500" w:lineRule="exact"/>
        <w:outlineLvl w:val="1"/>
        <w:rPr>
          <w:rFonts w:ascii="宋体" w:hAnsi="宋体"/>
          <w:sz w:val="30"/>
          <w:szCs w:val="30"/>
        </w:rPr>
      </w:pPr>
      <w:r>
        <w:rPr>
          <w:rFonts w:hint="eastAsia" w:ascii="宋体" w:hAnsi="宋体"/>
          <w:sz w:val="30"/>
          <w:szCs w:val="30"/>
        </w:rPr>
        <w:t>食堂从业人员上班实行二次更衣制度，加工食品时穿加工专用工作服，出售食品时穿出售食品专用工作服。违反规定每人次处罚款50元。</w:t>
      </w:r>
    </w:p>
    <w:p>
      <w:pPr>
        <w:pStyle w:val="6"/>
        <w:numPr>
          <w:ilvl w:val="0"/>
          <w:numId w:val="7"/>
        </w:numPr>
        <w:spacing w:line="500" w:lineRule="exact"/>
        <w:rPr>
          <w:sz w:val="30"/>
          <w:szCs w:val="30"/>
        </w:rPr>
      </w:pPr>
      <w:r>
        <w:rPr>
          <w:rFonts w:hint="eastAsia"/>
          <w:sz w:val="30"/>
          <w:szCs w:val="30"/>
        </w:rPr>
        <w:t>服务态度，饮食质量监管细则</w:t>
      </w:r>
    </w:p>
    <w:p>
      <w:pPr>
        <w:numPr>
          <w:ilvl w:val="1"/>
          <w:numId w:val="13"/>
        </w:numPr>
        <w:spacing w:line="500" w:lineRule="exact"/>
        <w:outlineLvl w:val="1"/>
        <w:rPr>
          <w:rFonts w:ascii="宋体" w:hAnsi="宋体"/>
          <w:sz w:val="30"/>
          <w:szCs w:val="30"/>
        </w:rPr>
      </w:pPr>
      <w:r>
        <w:rPr>
          <w:rFonts w:hint="eastAsia" w:ascii="宋体" w:hAnsi="宋体"/>
          <w:sz w:val="30"/>
          <w:szCs w:val="30"/>
        </w:rPr>
        <w:t>食堂未及时答复用餐者反映的意见和要求的，未及时进行整改和不落实的，每人次处罚款50元；</w:t>
      </w:r>
    </w:p>
    <w:p>
      <w:pPr>
        <w:numPr>
          <w:ilvl w:val="1"/>
          <w:numId w:val="13"/>
        </w:numPr>
        <w:spacing w:line="500" w:lineRule="exact"/>
        <w:outlineLvl w:val="1"/>
        <w:rPr>
          <w:rFonts w:ascii="宋体" w:hAnsi="宋体"/>
          <w:sz w:val="30"/>
          <w:szCs w:val="30"/>
        </w:rPr>
      </w:pPr>
      <w:r>
        <w:rPr>
          <w:rFonts w:hint="eastAsia" w:ascii="宋体" w:hAnsi="宋体"/>
          <w:sz w:val="30"/>
          <w:szCs w:val="30"/>
        </w:rPr>
        <w:t>开餐时，说话不文明，态度生硬，师生投诉的，每项每次对食堂罚款100元。情节严重的，应立即辞退肇事人；</w:t>
      </w:r>
    </w:p>
    <w:p>
      <w:pPr>
        <w:numPr>
          <w:ilvl w:val="1"/>
          <w:numId w:val="13"/>
        </w:numPr>
        <w:spacing w:line="500" w:lineRule="exact"/>
        <w:outlineLvl w:val="1"/>
        <w:rPr>
          <w:rFonts w:ascii="宋体" w:hAnsi="宋体"/>
          <w:sz w:val="30"/>
          <w:szCs w:val="30"/>
        </w:rPr>
      </w:pPr>
      <w:r>
        <w:rPr>
          <w:rFonts w:hint="eastAsia" w:ascii="宋体" w:hAnsi="宋体"/>
          <w:sz w:val="30"/>
          <w:szCs w:val="30"/>
        </w:rPr>
        <w:t>开餐时与用餐学生吵嘴，骂用餐学生每人次对食堂罚款200元。开餐时与用餐学生打架每人次对食堂罚款500元，打伤用餐学生的应赔偿医药费，情节严重的送公安部门处理。</w:t>
      </w:r>
    </w:p>
    <w:p>
      <w:pPr>
        <w:numPr>
          <w:ilvl w:val="1"/>
          <w:numId w:val="13"/>
        </w:numPr>
        <w:spacing w:line="500" w:lineRule="exact"/>
        <w:outlineLvl w:val="1"/>
        <w:rPr>
          <w:rFonts w:ascii="宋体" w:hAnsi="宋体"/>
          <w:sz w:val="30"/>
          <w:szCs w:val="30"/>
        </w:rPr>
      </w:pPr>
      <w:r>
        <w:rPr>
          <w:rFonts w:hint="eastAsia" w:ascii="宋体" w:hAnsi="宋体"/>
          <w:sz w:val="30"/>
          <w:szCs w:val="30"/>
        </w:rPr>
        <w:t>出售夹生饭，变质变味食品的，每项每次对食堂罚款200元；</w:t>
      </w:r>
    </w:p>
    <w:p>
      <w:pPr>
        <w:numPr>
          <w:ilvl w:val="1"/>
          <w:numId w:val="13"/>
        </w:numPr>
        <w:spacing w:line="500" w:lineRule="exact"/>
        <w:outlineLvl w:val="1"/>
        <w:rPr>
          <w:rFonts w:ascii="宋体" w:hAnsi="宋体"/>
          <w:sz w:val="30"/>
          <w:szCs w:val="30"/>
        </w:rPr>
      </w:pPr>
      <w:r>
        <w:rPr>
          <w:rFonts w:hint="eastAsia" w:ascii="宋体" w:hAnsi="宋体"/>
          <w:sz w:val="30"/>
          <w:szCs w:val="30"/>
        </w:rPr>
        <w:t>出售饭菜明显不够份量引发投诉的，每次对食堂罚款100元；</w:t>
      </w:r>
    </w:p>
    <w:p>
      <w:pPr>
        <w:numPr>
          <w:ilvl w:val="1"/>
          <w:numId w:val="13"/>
        </w:numPr>
        <w:spacing w:line="500" w:lineRule="exact"/>
        <w:outlineLvl w:val="1"/>
        <w:rPr>
          <w:rFonts w:ascii="宋体" w:hAnsi="宋体"/>
          <w:sz w:val="30"/>
          <w:szCs w:val="30"/>
        </w:rPr>
      </w:pPr>
      <w:r>
        <w:rPr>
          <w:rFonts w:hint="eastAsia" w:ascii="宋体" w:hAnsi="宋体"/>
          <w:sz w:val="30"/>
          <w:szCs w:val="30"/>
        </w:rPr>
        <w:t>出售的饭菜里发现有蟑螂，苍蝇或异物的，按2倍赔偿用餐学生，并对食堂处200元的罚款；</w:t>
      </w:r>
    </w:p>
    <w:p>
      <w:pPr>
        <w:numPr>
          <w:ilvl w:val="1"/>
          <w:numId w:val="13"/>
        </w:numPr>
        <w:spacing w:line="500" w:lineRule="exact"/>
        <w:outlineLvl w:val="1"/>
        <w:rPr>
          <w:rFonts w:ascii="宋体" w:hAnsi="宋体"/>
          <w:sz w:val="30"/>
          <w:szCs w:val="30"/>
        </w:rPr>
      </w:pPr>
      <w:r>
        <w:rPr>
          <w:rFonts w:ascii="宋体" w:hAnsi="宋体"/>
          <w:sz w:val="30"/>
          <w:szCs w:val="30"/>
        </w:rPr>
        <w:drawing>
          <wp:anchor distT="0" distB="0" distL="114300" distR="114300" simplePos="0" relativeHeight="251669504" behindDoc="1" locked="0" layoutInCell="1" allowOverlap="1">
            <wp:simplePos x="0" y="0"/>
            <wp:positionH relativeFrom="column">
              <wp:align>center</wp:align>
            </wp:positionH>
            <wp:positionV relativeFrom="page">
              <wp:align>center</wp:align>
            </wp:positionV>
            <wp:extent cx="5184775" cy="7429500"/>
            <wp:effectExtent l="19050" t="0" r="0" b="0"/>
            <wp:wrapNone/>
            <wp:docPr id="47" name="图片 47" descr="1117341030_1099840480_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1117341030_1099840480_stu"/>
                    <pic:cNvPicPr preferRelativeResize="0">
                      <a:picLocks noChangeAspect="1" noChangeArrowheads="1"/>
                    </pic:cNvPicPr>
                  </pic:nvPicPr>
                  <pic:blipFill>
                    <a:blip r:embed="rId7" cstate="print">
                      <a:lum bright="94000"/>
                    </a:blip>
                    <a:srcRect/>
                    <a:stretch>
                      <a:fillRect/>
                    </a:stretch>
                  </pic:blipFill>
                  <pic:spPr>
                    <a:xfrm>
                      <a:off x="0" y="0"/>
                      <a:ext cx="5184775" cy="7429500"/>
                    </a:xfrm>
                    <a:prstGeom prst="rect">
                      <a:avLst/>
                    </a:prstGeom>
                    <a:noFill/>
                    <a:ln w="9525" algn="ctr">
                      <a:noFill/>
                      <a:miter lim="800000"/>
                      <a:headEnd/>
                      <a:tailEnd/>
                    </a:ln>
                    <a:effectLst/>
                  </pic:spPr>
                </pic:pic>
              </a:graphicData>
            </a:graphic>
          </wp:anchor>
        </w:drawing>
      </w:r>
      <w:r>
        <w:rPr>
          <w:rFonts w:hint="eastAsia" w:ascii="宋体" w:hAnsi="宋体"/>
          <w:sz w:val="30"/>
          <w:szCs w:val="30"/>
        </w:rPr>
        <w:t>出售饭菜应明码标价，工作人员佩戴服务员号码牌上岗。检查无明码标价，工作人员无戴号码牌上岗，每项或每人次对食堂罚款50元；</w:t>
      </w:r>
    </w:p>
    <w:p>
      <w:pPr>
        <w:numPr>
          <w:ilvl w:val="1"/>
          <w:numId w:val="13"/>
        </w:numPr>
        <w:spacing w:line="500" w:lineRule="exact"/>
        <w:outlineLvl w:val="1"/>
        <w:rPr>
          <w:rFonts w:ascii="宋体" w:hAnsi="宋体"/>
          <w:sz w:val="30"/>
          <w:szCs w:val="30"/>
        </w:rPr>
      </w:pPr>
      <w:r>
        <w:rPr>
          <w:rFonts w:hint="eastAsia" w:ascii="宋体" w:hAnsi="宋体"/>
          <w:sz w:val="30"/>
          <w:szCs w:val="30"/>
        </w:rPr>
        <w:t>因饭菜质量问题引起学生向学校投诉，经查属实的，将视该食堂当月饭菜质量不合格的，对食堂罚款500元，并马上进行整改。整顿无明显改善将收回经营权；</w:t>
      </w:r>
    </w:p>
    <w:p>
      <w:pPr>
        <w:numPr>
          <w:ilvl w:val="1"/>
          <w:numId w:val="13"/>
        </w:numPr>
        <w:spacing w:line="500" w:lineRule="exact"/>
        <w:outlineLvl w:val="1"/>
        <w:rPr>
          <w:rFonts w:ascii="宋体" w:hAnsi="宋体"/>
          <w:sz w:val="30"/>
          <w:szCs w:val="30"/>
        </w:rPr>
      </w:pPr>
      <w:r>
        <w:rPr>
          <w:rFonts w:hint="eastAsia" w:ascii="宋体" w:hAnsi="宋体"/>
          <w:sz w:val="30"/>
          <w:szCs w:val="30"/>
        </w:rPr>
        <w:t>因饭菜质量问题引起学生不满而闹事的，报请学校终止承包合同；</w:t>
      </w:r>
    </w:p>
    <w:p>
      <w:pPr>
        <w:numPr>
          <w:ilvl w:val="1"/>
          <w:numId w:val="13"/>
        </w:numPr>
        <w:spacing w:line="500" w:lineRule="exact"/>
        <w:outlineLvl w:val="1"/>
        <w:rPr>
          <w:rFonts w:ascii="宋体" w:hAnsi="宋体"/>
          <w:sz w:val="30"/>
          <w:szCs w:val="30"/>
        </w:rPr>
      </w:pPr>
      <w:r>
        <w:rPr>
          <w:rFonts w:hint="eastAsia" w:ascii="宋体" w:hAnsi="宋体"/>
          <w:sz w:val="30"/>
          <w:szCs w:val="30"/>
        </w:rPr>
        <w:t>因食物不干净造成学生食物中毒的，立即终止该食堂的承包经营权，按卫生防疫部门规定处理，并赔偿中毒学生和学校的一切损失。并扣缴全部保证金和财产押金。</w:t>
      </w:r>
    </w:p>
    <w:p>
      <w:pPr>
        <w:pStyle w:val="6"/>
        <w:numPr>
          <w:ilvl w:val="0"/>
          <w:numId w:val="7"/>
        </w:numPr>
        <w:spacing w:line="500" w:lineRule="exact"/>
        <w:rPr>
          <w:sz w:val="30"/>
          <w:szCs w:val="30"/>
        </w:rPr>
      </w:pPr>
      <w:r>
        <w:rPr>
          <w:rFonts w:hint="eastAsia"/>
          <w:sz w:val="30"/>
          <w:szCs w:val="30"/>
        </w:rPr>
        <w:drawing>
          <wp:anchor distT="0" distB="0" distL="114300" distR="114300" simplePos="0" relativeHeight="251670528" behindDoc="1" locked="0" layoutInCell="1" allowOverlap="1">
            <wp:simplePos x="0" y="0"/>
            <wp:positionH relativeFrom="column">
              <wp:posOffset>47625</wp:posOffset>
            </wp:positionH>
            <wp:positionV relativeFrom="page">
              <wp:posOffset>1438275</wp:posOffset>
            </wp:positionV>
            <wp:extent cx="5181600" cy="7429500"/>
            <wp:effectExtent l="19050" t="0" r="0" b="0"/>
            <wp:wrapNone/>
            <wp:docPr id="48" name="图片 48" descr="1117341030_1099840480_s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1117341030_1099840480_stu"/>
                    <pic:cNvPicPr preferRelativeResize="0">
                      <a:picLocks noChangeAspect="1" noChangeArrowheads="1"/>
                    </pic:cNvPicPr>
                  </pic:nvPicPr>
                  <pic:blipFill>
                    <a:blip r:embed="rId7" cstate="print">
                      <a:lum bright="94000"/>
                    </a:blip>
                    <a:srcRect/>
                    <a:stretch>
                      <a:fillRect/>
                    </a:stretch>
                  </pic:blipFill>
                  <pic:spPr>
                    <a:xfrm>
                      <a:off x="0" y="0"/>
                      <a:ext cx="5181600" cy="7429500"/>
                    </a:xfrm>
                    <a:prstGeom prst="rect">
                      <a:avLst/>
                    </a:prstGeom>
                    <a:noFill/>
                    <a:ln w="9525" algn="ctr">
                      <a:noFill/>
                      <a:miter lim="800000"/>
                      <a:headEnd/>
                      <a:tailEnd/>
                    </a:ln>
                    <a:effectLst/>
                  </pic:spPr>
                </pic:pic>
              </a:graphicData>
            </a:graphic>
          </wp:anchor>
        </w:drawing>
      </w:r>
      <w:r>
        <w:rPr>
          <w:rFonts w:hint="eastAsia"/>
          <w:sz w:val="30"/>
          <w:szCs w:val="30"/>
        </w:rPr>
        <w:t>环保要求</w:t>
      </w:r>
    </w:p>
    <w:p>
      <w:pPr>
        <w:numPr>
          <w:ilvl w:val="1"/>
          <w:numId w:val="14"/>
        </w:numPr>
        <w:spacing w:line="500" w:lineRule="exact"/>
        <w:outlineLvl w:val="1"/>
        <w:rPr>
          <w:rFonts w:ascii="宋体" w:hAnsi="宋体"/>
          <w:sz w:val="30"/>
          <w:szCs w:val="30"/>
        </w:rPr>
      </w:pPr>
      <w:r>
        <w:rPr>
          <w:rFonts w:hint="eastAsia" w:ascii="宋体" w:hAnsi="宋体"/>
          <w:sz w:val="30"/>
          <w:szCs w:val="30"/>
        </w:rPr>
        <w:t xml:space="preserve">食堂污水排放（如洗涮用水、含磷洗洁净的使用等）应符合《污水排入城市下水道水质标准》（CJ3082-1999） </w:t>
      </w:r>
    </w:p>
    <w:p>
      <w:pPr>
        <w:numPr>
          <w:ilvl w:val="1"/>
          <w:numId w:val="14"/>
        </w:numPr>
        <w:spacing w:line="500" w:lineRule="exact"/>
        <w:outlineLvl w:val="1"/>
        <w:rPr>
          <w:rFonts w:ascii="宋体" w:hAnsi="宋体"/>
          <w:sz w:val="30"/>
          <w:szCs w:val="30"/>
        </w:rPr>
      </w:pPr>
      <w:r>
        <w:rPr>
          <w:rFonts w:hint="eastAsia" w:ascii="宋体" w:hAnsi="宋体"/>
          <w:sz w:val="30"/>
          <w:szCs w:val="30"/>
        </w:rPr>
        <w:t>食堂废气排放（如油烟排放）应符合《饮食业油烟排放标准（试行）》（GWPB5-2000）</w:t>
      </w:r>
    </w:p>
    <w:p>
      <w:pPr>
        <w:numPr>
          <w:ilvl w:val="1"/>
          <w:numId w:val="14"/>
        </w:numPr>
        <w:spacing w:line="500" w:lineRule="exact"/>
        <w:outlineLvl w:val="1"/>
        <w:rPr>
          <w:rFonts w:ascii="宋体" w:hAnsi="宋体"/>
          <w:sz w:val="30"/>
          <w:szCs w:val="30"/>
        </w:rPr>
      </w:pPr>
      <w:r>
        <w:rPr>
          <w:rFonts w:hint="eastAsia" w:ascii="宋体" w:hAnsi="宋体"/>
          <w:sz w:val="30"/>
          <w:szCs w:val="30"/>
        </w:rPr>
        <w:t xml:space="preserve">食堂产生的噪声应达《城市区域噪声标准》（GB/T14623）   </w:t>
      </w:r>
    </w:p>
    <w:p>
      <w:pPr>
        <w:numPr>
          <w:ilvl w:val="1"/>
          <w:numId w:val="14"/>
        </w:numPr>
        <w:spacing w:line="500" w:lineRule="exact"/>
        <w:outlineLvl w:val="1"/>
        <w:rPr>
          <w:rFonts w:ascii="宋体" w:hAnsi="宋体"/>
          <w:sz w:val="30"/>
          <w:szCs w:val="30"/>
        </w:rPr>
      </w:pPr>
      <w:r>
        <w:rPr>
          <w:rFonts w:hint="eastAsia" w:ascii="宋体" w:hAnsi="宋体"/>
          <w:sz w:val="30"/>
          <w:szCs w:val="30"/>
        </w:rPr>
        <w:t xml:space="preserve">食堂的固体废弃物排放应符合《中华人民共和国固体废物环境污染防治法》 </w:t>
      </w:r>
    </w:p>
    <w:p>
      <w:pPr>
        <w:spacing w:line="500" w:lineRule="exact"/>
        <w:outlineLvl w:val="1"/>
        <w:rPr>
          <w:rFonts w:ascii="宋体" w:hAnsi="宋体"/>
          <w:sz w:val="30"/>
          <w:szCs w:val="30"/>
        </w:rPr>
      </w:pPr>
    </w:p>
    <w:p>
      <w:pPr>
        <w:spacing w:line="500" w:lineRule="exact"/>
        <w:ind w:firstLine="5100" w:firstLineChars="1700"/>
        <w:outlineLvl w:val="1"/>
        <w:rPr>
          <w:rFonts w:ascii="宋体" w:hAnsi="宋体"/>
          <w:sz w:val="30"/>
          <w:szCs w:val="30"/>
        </w:rPr>
      </w:pPr>
      <w:r>
        <w:rPr>
          <w:rFonts w:hint="eastAsia" w:ascii="宋体" w:hAnsi="宋体"/>
          <w:sz w:val="30"/>
          <w:szCs w:val="30"/>
        </w:rPr>
        <w:t xml:space="preserve">汕头大学医学院     </w:t>
      </w:r>
    </w:p>
    <w:p>
      <w:pPr>
        <w:spacing w:line="500" w:lineRule="exact"/>
        <w:rPr>
          <w:sz w:val="30"/>
          <w:szCs w:val="30"/>
        </w:rPr>
      </w:pPr>
      <w:r>
        <w:rPr>
          <w:rFonts w:hint="eastAsia" w:ascii="宋体" w:hAnsi="宋体"/>
          <w:sz w:val="30"/>
          <w:szCs w:val="30"/>
        </w:rPr>
        <w:t xml:space="preserve">                                  2021年9月</w:t>
      </w:r>
      <w:r>
        <w:rPr>
          <w:rFonts w:hint="eastAsia" w:ascii="宋体" w:hAnsi="宋体"/>
          <w:sz w:val="30"/>
          <w:szCs w:val="30"/>
          <w:lang w:val="en-US" w:eastAsia="zh-CN"/>
        </w:rPr>
        <w:t>8</w:t>
      </w:r>
      <w:r>
        <w:rPr>
          <w:rFonts w:hint="eastAsia"/>
          <w:sz w:val="30"/>
          <w:szCs w:val="30"/>
        </w:rPr>
        <w:t>日</w:t>
      </w:r>
    </w:p>
    <w:p>
      <w:pPr>
        <w:spacing w:line="500" w:lineRule="exact"/>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tabs>
          <w:tab w:val="center" w:pos="4153"/>
          <w:tab w:val="right" w:pos="8306"/>
        </w:tabs>
        <w:spacing w:line="500" w:lineRule="exact"/>
        <w:jc w:val="center"/>
        <w:rPr>
          <w:rFonts w:ascii="Calibri" w:hAnsi="Calibri" w:eastAsia="宋体" w:cs="Times New Roman"/>
          <w:b/>
          <w:sz w:val="40"/>
          <w:szCs w:val="36"/>
        </w:rPr>
      </w:pPr>
      <w:r>
        <w:rPr>
          <w:rFonts w:hint="eastAsia" w:ascii="Calibri" w:hAnsi="Calibri" w:eastAsia="宋体" w:cs="Times New Roman"/>
          <w:b/>
          <w:sz w:val="40"/>
          <w:szCs w:val="36"/>
        </w:rPr>
        <w:t>汕头大学医学院食堂承包合同</w:t>
      </w:r>
    </w:p>
    <w:p>
      <w:pPr>
        <w:spacing w:line="500" w:lineRule="exact"/>
        <w:jc w:val="right"/>
        <w:rPr>
          <w:rFonts w:ascii="宋体" w:hAnsi="宋体" w:eastAsia="宋体" w:cs="Times New Roman"/>
          <w:sz w:val="30"/>
          <w:szCs w:val="30"/>
        </w:rPr>
      </w:pP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发包方： 汕头大学医学院                   (下称甲方)</w:t>
      </w:r>
    </w:p>
    <w:p>
      <w:pPr>
        <w:spacing w:line="460" w:lineRule="exact"/>
        <w:jc w:val="left"/>
        <w:rPr>
          <w:rFonts w:ascii="宋体" w:hAnsi="宋体" w:eastAsia="宋体" w:cs="Times New Roman"/>
          <w:sz w:val="30"/>
          <w:szCs w:val="30"/>
        </w:rPr>
      </w:pPr>
      <w:r>
        <w:rPr>
          <w:rFonts w:hint="eastAsia" w:ascii="宋体" w:hAnsi="宋体" w:eastAsia="宋体" w:cs="Times New Roman"/>
          <w:sz w:val="30"/>
          <w:szCs w:val="30"/>
        </w:rPr>
        <w:t xml:space="preserve">    承包方：                                  (下称乙方)</w:t>
      </w:r>
    </w:p>
    <w:p>
      <w:pPr>
        <w:spacing w:line="460" w:lineRule="exact"/>
        <w:jc w:val="left"/>
        <w:rPr>
          <w:rFonts w:ascii="宋体" w:hAnsi="宋体" w:eastAsia="宋体" w:cs="Times New Roman"/>
          <w:sz w:val="30"/>
          <w:szCs w:val="30"/>
        </w:rPr>
      </w:pPr>
      <w:r>
        <w:rPr>
          <w:rFonts w:hint="eastAsia" w:ascii="宋体" w:hAnsi="宋体" w:eastAsia="宋体" w:cs="Times New Roman"/>
          <w:sz w:val="30"/>
          <w:szCs w:val="30"/>
        </w:rPr>
        <w:t xml:space="preserve">    根据《民法典》《汕头大学医学院采购与招投标管理办法》等规定，通过公开招投标、评标、资质信誉审查等程序，现甲方决定由中标单位(人)</w:t>
      </w:r>
      <w:r>
        <w:rPr>
          <w:rFonts w:hint="eastAsia" w:ascii="宋体" w:hAnsi="宋体" w:eastAsia="宋体" w:cs="Times New Roman"/>
          <w:sz w:val="30"/>
          <w:szCs w:val="30"/>
          <w:u w:val="single"/>
        </w:rPr>
        <w:t xml:space="preserve">                      </w:t>
      </w:r>
      <w:r>
        <w:rPr>
          <w:rFonts w:hint="eastAsia" w:ascii="宋体" w:hAnsi="宋体" w:eastAsia="宋体" w:cs="Times New Roman"/>
          <w:sz w:val="30"/>
          <w:szCs w:val="30"/>
        </w:rPr>
        <w:t>承包经营汕头大学医学院学生食堂。为明确双方的权利与义务，经双方协商一致，订立本合同，供双方共同遵守执行。</w:t>
      </w:r>
    </w:p>
    <w:p>
      <w:pPr>
        <w:spacing w:line="460" w:lineRule="exact"/>
        <w:jc w:val="left"/>
        <w:rPr>
          <w:rFonts w:ascii="宋体" w:hAnsi="宋体" w:eastAsia="宋体" w:cs="Times New Roman"/>
          <w:b/>
          <w:sz w:val="30"/>
          <w:szCs w:val="30"/>
        </w:rPr>
      </w:pPr>
      <w:r>
        <w:rPr>
          <w:rFonts w:hint="eastAsia" w:ascii="宋体" w:hAnsi="宋体" w:eastAsia="宋体" w:cs="Times New Roman"/>
          <w:sz w:val="30"/>
          <w:szCs w:val="30"/>
        </w:rPr>
        <w:t xml:space="preserve"> </w:t>
      </w:r>
      <w:r>
        <w:rPr>
          <w:rFonts w:hint="eastAsia" w:ascii="宋体" w:hAnsi="宋体" w:eastAsia="宋体" w:cs="Times New Roman"/>
          <w:b/>
          <w:sz w:val="30"/>
          <w:szCs w:val="30"/>
        </w:rPr>
        <w:t>一、甲方的义务与权利</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1．甲方向乙方提供</w:t>
      </w:r>
      <w:r>
        <w:rPr>
          <w:rFonts w:hint="eastAsia" w:ascii="宋体" w:hAnsi="宋体" w:eastAsia="宋体" w:cs="Times New Roman"/>
          <w:sz w:val="30"/>
          <w:szCs w:val="30"/>
          <w:u w:val="single"/>
        </w:rPr>
        <w:t xml:space="preserve">  汕头大学医学院学生食堂（以下简称食堂）  </w:t>
      </w:r>
      <w:r>
        <w:rPr>
          <w:rFonts w:hint="eastAsia" w:ascii="宋体" w:hAnsi="宋体" w:eastAsia="宋体" w:cs="Times New Roman"/>
          <w:sz w:val="30"/>
          <w:szCs w:val="30"/>
        </w:rPr>
        <w:t>的承包经营场所，建筑面积约</w:t>
      </w:r>
      <w:r>
        <w:rPr>
          <w:rFonts w:hint="eastAsia" w:ascii="宋体" w:hAnsi="宋体" w:eastAsia="宋体" w:cs="Times New Roman"/>
          <w:sz w:val="30"/>
          <w:szCs w:val="30"/>
          <w:u w:val="single"/>
        </w:rPr>
        <w:t xml:space="preserve">  1350 </w:t>
      </w:r>
      <w:r>
        <w:rPr>
          <w:rFonts w:hint="eastAsia" w:ascii="宋体" w:hAnsi="宋体" w:eastAsia="宋体" w:cs="Times New Roman"/>
          <w:sz w:val="30"/>
          <w:szCs w:val="30"/>
        </w:rPr>
        <w:t>平方米；甲方同时向乙方提供本经营场所现有的设备、厨具及其它用具。（清单</w:t>
      </w:r>
      <w:r>
        <w:rPr>
          <w:rFonts w:ascii="宋体" w:hAnsi="宋体" w:eastAsia="宋体" w:cs="Times New Roman"/>
          <w:sz w:val="30"/>
          <w:szCs w:val="30"/>
        </w:rPr>
        <w:t>见附件）</w:t>
      </w:r>
      <w:r>
        <w:rPr>
          <w:rFonts w:hint="eastAsia" w:ascii="宋体" w:hAnsi="宋体" w:eastAsia="宋体" w:cs="Times New Roman"/>
          <w:sz w:val="30"/>
          <w:szCs w:val="30"/>
        </w:rPr>
        <w:t>以及学生生活配套服务点（原小卖部，约10平方米）。</w:t>
      </w: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 甲方向乙方提供的承包经营场所及所有物品，乙方在承包经营期间，应负责妥善管理并按规程做好保养、规范操作使用。正常情况下的维护、维修费用从甲方食堂维修基金支付，如属乙方保养不规范或使用不当造成的维修，费用由乙方承担。在承包经营期满后，乙方应将所有物品、设备归还甲方。在归还时，如有损坏或丢失的，乙方应作价赔偿甲方。</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3．甲方为乙方的经营提供正常的水电供应，乙方经营的水电费等有关的费用由乙方自负。雇用的员工安排及设备配置使用由乙方自己负责，但必须符合相关消防安全、人员雇用等法律法规的相关要求。</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4. 在承包经营期间，乙方必须使用汕头大学网络中心的“一卡通”收银系统的服务，由甲方为乙方提供“一卡通”收银机，汕头大学网络中心提供收银系统的使用、管理、维修及收结帐服务。乙方租用的“一卡通”收银机，每月每台的租金为人民币50元,全年缴交的月数为10个月，乙方应在次月10日之前将上个月的租金以及其它应交款一并缴交汕头大学财务处。在乙方租用“一卡通”收银机期间，若收银机出现人为损坏的，其维修费用由乙方负责。</w:t>
      </w: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5. 食堂的经营时间为：早餐：6：50―8：50； 午餐：11：00―13：00；晚餐：17：00―19：00；学生生活配套服务点（小卖部）的服务时间为：上午7:00-13:00  下午 15:30-22:30。</w:t>
      </w: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6.汕头大学网络中心每月为乙方结算“一卡通”收银系统回收的营业款，根据乙方营业额的数额，由汕头大学财务处按营业额数额的99.5%转拨还乙方，剩余0.5%作为乙方缴交给汕头大学网络中心的“一卡通”维护费。</w:t>
      </w: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7．甲方设立专门管理机构——汕头大学医学院膳食服务管理中心（膳食科），代表医学院对食堂实施管理、监督和协调职能，并依照有关规定对乙方承包经营的食堂的违约、违规行为实施处罚。</w:t>
      </w:r>
    </w:p>
    <w:p>
      <w:pPr>
        <w:spacing w:line="460" w:lineRule="exact"/>
        <w:rPr>
          <w:rFonts w:ascii="宋体" w:hAnsi="宋体" w:eastAsia="宋体" w:cs="Times New Roman"/>
          <w:b/>
          <w:sz w:val="30"/>
          <w:szCs w:val="30"/>
        </w:rPr>
      </w:pPr>
      <w:r>
        <w:rPr>
          <w:rFonts w:hint="eastAsia" w:ascii="宋体" w:hAnsi="宋体" w:eastAsia="宋体" w:cs="Times New Roman"/>
          <w:b/>
          <w:sz w:val="30"/>
          <w:szCs w:val="30"/>
        </w:rPr>
        <w:t>二、乙方的义务和权利</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在承包经营期间，乙方必须按甲方《招标书》的各项规定与要求，按照乙方《投标书》的各项承诺，办好学院食堂的伙食，保证师生员工每日三餐基本伙食的供应。保证饭热菜香、品种多样化，高中低档搭配、价格合理，饭菜明码标价、服务人员挂牌上岗，热情为师生员工服务。按时开膳，确保学校教学和生活秩序的稳定。评估的要求为满意加基本满意率应达到70％以上；具体评估内容以本合同的约定为标准，由膳食科组织实施。</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2．乙方承包经营期间必须严格执行《中华人民共和国食品安全法》《食品安全法实施条例》《餐饮服务许可管理办法》和《餐饮业和集体用餐配送单位卫生规范》《广东省学校食堂与学生集体用餐卫生管理办法》等有关饮食卫生规定，防止出现饮食安全事故，做好安全生产和安全防火工作，防止重大事故发生。乙方至少必须配备一名专职食品安全管理员，专门负责本食堂的生产过程的卫生和食品安全监督工作，依据有关法律和规定，进行全面监督，对承包者负责，并接受膳食管理服务中心（膳食科）的业务指导和管理。</w:t>
      </w: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若由于乙方的原因而导致出现事故的，甲方除有权单方终止本合同，取消承包者的经营资格外，还有权要求乙方承担相应的法律责任，按本合同的有关规定支付违约金，并赔偿甲方因此所遭受的一切损失。</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3．乙方承诺严格按《汕头大学医学院食堂管理实施细则》的所有管理要求，只能在中标的食堂从事饭菜、包点供应工作。不准非餐饮行业的经营项目，如有违反管理要求的，按《汕头大学医学院食堂管理实施细则》接受处罚。</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4．乙方承包经营期间必须自觉接受政府卫生、环保、食药监等主管部门的检查并支付相关费用。</w:t>
      </w: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5．乙方承包经营期间，除甲方安排停膳外，乙方必须确保节假日</w:t>
      </w:r>
      <w:r>
        <w:rPr>
          <w:rFonts w:ascii="宋体" w:hAnsi="宋体" w:eastAsia="宋体" w:cs="Times New Roman"/>
          <w:sz w:val="30"/>
          <w:szCs w:val="30"/>
        </w:rPr>
        <w:t>及</w:t>
      </w:r>
      <w:r>
        <w:rPr>
          <w:rFonts w:hint="eastAsia" w:ascii="宋体" w:hAnsi="宋体" w:eastAsia="宋体" w:cs="Times New Roman"/>
          <w:sz w:val="30"/>
          <w:szCs w:val="30"/>
        </w:rPr>
        <w:t>寒暑假食堂的正常</w:t>
      </w:r>
      <w:bookmarkStart w:id="5" w:name="_GoBack"/>
      <w:bookmarkEnd w:id="5"/>
      <w:r>
        <w:rPr>
          <w:rFonts w:hint="eastAsia" w:ascii="宋体" w:hAnsi="宋体" w:eastAsia="宋体" w:cs="Times New Roman"/>
          <w:sz w:val="30"/>
          <w:szCs w:val="30"/>
        </w:rPr>
        <w:t>营业，二楼教工餐厅可以按学院寒暑假教职工放假的时间安排停膳，停膳时间由甲方安排。乙方应遵守学校的作息时间，午休、学习及工作时间应关闭营业场所的音响和电视机。</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6．乙方签约时必须向甲方交纳履约保证金共人民币伍万元；对乙方缴交的履约保证金，在本合同期满，承包经营关系终止，食堂设备、用具移交完毕后10天内，由甲方不计息退还乙方。</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7．在承包经营期间，食堂基础设施的日常维修、维护，中小型设备购置更新工作统一由学院协调组织实施；乙方须按营业额的</w:t>
      </w:r>
      <w:r>
        <w:rPr>
          <w:rFonts w:hint="eastAsia" w:ascii="宋体" w:hAnsi="宋体" w:eastAsia="宋体" w:cs="Times New Roman"/>
          <w:b/>
          <w:bCs/>
          <w:sz w:val="30"/>
          <w:szCs w:val="30"/>
          <w:u w:val="none"/>
        </w:rPr>
        <w:t xml:space="preserve"> </w:t>
      </w:r>
      <w:r>
        <w:rPr>
          <w:rFonts w:ascii="宋体" w:hAnsi="宋体" w:eastAsia="宋体" w:cs="Times New Roman"/>
          <w:b/>
          <w:bCs/>
          <w:sz w:val="30"/>
          <w:szCs w:val="30"/>
          <w:u w:val="none"/>
        </w:rPr>
        <w:t>5%</w:t>
      </w:r>
      <w:r>
        <w:rPr>
          <w:rFonts w:hint="eastAsia" w:ascii="宋体" w:hAnsi="宋体" w:eastAsia="宋体" w:cs="Times New Roman"/>
          <w:b/>
          <w:bCs/>
          <w:sz w:val="30"/>
          <w:szCs w:val="30"/>
        </w:rPr>
        <w:t xml:space="preserve"> </w:t>
      </w:r>
      <w:r>
        <w:rPr>
          <w:rFonts w:hint="eastAsia" w:ascii="宋体" w:hAnsi="宋体" w:eastAsia="宋体" w:cs="Times New Roman"/>
          <w:sz w:val="30"/>
          <w:szCs w:val="30"/>
        </w:rPr>
        <w:t>缴交食堂设备维修基金，基数以汕头大学一卡通中心签章提供并由甲方膳管中心复核的《商户清算汇总报表》的营业额为准。为按月缴交，在下月10日前交甲方计财处。</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8．乙方对其每月应向汕头大学财务处缴交“一卡通”收银机的月租费以及其他应当缴交的费用，均必须在次月10日前一次性交清。</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9．乙方在承包经营期间，如需对经营场所的基础设施进行改造，或对门面及内部进行装修，需事前报学校审批后方能实施，经费从食堂维修基金中支付。</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10．乙方承包经营期间设备的维修、配套厨具用具更新添置（易耗用具除外）的开支，经报甲方统筹后实施，费用从食堂维修基金支付。各种办证费及政府部门依法征收的各种费用、雇用人员的工资福利费用、社保医保费用、体检费用等各种费用以及其它与乙方承包经营有关的一切管理费用，均由乙方自负。</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11．乙方经营的水电费由乙方按月缴纳，于次月10日前缴交甲方计财处。</w:t>
      </w: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12．本合同期满后乙方提出终止经营，3天内，乙方应将原从甲方领用的设备、厨具、用具完整归还甲方，如有损坏或丢失的，乙方应无条件在7个工作日内修复或按实赔偿甲方。</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13．乙方有义务支持甲方的环保工作，应使用餐盘及可降解环保一次性餐具。</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14．学校有重大活动，乙方必须配合甲方做好各项工作，以保证活动顺利进行。乙方应积极派员参加省高教系统组织的与食堂有关的会议和各种学习班，所需经费由乙方自理。</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15．学校为食堂投入的各种设备和乙方自身投入的设备应按规定投入使用，当室温大于28摄氏度时，在学生用餐的时间段内，餐厅的空调机应开放冷气。</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16．食堂的售卖窗口一律采用“一卡通”结算，不得收取现金。</w:t>
      </w: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 xml:space="preserve">17．为确保食堂原材料采购的卫生安全，米、面、食用油等原材料，乙方必须到证照齐全的商家实行定点采购，不允许乙方从非定点供应商或证照不齐全的商家采购。采购的原材料应符合相关的质量要求。  </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18．食堂不得私自接受任何厂商在食堂内外搭建或张贴产品广告，所有的广告事项均应由学院有关部门统一受理；医学院有权对现有广告进行改装或覆盖。</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19．食堂应加强库存食物原料的管理，每二周对库存物资进行一次全面清理，清除过期或虫蛀原材料，确保食品的新鲜。</w:t>
      </w:r>
    </w:p>
    <w:p>
      <w:pPr>
        <w:spacing w:line="460" w:lineRule="exact"/>
        <w:ind w:firstLine="600" w:firstLineChars="200"/>
        <w:rPr>
          <w:rFonts w:ascii="宋体" w:hAnsi="宋体" w:eastAsia="宋体" w:cs="Times New Roman"/>
          <w:sz w:val="30"/>
          <w:szCs w:val="30"/>
        </w:rPr>
      </w:pPr>
      <w:r>
        <w:rPr>
          <w:rFonts w:hint="eastAsia" w:ascii="宋体" w:hAnsi="宋体" w:eastAsia="宋体" w:cs="Times New Roman"/>
          <w:sz w:val="30"/>
          <w:szCs w:val="30"/>
        </w:rPr>
        <w:t>20．接受市、区等各级市场监督、卫生、防疫等部门对食堂的食品卫生等方面进行不定期的突击检查和督查。同</w:t>
      </w:r>
      <w:r>
        <w:rPr>
          <w:rFonts w:ascii="宋体" w:hAnsi="宋体" w:eastAsia="宋体" w:cs="Times New Roman"/>
          <w:sz w:val="30"/>
          <w:szCs w:val="30"/>
        </w:rPr>
        <w:t>时，无条件</w:t>
      </w:r>
      <w:r>
        <w:rPr>
          <w:rFonts w:hint="eastAsia" w:ascii="宋体" w:hAnsi="宋体" w:eastAsia="宋体" w:cs="Times New Roman"/>
          <w:sz w:val="30"/>
          <w:szCs w:val="30"/>
        </w:rPr>
        <w:t>服从并</w:t>
      </w:r>
      <w:r>
        <w:rPr>
          <w:rFonts w:ascii="宋体" w:hAnsi="宋体" w:eastAsia="宋体" w:cs="Times New Roman"/>
          <w:sz w:val="30"/>
          <w:szCs w:val="30"/>
        </w:rPr>
        <w:t>接受甲方膳管人员</w:t>
      </w:r>
      <w:r>
        <w:rPr>
          <w:rFonts w:hint="eastAsia" w:ascii="宋体" w:hAnsi="宋体" w:eastAsia="宋体" w:cs="Times New Roman"/>
          <w:sz w:val="30"/>
          <w:szCs w:val="30"/>
        </w:rPr>
        <w:t>的</w:t>
      </w:r>
      <w:r>
        <w:rPr>
          <w:rFonts w:ascii="宋体" w:hAnsi="宋体" w:eastAsia="宋体" w:cs="Times New Roman"/>
          <w:sz w:val="30"/>
          <w:szCs w:val="30"/>
        </w:rPr>
        <w:t>监督和管理。</w:t>
      </w:r>
    </w:p>
    <w:p>
      <w:pPr>
        <w:spacing w:line="460" w:lineRule="exact"/>
        <w:ind w:firstLine="602" w:firstLineChars="200"/>
        <w:rPr>
          <w:rFonts w:ascii="宋体" w:hAnsi="宋体" w:eastAsia="宋体" w:cs="Times New Roman"/>
          <w:b/>
          <w:sz w:val="30"/>
          <w:szCs w:val="30"/>
        </w:rPr>
      </w:pPr>
      <w:r>
        <w:rPr>
          <w:rFonts w:hint="eastAsia" w:ascii="宋体" w:hAnsi="宋体" w:eastAsia="宋体" w:cs="Times New Roman"/>
          <w:b/>
          <w:sz w:val="30"/>
          <w:szCs w:val="30"/>
        </w:rPr>
        <w:t>三、违约责任与有关的其他事项</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1．乙方逾期向甲方缴交</w:t>
      </w:r>
      <w:r>
        <w:rPr>
          <w:rFonts w:hint="eastAsia" w:ascii="宋体" w:hAnsi="宋体" w:eastAsia="宋体" w:cs="Times New Roman"/>
          <w:sz w:val="30"/>
          <w:szCs w:val="30"/>
          <w:lang w:eastAsia="zh-CN"/>
        </w:rPr>
        <w:t>水电费和食堂维修基金</w:t>
      </w:r>
      <w:r>
        <w:rPr>
          <w:rFonts w:hint="eastAsia" w:ascii="宋体" w:hAnsi="宋体" w:eastAsia="宋体" w:cs="Times New Roman"/>
          <w:sz w:val="30"/>
          <w:szCs w:val="30"/>
        </w:rPr>
        <w:t>的，每逾期1日，须向甲方支付</w:t>
      </w:r>
      <w:r>
        <w:rPr>
          <w:rFonts w:hint="eastAsia" w:ascii="宋体" w:hAnsi="宋体" w:eastAsia="宋体" w:cs="Times New Roman"/>
          <w:sz w:val="30"/>
          <w:szCs w:val="30"/>
          <w:lang w:eastAsia="zh-CN"/>
        </w:rPr>
        <w:t>上述费用的</w:t>
      </w:r>
      <w:r>
        <w:rPr>
          <w:rFonts w:hint="eastAsia" w:ascii="宋体" w:hAnsi="宋体" w:eastAsia="宋体" w:cs="Times New Roman"/>
          <w:sz w:val="30"/>
          <w:szCs w:val="30"/>
        </w:rPr>
        <w:t>0.5％的违约（滞纳）金。</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2．在本合同签订后，乙方不得分包及转包，如发现分包及转包，甲方有权解除合同，并有权要求乙方赔偿由此产生的一切损失。</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3．乙方因违反《汕头大学医学院食堂管理实施细则》受处罚的，由管理监督人员现场作检查记录和处罚通知，乙方签字确认。乙方凭处罚通知书到甲方计财处缴交罚款，甲方另开具相应的收据。</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4．乙方因同一原因在一个月内连续3次及3次以上违约、违规受处罚或者是在一个月内累计受处罚超过10次的，当月视为评估不合格，甲方有权根据乙方的情节轻重，在2000—5000元人民币的幅度内决定对乙方的具体处罚，并有权在乙方缴交的保证金中直接扣取。一年内评估不合格3次以上者，甲方有权解除合同，并有权在乙方缴交的保证金中扣取20％，作为乙方应当向甲方支付的违约金。</w:t>
      </w:r>
    </w:p>
    <w:p>
      <w:pPr>
        <w:spacing w:line="460" w:lineRule="exact"/>
        <w:ind w:firstLine="480"/>
        <w:rPr>
          <w:rFonts w:ascii="宋体" w:hAnsi="宋体" w:eastAsia="宋体" w:cs="Times New Roman"/>
          <w:sz w:val="30"/>
          <w:szCs w:val="30"/>
        </w:rPr>
      </w:pPr>
      <w:r>
        <w:rPr>
          <w:rFonts w:hint="eastAsia" w:ascii="宋体" w:hAnsi="宋体" w:eastAsia="宋体" w:cs="Times New Roman"/>
          <w:sz w:val="30"/>
          <w:szCs w:val="30"/>
        </w:rPr>
        <w:t>甲方每学期组织对乙方评估1次，膳食科将组织用餐师生员工对食堂伙食状况进行评估。评估满意加基本满意率必须达到70％以上；如达不到规定标准者，甲方有权在乙方缴交的保证金中扣取20％，作为乙方应当向甲方支付的违约金。连续2次不合格的，甲方有权确定是否解除合同。</w:t>
      </w:r>
    </w:p>
    <w:p>
      <w:pPr>
        <w:spacing w:line="460" w:lineRule="exact"/>
        <w:ind w:firstLine="435"/>
        <w:rPr>
          <w:rFonts w:ascii="Calibri" w:hAnsi="Calibri" w:eastAsia="宋体" w:cs="Times New Roman"/>
          <w:sz w:val="30"/>
          <w:szCs w:val="30"/>
        </w:rPr>
      </w:pPr>
      <w:r>
        <w:rPr>
          <w:rFonts w:ascii="Calibri" w:hAnsi="Calibri" w:eastAsia="宋体" w:cs="Times New Roman"/>
          <w:sz w:val="30"/>
          <w:szCs w:val="30"/>
        </w:rPr>
        <w:t>5</w:t>
      </w:r>
      <w:r>
        <w:rPr>
          <w:rFonts w:hint="eastAsia" w:ascii="Calibri" w:hAnsi="Calibri" w:eastAsia="宋体" w:cs="Times New Roman"/>
          <w:sz w:val="30"/>
          <w:szCs w:val="30"/>
        </w:rPr>
        <w:t>． 乙方有下列行为之一的，甲方可单方面解除合同：</w:t>
      </w:r>
    </w:p>
    <w:p>
      <w:pPr>
        <w:spacing w:line="460" w:lineRule="exact"/>
        <w:ind w:firstLine="435"/>
        <w:rPr>
          <w:rFonts w:ascii="Calibri" w:hAnsi="Calibri" w:eastAsia="宋体" w:cs="Times New Roman"/>
          <w:sz w:val="30"/>
          <w:szCs w:val="30"/>
        </w:rPr>
      </w:pPr>
      <w:r>
        <w:rPr>
          <w:rFonts w:hint="eastAsia" w:ascii="宋体" w:hAnsi="宋体" w:eastAsia="宋体" w:cs="Times New Roman"/>
          <w:sz w:val="30"/>
          <w:szCs w:val="30"/>
        </w:rPr>
        <w:t>（1）</w:t>
      </w:r>
      <w:r>
        <w:rPr>
          <w:rFonts w:hint="eastAsia" w:ascii="Calibri" w:hAnsi="Calibri" w:eastAsia="宋体" w:cs="Times New Roman"/>
          <w:sz w:val="30"/>
          <w:szCs w:val="30"/>
        </w:rPr>
        <w:t>乙方未遵守相关法律法规、标准以及与甲方签订的相关合同文件中的约定，导致经营管理混乱；</w:t>
      </w:r>
    </w:p>
    <w:p>
      <w:pPr>
        <w:spacing w:line="460" w:lineRule="exact"/>
        <w:ind w:firstLine="435"/>
        <w:rPr>
          <w:rFonts w:ascii="Calibri" w:hAnsi="Calibri" w:eastAsia="宋体" w:cs="Times New Roman"/>
          <w:sz w:val="30"/>
          <w:szCs w:val="30"/>
        </w:rPr>
      </w:pPr>
      <w:r>
        <w:rPr>
          <w:rFonts w:hint="eastAsia" w:ascii="Calibri" w:hAnsi="Calibri" w:eastAsia="宋体" w:cs="Times New Roman"/>
          <w:sz w:val="30"/>
          <w:szCs w:val="30"/>
        </w:rPr>
        <w:t>（2）乙方拒绝接受政府有关行政管理部门、行业组织或学校相关管理部门的管理、检查、监督等工作，且情节严重、影响恶劣；</w:t>
      </w:r>
    </w:p>
    <w:p>
      <w:pPr>
        <w:spacing w:line="460" w:lineRule="exact"/>
        <w:ind w:firstLine="435"/>
        <w:rPr>
          <w:rFonts w:ascii="Calibri" w:hAnsi="Calibri" w:eastAsia="宋体" w:cs="Times New Roman"/>
          <w:sz w:val="30"/>
          <w:szCs w:val="30"/>
        </w:rPr>
      </w:pPr>
      <w:r>
        <w:rPr>
          <w:rFonts w:hint="eastAsia" w:ascii="Calibri" w:hAnsi="Calibri" w:eastAsia="宋体" w:cs="Times New Roman"/>
          <w:sz w:val="30"/>
          <w:szCs w:val="30"/>
        </w:rPr>
        <w:t>（3）发生一般及以上级别的食品安全事故或其他重大安全责任事故；</w:t>
      </w:r>
    </w:p>
    <w:p>
      <w:pPr>
        <w:spacing w:line="460" w:lineRule="exact"/>
        <w:ind w:firstLine="435"/>
        <w:rPr>
          <w:rFonts w:ascii="Calibri" w:hAnsi="Calibri" w:eastAsia="宋体" w:cs="Times New Roman"/>
          <w:sz w:val="30"/>
          <w:szCs w:val="30"/>
        </w:rPr>
      </w:pPr>
      <w:r>
        <w:rPr>
          <w:rFonts w:hint="eastAsia" w:ascii="Calibri" w:hAnsi="Calibri" w:eastAsia="宋体" w:cs="Times New Roman"/>
          <w:sz w:val="30"/>
          <w:szCs w:val="30"/>
        </w:rPr>
        <w:t>（4）食品安全监管部门或政府其他相关管理部门在日常监督检查中发现严重问题进行查处、乙方受到处罚且限期整改不力；</w:t>
      </w:r>
    </w:p>
    <w:p>
      <w:pPr>
        <w:spacing w:line="460" w:lineRule="exact"/>
        <w:ind w:firstLine="435"/>
        <w:rPr>
          <w:rFonts w:ascii="Calibri" w:hAnsi="Calibri" w:eastAsia="宋体" w:cs="Times New Roman"/>
          <w:sz w:val="30"/>
          <w:szCs w:val="30"/>
        </w:rPr>
      </w:pPr>
      <w:r>
        <w:rPr>
          <w:rFonts w:hint="eastAsia" w:ascii="Calibri" w:hAnsi="Calibri" w:eastAsia="宋体" w:cs="Times New Roman"/>
          <w:sz w:val="30"/>
          <w:szCs w:val="30"/>
        </w:rPr>
        <w:t>（5）因饭菜质量价格、食品卫生、民族政策执行等企业自身原因引起师生罢餐等群体性事件；</w:t>
      </w:r>
    </w:p>
    <w:p>
      <w:pPr>
        <w:spacing w:line="460" w:lineRule="exact"/>
        <w:ind w:firstLine="435"/>
        <w:rPr>
          <w:rFonts w:ascii="Calibri" w:hAnsi="Calibri" w:eastAsia="宋体" w:cs="Times New Roman"/>
          <w:sz w:val="30"/>
          <w:szCs w:val="30"/>
        </w:rPr>
      </w:pPr>
      <w:r>
        <w:rPr>
          <w:rFonts w:hint="eastAsia" w:ascii="Calibri" w:hAnsi="Calibri" w:eastAsia="宋体" w:cs="Times New Roman"/>
          <w:sz w:val="30"/>
          <w:szCs w:val="30"/>
        </w:rPr>
        <w:t>（6）未按合同约定范围经营、违规采购、违规合作经营、擅自更换履约人等行为；</w:t>
      </w:r>
    </w:p>
    <w:p>
      <w:pPr>
        <w:spacing w:line="460" w:lineRule="exact"/>
        <w:ind w:firstLine="435"/>
        <w:rPr>
          <w:rFonts w:ascii="Calibri" w:hAnsi="Calibri" w:eastAsia="宋体" w:cs="Times New Roman"/>
          <w:sz w:val="30"/>
          <w:szCs w:val="30"/>
        </w:rPr>
      </w:pPr>
      <w:r>
        <w:rPr>
          <w:rFonts w:hint="eastAsia" w:ascii="Calibri" w:hAnsi="Calibri" w:eastAsia="宋体" w:cs="Times New Roman"/>
          <w:sz w:val="30"/>
          <w:szCs w:val="30"/>
        </w:rPr>
        <w:t>（7）掺杂使假，销售无证、过期、有害(变质、有毒)食品；</w:t>
      </w:r>
    </w:p>
    <w:p>
      <w:pPr>
        <w:spacing w:line="460" w:lineRule="exact"/>
        <w:ind w:firstLine="435"/>
        <w:rPr>
          <w:rFonts w:ascii="Calibri" w:hAnsi="Calibri" w:eastAsia="宋体" w:cs="Times New Roman"/>
          <w:sz w:val="30"/>
          <w:szCs w:val="30"/>
        </w:rPr>
      </w:pPr>
      <w:r>
        <w:rPr>
          <w:rFonts w:hint="eastAsia" w:ascii="Calibri" w:hAnsi="Calibri" w:eastAsia="宋体" w:cs="Times New Roman"/>
          <w:sz w:val="30"/>
          <w:szCs w:val="30"/>
        </w:rPr>
        <w:t>（8）因乙方自身原因导致经营状况较差，不能正常经营或有效履约；</w:t>
      </w:r>
    </w:p>
    <w:p>
      <w:pPr>
        <w:spacing w:line="460" w:lineRule="exact"/>
        <w:ind w:firstLine="435"/>
        <w:rPr>
          <w:rFonts w:ascii="Calibri" w:hAnsi="Calibri" w:eastAsia="宋体" w:cs="Times New Roman"/>
          <w:sz w:val="30"/>
          <w:szCs w:val="30"/>
        </w:rPr>
      </w:pPr>
      <w:r>
        <w:rPr>
          <w:rFonts w:hint="eastAsia" w:ascii="Calibri" w:hAnsi="Calibri" w:eastAsia="宋体" w:cs="Times New Roman"/>
          <w:sz w:val="30"/>
          <w:szCs w:val="30"/>
        </w:rPr>
        <w:t>（9） 因乙方雇佣人员的违法违规行为给学校造成重大社会不良影响；</w:t>
      </w:r>
    </w:p>
    <w:p>
      <w:pPr>
        <w:spacing w:line="460" w:lineRule="exact"/>
        <w:ind w:firstLine="435"/>
        <w:rPr>
          <w:rFonts w:ascii="Calibri" w:hAnsi="Calibri" w:eastAsia="宋体" w:cs="Times New Roman"/>
          <w:sz w:val="30"/>
          <w:szCs w:val="30"/>
        </w:rPr>
      </w:pPr>
      <w:r>
        <w:rPr>
          <w:rFonts w:hint="eastAsia" w:ascii="Calibri" w:hAnsi="Calibri" w:eastAsia="宋体" w:cs="Times New Roman"/>
          <w:sz w:val="30"/>
          <w:szCs w:val="30"/>
        </w:rPr>
        <w:t>（10）在政府相关行政管理部门和校方的安全、卫生、服务等检查时发现存在严重问题的；</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6．由于乙方违反有关规定造成以下问题的，根据实际情况，甲方有权依照《汕头大学医学院食堂管理实施细则》进行处罚。后果严重、影响较大的，甲方除可以单方终止合同，取消乙方的承包经营资格外，还有权要求乙方承担相应的法律责任、赔偿责任。若因此导致甲方受到政府有关部门的处罚的话，乙方还应承担甲方因此遭受的一切损失。</w:t>
      </w:r>
    </w:p>
    <w:p>
      <w:pPr>
        <w:spacing w:line="460" w:lineRule="exact"/>
        <w:ind w:firstLine="300" w:firstLineChars="100"/>
        <w:rPr>
          <w:rFonts w:ascii="宋体" w:hAnsi="宋体" w:eastAsia="宋体" w:cs="Times New Roman"/>
          <w:sz w:val="30"/>
          <w:szCs w:val="30"/>
        </w:rPr>
      </w:pPr>
      <w:r>
        <w:rPr>
          <w:rFonts w:hint="eastAsia" w:ascii="宋体" w:hAnsi="宋体" w:eastAsia="宋体" w:cs="Times New Roman"/>
          <w:sz w:val="30"/>
          <w:szCs w:val="30"/>
        </w:rPr>
        <w:t>（1）发生工人与学生吵架、打架事件的；</w:t>
      </w:r>
    </w:p>
    <w:p>
      <w:pPr>
        <w:spacing w:line="460" w:lineRule="exact"/>
        <w:ind w:firstLine="300" w:firstLineChars="100"/>
        <w:rPr>
          <w:rFonts w:ascii="宋体" w:hAnsi="宋体" w:eastAsia="宋体" w:cs="Times New Roman"/>
          <w:sz w:val="30"/>
          <w:szCs w:val="30"/>
        </w:rPr>
      </w:pPr>
      <w:r>
        <w:rPr>
          <w:rFonts w:hint="eastAsia" w:ascii="宋体" w:hAnsi="宋体" w:eastAsia="宋体" w:cs="Times New Roman"/>
          <w:sz w:val="30"/>
          <w:szCs w:val="30"/>
        </w:rPr>
        <w:t>（2）因饭菜质量问题引起学生不满而闹事的；</w:t>
      </w:r>
    </w:p>
    <w:p>
      <w:pPr>
        <w:spacing w:line="460" w:lineRule="exact"/>
        <w:ind w:firstLine="300" w:firstLineChars="100"/>
        <w:rPr>
          <w:rFonts w:ascii="宋体" w:hAnsi="宋体" w:eastAsia="宋体" w:cs="Times New Roman"/>
          <w:sz w:val="30"/>
          <w:szCs w:val="30"/>
        </w:rPr>
      </w:pPr>
      <w:r>
        <w:rPr>
          <w:rFonts w:hint="eastAsia" w:ascii="宋体" w:hAnsi="宋体" w:eastAsia="宋体" w:cs="Times New Roman"/>
          <w:sz w:val="30"/>
          <w:szCs w:val="30"/>
        </w:rPr>
        <w:t>（3）因食物不洁造成食物中毒事故的。</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7．乙方在承包期间违约，甲方有权扣除保证金抵偿所受到的经济损失，扣除后乙方必须在一个月内补足保证金数额。</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8．签订合同后，任何一方如违约应赔偿对方的经济损失，并支付对方违约金5万元。如有一方因故要求提前终止合同，应提前3个月通知对方，经对方同意后终止合同，交接期尽量安排在寒暑假期间。如不及时通知对方，或未征得对方同意而擅自单方终止合同的，应赔偿对方违约金5万元，以补偿对方的损失。</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9．以下文件资料属于本合同的内容，与本合同具有同等的法律效力。</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  汕头大学医学院后勤和食堂管理的有关管理规定；</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（2） 《汕头大学医学院食堂管理实施细则》</w:t>
      </w:r>
    </w:p>
    <w:p>
      <w:pPr>
        <w:spacing w:line="460" w:lineRule="exact"/>
        <w:rPr>
          <w:sz w:val="30"/>
          <w:szCs w:val="30"/>
        </w:rPr>
      </w:pPr>
      <w:r>
        <w:rPr>
          <w:rFonts w:hint="eastAsia" w:ascii="宋体" w:hAnsi="宋体" w:eastAsia="宋体" w:cs="Times New Roman"/>
          <w:sz w:val="30"/>
          <w:szCs w:val="30"/>
        </w:rPr>
        <w:t xml:space="preserve">   （3） </w:t>
      </w:r>
      <w:r>
        <w:rPr>
          <w:rFonts w:hint="eastAsia"/>
          <w:sz w:val="30"/>
          <w:szCs w:val="30"/>
        </w:rPr>
        <w:t>《汕头大学医学院采购与招投标管理办法》</w:t>
      </w:r>
    </w:p>
    <w:p>
      <w:pPr>
        <w:spacing w:line="460" w:lineRule="exact"/>
        <w:rPr>
          <w:rFonts w:ascii="宋体" w:hAnsi="宋体" w:eastAsia="宋体" w:cs="Times New Roman"/>
          <w:sz w:val="30"/>
          <w:szCs w:val="30"/>
        </w:rPr>
      </w:pPr>
      <w:r>
        <w:rPr>
          <w:rFonts w:hint="eastAsia"/>
          <w:sz w:val="30"/>
          <w:szCs w:val="30"/>
        </w:rPr>
        <w:t xml:space="preserve">   （4）  本项目招标文件</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（5）  承包者的《投标书》及在投标时所作的超出学校原有要求的承诺。</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10．甲方依照上述的《汕头大学医学院食堂管理实施细则》等文件对乙方进行处罚而收取的所有款项，均视为系乙方因违反本合同的约定而应向甲方支付的违约金。</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11.本合同未尽事宜，由双方按照国家的有关法律、法规调解协商解决。</w:t>
      </w:r>
    </w:p>
    <w:p>
      <w:pPr>
        <w:spacing w:line="460" w:lineRule="exact"/>
        <w:rPr>
          <w:rFonts w:ascii="宋体" w:hAnsi="宋体" w:eastAsia="宋体" w:cs="Times New Roman"/>
          <w:b/>
          <w:sz w:val="30"/>
          <w:szCs w:val="30"/>
        </w:rPr>
      </w:pPr>
      <w:r>
        <w:rPr>
          <w:rFonts w:hint="eastAsia" w:ascii="宋体" w:hAnsi="宋体" w:eastAsia="宋体" w:cs="Times New Roman"/>
          <w:b/>
          <w:sz w:val="30"/>
          <w:szCs w:val="30"/>
        </w:rPr>
        <w:t>四、合同期限</w:t>
      </w:r>
    </w:p>
    <w:p>
      <w:pPr>
        <w:spacing w:line="460" w:lineRule="exact"/>
        <w:ind w:right="206" w:firstLine="600" w:firstLineChars="200"/>
        <w:rPr>
          <w:rFonts w:ascii="宋体" w:hAnsi="宋体" w:eastAsia="宋体" w:cs="Times New Roman"/>
          <w:sz w:val="30"/>
          <w:szCs w:val="30"/>
        </w:rPr>
      </w:pPr>
      <w:r>
        <w:rPr>
          <w:rFonts w:hint="eastAsia" w:ascii="宋体" w:hAnsi="宋体" w:eastAsia="宋体" w:cs="Times New Roman"/>
          <w:sz w:val="30"/>
          <w:szCs w:val="30"/>
        </w:rPr>
        <w:t>1．本合同期为</w:t>
      </w:r>
      <w:r>
        <w:rPr>
          <w:rFonts w:hint="eastAsia" w:ascii="宋体" w:hAnsi="宋体" w:eastAsia="宋体" w:cs="Times New Roman"/>
          <w:sz w:val="30"/>
          <w:szCs w:val="30"/>
          <w:u w:val="single"/>
        </w:rPr>
        <w:t xml:space="preserve"> 24</w:t>
      </w:r>
      <w:r>
        <w:rPr>
          <w:rFonts w:hint="eastAsia" w:ascii="宋体" w:hAnsi="宋体" w:eastAsia="宋体" w:cs="Times New Roman"/>
          <w:sz w:val="30"/>
          <w:szCs w:val="30"/>
        </w:rPr>
        <w:t>个月，自2021年</w:t>
      </w:r>
      <w:r>
        <w:rPr>
          <w:rFonts w:hint="eastAsia" w:ascii="宋体" w:hAnsi="宋体" w:eastAsia="宋体" w:cs="Times New Roman"/>
          <w:sz w:val="30"/>
          <w:szCs w:val="30"/>
          <w:u w:val="single"/>
        </w:rPr>
        <w:t>10</w:t>
      </w:r>
      <w:r>
        <w:rPr>
          <w:rFonts w:hint="eastAsia" w:ascii="宋体" w:hAnsi="宋体" w:eastAsia="宋体" w:cs="Times New Roman"/>
          <w:sz w:val="30"/>
          <w:szCs w:val="30"/>
        </w:rPr>
        <w:t>月</w:t>
      </w:r>
      <w:r>
        <w:rPr>
          <w:rFonts w:hint="eastAsia" w:ascii="宋体" w:hAnsi="宋体" w:eastAsia="宋体" w:cs="Times New Roman"/>
          <w:sz w:val="30"/>
          <w:szCs w:val="30"/>
          <w:u w:val="single"/>
        </w:rPr>
        <w:t>16</w:t>
      </w:r>
      <w:r>
        <w:rPr>
          <w:rFonts w:hint="eastAsia" w:ascii="宋体" w:hAnsi="宋体" w:eastAsia="宋体" w:cs="Times New Roman"/>
          <w:sz w:val="30"/>
          <w:szCs w:val="30"/>
        </w:rPr>
        <w:t>日起至2023年</w:t>
      </w:r>
      <w:r>
        <w:rPr>
          <w:rFonts w:hint="eastAsia" w:ascii="宋体" w:hAnsi="宋体" w:eastAsia="宋体" w:cs="Times New Roman"/>
          <w:sz w:val="30"/>
          <w:szCs w:val="30"/>
          <w:u w:val="single"/>
        </w:rPr>
        <w:t>10</w:t>
      </w:r>
      <w:r>
        <w:rPr>
          <w:rFonts w:hint="eastAsia" w:ascii="宋体" w:hAnsi="宋体" w:eastAsia="宋体" w:cs="Times New Roman"/>
          <w:sz w:val="30"/>
          <w:szCs w:val="30"/>
        </w:rPr>
        <w:t>月</w:t>
      </w:r>
      <w:r>
        <w:rPr>
          <w:rFonts w:hint="eastAsia" w:ascii="宋体" w:hAnsi="宋体" w:eastAsia="宋体" w:cs="Times New Roman"/>
          <w:sz w:val="30"/>
          <w:szCs w:val="30"/>
          <w:u w:val="single"/>
        </w:rPr>
        <w:t>15</w:t>
      </w:r>
      <w:r>
        <w:rPr>
          <w:rFonts w:hint="eastAsia" w:ascii="宋体" w:hAnsi="宋体" w:eastAsia="宋体" w:cs="Times New Roman"/>
          <w:sz w:val="30"/>
          <w:szCs w:val="30"/>
        </w:rPr>
        <w:t>日止，合同一年一签。期间于2022年7月甲方对乙方承包本食堂的伙食情况进行评估，评估结果合格，在总合同期内，续签一年</w:t>
      </w:r>
      <w:r>
        <w:rPr>
          <w:rFonts w:ascii="宋体" w:hAnsi="宋体" w:eastAsia="宋体" w:cs="Times New Roman"/>
          <w:sz w:val="30"/>
          <w:szCs w:val="30"/>
        </w:rPr>
        <w:t>。</w:t>
      </w:r>
    </w:p>
    <w:p>
      <w:pPr>
        <w:spacing w:line="460" w:lineRule="exact"/>
        <w:ind w:right="206" w:firstLine="600" w:firstLineChars="200"/>
        <w:rPr>
          <w:rFonts w:ascii="宋体" w:hAnsi="宋体" w:eastAsia="宋体" w:cs="Times New Roman"/>
          <w:sz w:val="30"/>
          <w:szCs w:val="30"/>
        </w:rPr>
      </w:pPr>
      <w:r>
        <w:rPr>
          <w:rFonts w:ascii="宋体" w:hAnsi="宋体" w:eastAsia="宋体" w:cs="Times New Roman"/>
          <w:sz w:val="30"/>
          <w:szCs w:val="30"/>
        </w:rPr>
        <w:t>如果评估不合格或出现合同解除情形，则合同即时终止，</w:t>
      </w:r>
      <w:r>
        <w:rPr>
          <w:rFonts w:hint="eastAsia" w:ascii="宋体" w:hAnsi="宋体" w:eastAsia="宋体" w:cs="Times New Roman"/>
          <w:sz w:val="30"/>
          <w:szCs w:val="30"/>
        </w:rPr>
        <w:t>甲方</w:t>
      </w:r>
      <w:r>
        <w:rPr>
          <w:rFonts w:ascii="宋体" w:hAnsi="宋体" w:eastAsia="宋体" w:cs="Times New Roman"/>
          <w:sz w:val="30"/>
          <w:szCs w:val="30"/>
        </w:rPr>
        <w:t>另行招聘经营者。</w:t>
      </w:r>
    </w:p>
    <w:p>
      <w:pPr>
        <w:spacing w:line="460" w:lineRule="exact"/>
        <w:ind w:firstLine="420"/>
        <w:rPr>
          <w:rFonts w:ascii="宋体" w:hAnsi="宋体" w:eastAsia="宋体" w:cs="Times New Roman"/>
          <w:sz w:val="30"/>
          <w:szCs w:val="30"/>
        </w:rPr>
      </w:pPr>
      <w:r>
        <w:rPr>
          <w:rFonts w:hint="eastAsia" w:ascii="宋体" w:hAnsi="宋体" w:eastAsia="宋体" w:cs="Times New Roman"/>
          <w:sz w:val="30"/>
          <w:szCs w:val="30"/>
        </w:rPr>
        <w:t>2．学院放假期间，如因统一安排除四害或其他维修建设项目，需暂停营业，乙方应无条件配合。</w:t>
      </w:r>
    </w:p>
    <w:p>
      <w:pPr>
        <w:spacing w:line="460" w:lineRule="exact"/>
        <w:ind w:firstLine="420"/>
        <w:rPr>
          <w:rFonts w:ascii="宋体" w:hAnsi="宋体" w:eastAsia="宋体" w:cs="Times New Roman"/>
          <w:sz w:val="30"/>
          <w:szCs w:val="30"/>
        </w:rPr>
      </w:pPr>
      <w:r>
        <w:rPr>
          <w:rFonts w:hint="eastAsia" w:ascii="宋体" w:hAnsi="宋体" w:eastAsia="宋体" w:cs="Times New Roman"/>
          <w:sz w:val="30"/>
          <w:szCs w:val="30"/>
        </w:rPr>
        <w:t>3. 双方特别约定：①乙方应严格按照《餐饮服务食品安全操作规范》的要求做好食品卫生安全工作；②乙方需配合做好《广东省学校食品安全监管系统》日常检查及填报工作和下达的督办工作；③认真按要求做好当餐全部菜品的留样及登记工作；④做好厨房、餐厅、餐桌、餐台、餐椅卫生清洁及餐具清洁消毒工作；⑤乙方经营应增加早餐的花式品种及相当数量早餐小点供学生、教师早餐所需；午餐二楼教工餐厅中午经营结束时间不得早于12:40分；⑥在确保食品质量的同时，要适当控制降低饭菜价格；⑦学生生活配套服务点（小卖部）的经营活动，乙方必须按规定办妥（小卖部）一切经营的证照手续；同时，乙方必须严格遵守有关法律法规，并满足学生相关作息时间的要求。⑧乙方承诺积极配合甲方对食堂食品卫生安全及食堂管理的各项检查和督查工作，同时配合甲方做好各方面的上报工作。</w:t>
      </w:r>
    </w:p>
    <w:p>
      <w:pPr>
        <w:spacing w:line="460" w:lineRule="exact"/>
        <w:ind w:firstLine="600" w:firstLineChars="200"/>
        <w:rPr>
          <w:rFonts w:ascii="宋体" w:hAnsi="宋体"/>
          <w:sz w:val="30"/>
          <w:szCs w:val="30"/>
        </w:rPr>
      </w:pPr>
      <w:r>
        <w:rPr>
          <w:rFonts w:hint="eastAsia" w:ascii="宋体" w:hAnsi="宋体" w:eastAsia="宋体" w:cs="Times New Roman"/>
          <w:sz w:val="30"/>
          <w:szCs w:val="30"/>
        </w:rPr>
        <w:t>4. 特别条款：</w:t>
      </w:r>
      <w:r>
        <w:rPr>
          <w:rFonts w:hint="eastAsia" w:ascii="宋体" w:hAnsi="宋体"/>
          <w:sz w:val="30"/>
          <w:szCs w:val="30"/>
        </w:rPr>
        <w:t>甲方因正在酝酿后勤社会化改革，如在本合同执行期间，甲方完成后勤社会化招标，则本合同提前终止。甲方依据合同条款提前三个月通知乙方，乙方应无条件接受并配合；如因该原因提前终止合同，甲、乙双方均不需承担任何违约责任及赔偿责任。</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5．本合同自双方签字之日起生效。</w:t>
      </w:r>
    </w:p>
    <w:p>
      <w:pPr>
        <w:spacing w:line="460" w:lineRule="exact"/>
        <w:rPr>
          <w:rFonts w:ascii="宋体" w:hAnsi="宋体" w:eastAsia="宋体" w:cs="Times New Roman"/>
          <w:sz w:val="30"/>
          <w:szCs w:val="30"/>
        </w:rPr>
      </w:pPr>
      <w:r>
        <w:rPr>
          <w:rFonts w:hint="eastAsia" w:ascii="宋体" w:hAnsi="宋体" w:eastAsia="宋体" w:cs="Times New Roman"/>
          <w:sz w:val="30"/>
          <w:szCs w:val="30"/>
        </w:rPr>
        <w:t xml:space="preserve">    6．本合同一式六份，甲方执四份、乙方执二份，每份均具有同等的法律效力。</w:t>
      </w:r>
    </w:p>
    <w:p>
      <w:pPr>
        <w:spacing w:line="460" w:lineRule="exact"/>
        <w:rPr>
          <w:rFonts w:ascii="宋体" w:hAnsi="宋体" w:eastAsia="宋体" w:cs="Times New Roman"/>
          <w:sz w:val="30"/>
          <w:szCs w:val="30"/>
        </w:rPr>
      </w:pPr>
    </w:p>
    <w:p>
      <w:pPr>
        <w:spacing w:line="460" w:lineRule="exact"/>
        <w:rPr>
          <w:rFonts w:ascii="宋体" w:hAnsi="宋体" w:eastAsia="宋体" w:cs="Times New Roman"/>
          <w:sz w:val="30"/>
          <w:szCs w:val="30"/>
        </w:rPr>
      </w:pPr>
    </w:p>
    <w:p>
      <w:pPr>
        <w:spacing w:line="460" w:lineRule="exact"/>
        <w:rPr>
          <w:rFonts w:ascii="宋体" w:hAnsi="宋体" w:eastAsia="宋体" w:cs="Times New Roman"/>
          <w:sz w:val="30"/>
          <w:szCs w:val="30"/>
        </w:rPr>
      </w:pPr>
      <w:r>
        <w:rPr>
          <w:rFonts w:hint="eastAsia" w:ascii="宋体" w:hAnsi="宋体" w:eastAsia="宋体" w:cs="Times New Roman"/>
          <w:sz w:val="30"/>
          <w:szCs w:val="30"/>
        </w:rPr>
        <w:t>甲方（盖章）：汕头大学医学院        乙方（盖章）：</w:t>
      </w:r>
    </w:p>
    <w:p>
      <w:pPr>
        <w:spacing w:line="460" w:lineRule="exact"/>
        <w:rPr>
          <w:rFonts w:ascii="宋体" w:hAnsi="宋体" w:eastAsia="宋体" w:cs="Times New Roman"/>
          <w:sz w:val="30"/>
          <w:szCs w:val="30"/>
        </w:rPr>
      </w:pPr>
    </w:p>
    <w:p>
      <w:pPr>
        <w:spacing w:line="460" w:lineRule="exact"/>
        <w:rPr>
          <w:rFonts w:ascii="宋体" w:hAnsi="宋体" w:eastAsia="宋体" w:cs="Times New Roman"/>
          <w:sz w:val="30"/>
          <w:szCs w:val="30"/>
        </w:rPr>
      </w:pPr>
      <w:r>
        <w:rPr>
          <w:rFonts w:hint="eastAsia" w:ascii="宋体" w:hAnsi="宋体" w:eastAsia="宋体" w:cs="Times New Roman"/>
          <w:sz w:val="30"/>
          <w:szCs w:val="30"/>
        </w:rPr>
        <w:t>签约代表：                         法人代表：</w:t>
      </w:r>
    </w:p>
    <w:p>
      <w:pPr>
        <w:spacing w:line="460" w:lineRule="exact"/>
        <w:rPr>
          <w:rFonts w:ascii="宋体" w:hAnsi="宋体" w:eastAsia="宋体" w:cs="Times New Roman"/>
          <w:sz w:val="30"/>
          <w:szCs w:val="30"/>
        </w:rPr>
      </w:pPr>
    </w:p>
    <w:p>
      <w:pPr>
        <w:spacing w:line="460" w:lineRule="exact"/>
        <w:rPr>
          <w:rFonts w:ascii="宋体" w:hAnsi="宋体" w:eastAsia="宋体" w:cs="Times New Roman"/>
          <w:sz w:val="30"/>
          <w:szCs w:val="30"/>
        </w:rPr>
      </w:pPr>
      <w:r>
        <w:rPr>
          <w:rFonts w:hint="eastAsia" w:ascii="宋体" w:hAnsi="宋体" w:eastAsia="宋体" w:cs="Times New Roman"/>
          <w:sz w:val="30"/>
          <w:szCs w:val="30"/>
        </w:rPr>
        <w:t>2021年 10 月    日                 2021年 10  月    日</w:t>
      </w:r>
    </w:p>
    <w:p>
      <w:pPr>
        <w:spacing w:line="460" w:lineRule="exact"/>
        <w:rPr>
          <w:rFonts w:ascii="宋体" w:hAnsi="宋体" w:eastAsia="宋体" w:cs="Times New Roman"/>
          <w:sz w:val="30"/>
          <w:szCs w:val="30"/>
        </w:rPr>
      </w:pPr>
    </w:p>
    <w:p>
      <w:pPr>
        <w:spacing w:line="460" w:lineRule="exact"/>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2758447"/>
      <w:docPartObj>
        <w:docPartGallery w:val="autotext"/>
      </w:docPartObj>
    </w:sdtPr>
    <w:sdtContent>
      <w:sdt>
        <w:sdtPr>
          <w:id w:val="-1669238322"/>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52</w:t>
            </w:r>
            <w:r>
              <w:rPr>
                <w:b/>
                <w:bCs/>
                <w:sz w:val="24"/>
                <w:szCs w:val="24"/>
              </w:rPr>
              <w:fldChar w:fldCharType="end"/>
            </w:r>
          </w:p>
        </w:sdtContent>
      </w:sdt>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A2A1B06"/>
    <w:multiLevelType w:val="multilevel"/>
    <w:tmpl w:val="0A2A1B06"/>
    <w:lvl w:ilvl="0" w:tentative="0">
      <w:start w:val="6"/>
      <w:numFmt w:val="decimal"/>
      <w:suff w:val="space"/>
      <w:lvlText w:val="%1"/>
      <w:lvlJc w:val="left"/>
      <w:pPr>
        <w:ind w:left="0" w:firstLine="0"/>
      </w:pPr>
      <w:rPr>
        <w:rFonts w:hint="eastAsia" w:eastAsia="宋体"/>
        <w:b/>
        <w:i w:val="0"/>
        <w:color w:val="auto"/>
        <w:sz w:val="24"/>
        <w:szCs w:val="24"/>
      </w:rPr>
    </w:lvl>
    <w:lvl w:ilvl="1" w:tentative="0">
      <w:start w:val="1"/>
      <w:numFmt w:val="decimal"/>
      <w:suff w:val="space"/>
      <w:lvlText w:val="%1.%2"/>
      <w:lvlJc w:val="left"/>
      <w:pPr>
        <w:ind w:left="0" w:firstLine="0"/>
      </w:pPr>
      <w:rPr>
        <w:rFonts w:hint="default" w:ascii="Times New Roman" w:hAnsi="Times New Roman" w:eastAsia="宋体"/>
        <w:b/>
        <w:i w:val="0"/>
        <w:sz w:val="24"/>
        <w:szCs w:val="24"/>
      </w:rPr>
    </w:lvl>
    <w:lvl w:ilvl="2" w:tentative="0">
      <w:start w:val="6"/>
      <w:numFmt w:val="decimal"/>
      <w:lvlText w:val="%1.%2.%3"/>
      <w:lvlJc w:val="left"/>
      <w:pPr>
        <w:tabs>
          <w:tab w:val="left" w:pos="720"/>
        </w:tabs>
        <w:ind w:left="720" w:hanging="720"/>
      </w:pPr>
      <w:rPr>
        <w:rFonts w:hint="default" w:ascii="Times New Roman" w:hAnsi="Times New Roman"/>
        <w:b/>
        <w:i w:val="0"/>
        <w:sz w:val="24"/>
        <w:szCs w:val="24"/>
      </w:rPr>
    </w:lvl>
    <w:lvl w:ilvl="3" w:tentative="0">
      <w:start w:val="1"/>
      <w:numFmt w:val="decimal"/>
      <w:suff w:val="space"/>
      <w:lvlText w:val="%1.%2.%3.%4"/>
      <w:lvlJc w:val="left"/>
      <w:pPr>
        <w:ind w:left="0" w:firstLine="0"/>
      </w:pPr>
      <w:rPr>
        <w:rFonts w:hint="default" w:ascii="Times New Roman" w:hAnsi="Times New Roman" w:eastAsia="宋体"/>
        <w:b/>
        <w:i w:val="0"/>
        <w:w w:val="100"/>
        <w:sz w:val="24"/>
        <w:szCs w:val="24"/>
      </w:rPr>
    </w:lvl>
    <w:lvl w:ilvl="4" w:tentative="0">
      <w:start w:val="1"/>
      <w:numFmt w:val="decimal"/>
      <w:lvlText w:val="%1.%2.%3.%4.%5"/>
      <w:lvlJc w:val="left"/>
      <w:pPr>
        <w:tabs>
          <w:tab w:val="left" w:pos="1008"/>
        </w:tabs>
        <w:ind w:left="1008" w:hanging="1008"/>
      </w:pPr>
      <w:rPr>
        <w:rFonts w:hint="default" w:ascii="Times New Roman" w:hAnsi="Times New Roman"/>
        <w:b/>
        <w:i w:val="0"/>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15CD111F"/>
    <w:multiLevelType w:val="multilevel"/>
    <w:tmpl w:val="15CD111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4AE6C65"/>
    <w:multiLevelType w:val="multilevel"/>
    <w:tmpl w:val="24AE6C6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52D5C71"/>
    <w:multiLevelType w:val="multilevel"/>
    <w:tmpl w:val="252D5C71"/>
    <w:lvl w:ilvl="0" w:tentative="0">
      <w:start w:val="1"/>
      <w:numFmt w:val="decimal"/>
      <w:pStyle w:val="6"/>
      <w:suff w:val="space"/>
      <w:lvlText w:val="%1"/>
      <w:lvlJc w:val="left"/>
      <w:pPr>
        <w:ind w:left="0" w:firstLine="0"/>
      </w:pPr>
      <w:rPr>
        <w:rFonts w:hint="default" w:ascii="Times New Roman" w:hAnsi="Times New Roman" w:eastAsia="宋体"/>
        <w:b/>
        <w:i w:val="0"/>
        <w:color w:val="auto"/>
        <w:sz w:val="24"/>
        <w:szCs w:val="24"/>
      </w:rPr>
    </w:lvl>
    <w:lvl w:ilvl="1" w:tentative="0">
      <w:start w:val="1"/>
      <w:numFmt w:val="decimal"/>
      <w:suff w:val="space"/>
      <w:lvlText w:val="%1.%2"/>
      <w:lvlJc w:val="left"/>
      <w:pPr>
        <w:ind w:left="0" w:firstLine="0"/>
      </w:pPr>
      <w:rPr>
        <w:rFonts w:hint="default" w:ascii="Times New Roman" w:hAnsi="Times New Roman" w:eastAsia="宋体"/>
        <w:b/>
        <w:i w:val="0"/>
        <w:sz w:val="24"/>
        <w:szCs w:val="24"/>
      </w:rPr>
    </w:lvl>
    <w:lvl w:ilvl="2" w:tentative="0">
      <w:start w:val="1"/>
      <w:numFmt w:val="decimal"/>
      <w:suff w:val="space"/>
      <w:lvlText w:val="%1.%2.%3"/>
      <w:lvlJc w:val="left"/>
      <w:pPr>
        <w:ind w:left="0" w:firstLine="0"/>
      </w:pPr>
      <w:rPr>
        <w:rFonts w:hint="default" w:ascii="Times New Roman" w:hAnsi="Times New Roman" w:eastAsia="宋体"/>
        <w:b/>
        <w:i w:val="0"/>
        <w:sz w:val="24"/>
        <w:szCs w:val="24"/>
      </w:rPr>
    </w:lvl>
    <w:lvl w:ilvl="3" w:tentative="0">
      <w:start w:val="1"/>
      <w:numFmt w:val="decimal"/>
      <w:suff w:val="space"/>
      <w:lvlText w:val="%1.%2.%3.%4"/>
      <w:lvlJc w:val="left"/>
      <w:pPr>
        <w:ind w:left="0" w:firstLine="0"/>
      </w:pPr>
      <w:rPr>
        <w:rFonts w:hint="default" w:ascii="Times New Roman" w:hAnsi="Times New Roman" w:eastAsia="宋体"/>
        <w:b/>
        <w:i w:val="0"/>
        <w:sz w:val="24"/>
        <w:szCs w:val="24"/>
      </w:rPr>
    </w:lvl>
    <w:lvl w:ilvl="4" w:tentative="0">
      <w:start w:val="1"/>
      <w:numFmt w:val="decimal"/>
      <w:lvlText w:val="%1.%2.%3.%4.%5"/>
      <w:lvlJc w:val="left"/>
      <w:pPr>
        <w:tabs>
          <w:tab w:val="left" w:pos="1428"/>
        </w:tabs>
        <w:ind w:left="1428" w:hanging="1008"/>
      </w:pPr>
      <w:rPr>
        <w:rFonts w:hint="default" w:ascii="Times New Roman" w:hAnsi="Times New Roman"/>
        <w:b/>
        <w:i w:val="0"/>
        <w:sz w:val="24"/>
        <w:szCs w:val="24"/>
      </w:rPr>
    </w:lvl>
    <w:lvl w:ilvl="5" w:tentative="0">
      <w:start w:val="1"/>
      <w:numFmt w:val="decimal"/>
      <w:suff w:val="space"/>
      <w:lvlText w:val="%1.%2.%3.%4.%5.%6"/>
      <w:lvlJc w:val="left"/>
      <w:pPr>
        <w:ind w:left="1572" w:hanging="1152"/>
      </w:pPr>
      <w:rPr>
        <w:rFonts w:hint="default" w:ascii="Times New Roman" w:hAnsi="Times New Roman"/>
        <w:b/>
        <w:i w:val="0"/>
        <w:sz w:val="24"/>
        <w:szCs w:val="24"/>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5">
    <w:nsid w:val="2C9340C5"/>
    <w:multiLevelType w:val="multilevel"/>
    <w:tmpl w:val="2C9340C5"/>
    <w:lvl w:ilvl="0" w:tentative="0">
      <w:start w:val="7"/>
      <w:numFmt w:val="decimal"/>
      <w:suff w:val="space"/>
      <w:lvlText w:val="%1"/>
      <w:lvlJc w:val="left"/>
      <w:pPr>
        <w:ind w:left="0" w:firstLine="0"/>
      </w:pPr>
      <w:rPr>
        <w:rFonts w:hint="eastAsia" w:eastAsia="宋体"/>
        <w:b/>
        <w:i w:val="0"/>
        <w:color w:val="auto"/>
        <w:sz w:val="24"/>
        <w:szCs w:val="24"/>
      </w:rPr>
    </w:lvl>
    <w:lvl w:ilvl="1" w:tentative="0">
      <w:start w:val="1"/>
      <w:numFmt w:val="decimal"/>
      <w:suff w:val="space"/>
      <w:lvlText w:val="%1.%2"/>
      <w:lvlJc w:val="left"/>
      <w:pPr>
        <w:ind w:left="0" w:firstLine="0"/>
      </w:pPr>
      <w:rPr>
        <w:rFonts w:hint="default" w:ascii="Times New Roman" w:hAnsi="Times New Roman" w:eastAsia="宋体"/>
        <w:b/>
        <w:i w:val="0"/>
        <w:sz w:val="24"/>
        <w:szCs w:val="24"/>
      </w:rPr>
    </w:lvl>
    <w:lvl w:ilvl="2" w:tentative="0">
      <w:start w:val="6"/>
      <w:numFmt w:val="decimal"/>
      <w:lvlText w:val="%1.%2.%3"/>
      <w:lvlJc w:val="left"/>
      <w:pPr>
        <w:tabs>
          <w:tab w:val="left" w:pos="720"/>
        </w:tabs>
        <w:ind w:left="720" w:hanging="720"/>
      </w:pPr>
      <w:rPr>
        <w:rFonts w:hint="default" w:ascii="Times New Roman" w:hAnsi="Times New Roman"/>
        <w:b/>
        <w:i w:val="0"/>
        <w:sz w:val="24"/>
        <w:szCs w:val="24"/>
      </w:rPr>
    </w:lvl>
    <w:lvl w:ilvl="3" w:tentative="0">
      <w:start w:val="1"/>
      <w:numFmt w:val="decimal"/>
      <w:suff w:val="space"/>
      <w:lvlText w:val="%1.%2.%3.%4"/>
      <w:lvlJc w:val="left"/>
      <w:pPr>
        <w:ind w:left="0" w:firstLine="0"/>
      </w:pPr>
      <w:rPr>
        <w:rFonts w:hint="default" w:ascii="Times New Roman" w:hAnsi="Times New Roman" w:eastAsia="宋体"/>
        <w:b/>
        <w:i w:val="0"/>
        <w:w w:val="100"/>
        <w:sz w:val="24"/>
        <w:szCs w:val="24"/>
      </w:rPr>
    </w:lvl>
    <w:lvl w:ilvl="4" w:tentative="0">
      <w:start w:val="1"/>
      <w:numFmt w:val="decimal"/>
      <w:lvlText w:val="%1.%2.%3.%4.%5"/>
      <w:lvlJc w:val="left"/>
      <w:pPr>
        <w:tabs>
          <w:tab w:val="left" w:pos="1008"/>
        </w:tabs>
        <w:ind w:left="1008" w:hanging="1008"/>
      </w:pPr>
      <w:rPr>
        <w:rFonts w:hint="default" w:ascii="Times New Roman" w:hAnsi="Times New Roman"/>
        <w:b/>
        <w:i w:val="0"/>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2E897DA2"/>
    <w:multiLevelType w:val="multilevel"/>
    <w:tmpl w:val="2E897D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E9F3752"/>
    <w:multiLevelType w:val="multilevel"/>
    <w:tmpl w:val="2E9F3752"/>
    <w:lvl w:ilvl="0" w:tentative="0">
      <w:start w:val="2"/>
      <w:numFmt w:val="decimal"/>
      <w:suff w:val="space"/>
      <w:lvlText w:val="%1"/>
      <w:lvlJc w:val="left"/>
      <w:pPr>
        <w:ind w:left="420" w:firstLine="0"/>
      </w:pPr>
      <w:rPr>
        <w:rFonts w:hint="eastAsia" w:eastAsia="宋体"/>
        <w:b/>
        <w:i w:val="0"/>
        <w:color w:val="auto"/>
        <w:sz w:val="24"/>
        <w:szCs w:val="24"/>
      </w:rPr>
    </w:lvl>
    <w:lvl w:ilvl="1" w:tentative="0">
      <w:start w:val="1"/>
      <w:numFmt w:val="decimal"/>
      <w:suff w:val="space"/>
      <w:lvlText w:val="%1.%2"/>
      <w:lvlJc w:val="left"/>
      <w:pPr>
        <w:ind w:left="420" w:firstLine="0"/>
      </w:pPr>
      <w:rPr>
        <w:rFonts w:hint="default" w:ascii="Times New Roman" w:hAnsi="Times New Roman" w:eastAsia="宋体"/>
        <w:b/>
        <w:i w:val="0"/>
        <w:sz w:val="24"/>
        <w:szCs w:val="24"/>
      </w:rPr>
    </w:lvl>
    <w:lvl w:ilvl="2" w:tentative="0">
      <w:start w:val="1"/>
      <w:numFmt w:val="decimal"/>
      <w:suff w:val="space"/>
      <w:lvlText w:val="%1.%2.%3"/>
      <w:lvlJc w:val="left"/>
      <w:pPr>
        <w:ind w:left="0" w:firstLine="0"/>
      </w:pPr>
      <w:rPr>
        <w:rFonts w:hint="default" w:ascii="Times New Roman" w:hAnsi="Times New Roman" w:eastAsia="宋体"/>
        <w:b/>
        <w:i w:val="0"/>
        <w:sz w:val="24"/>
        <w:szCs w:val="24"/>
      </w:rPr>
    </w:lvl>
    <w:lvl w:ilvl="3" w:tentative="0">
      <w:start w:val="1"/>
      <w:numFmt w:val="decimal"/>
      <w:suff w:val="space"/>
      <w:lvlText w:val="%1.%2.%3.%4"/>
      <w:lvlJc w:val="left"/>
      <w:pPr>
        <w:ind w:left="0" w:firstLine="0"/>
      </w:pPr>
      <w:rPr>
        <w:rFonts w:hint="default" w:ascii="Times New Roman" w:hAnsi="Times New Roman" w:eastAsia="宋体"/>
        <w:b/>
        <w:i w:val="0"/>
        <w:sz w:val="24"/>
        <w:szCs w:val="24"/>
      </w:rPr>
    </w:lvl>
    <w:lvl w:ilvl="4" w:tentative="0">
      <w:start w:val="1"/>
      <w:numFmt w:val="decimal"/>
      <w:suff w:val="space"/>
      <w:lvlText w:val="%1.%2.%3.%4.%5"/>
      <w:lvlJc w:val="left"/>
      <w:pPr>
        <w:ind w:left="1428" w:hanging="1008"/>
      </w:pPr>
      <w:rPr>
        <w:rFonts w:hint="default" w:ascii="Times New Roman" w:hAnsi="Times New Roman"/>
        <w:b/>
        <w:i w:val="0"/>
        <w:sz w:val="24"/>
        <w:szCs w:val="24"/>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8">
    <w:nsid w:val="3BE1731F"/>
    <w:multiLevelType w:val="multilevel"/>
    <w:tmpl w:val="3BE1731F"/>
    <w:lvl w:ilvl="0" w:tentative="0">
      <w:start w:val="8"/>
      <w:numFmt w:val="decimal"/>
      <w:suff w:val="space"/>
      <w:lvlText w:val="%1"/>
      <w:lvlJc w:val="left"/>
      <w:pPr>
        <w:ind w:left="0" w:firstLine="0"/>
      </w:pPr>
      <w:rPr>
        <w:rFonts w:hint="eastAsia" w:eastAsia="宋体"/>
        <w:b/>
        <w:i w:val="0"/>
        <w:color w:val="auto"/>
        <w:sz w:val="24"/>
        <w:szCs w:val="24"/>
      </w:rPr>
    </w:lvl>
    <w:lvl w:ilvl="1" w:tentative="0">
      <w:start w:val="1"/>
      <w:numFmt w:val="decimal"/>
      <w:suff w:val="space"/>
      <w:lvlText w:val="%1.%2"/>
      <w:lvlJc w:val="left"/>
      <w:pPr>
        <w:ind w:left="0" w:firstLine="0"/>
      </w:pPr>
      <w:rPr>
        <w:rFonts w:hint="default" w:ascii="Times New Roman" w:hAnsi="Times New Roman" w:eastAsia="宋体"/>
        <w:b/>
        <w:i w:val="0"/>
        <w:sz w:val="24"/>
        <w:szCs w:val="24"/>
      </w:rPr>
    </w:lvl>
    <w:lvl w:ilvl="2" w:tentative="0">
      <w:start w:val="6"/>
      <w:numFmt w:val="decimal"/>
      <w:lvlText w:val="%1.%2.%3"/>
      <w:lvlJc w:val="left"/>
      <w:pPr>
        <w:tabs>
          <w:tab w:val="left" w:pos="720"/>
        </w:tabs>
        <w:ind w:left="720" w:hanging="720"/>
      </w:pPr>
      <w:rPr>
        <w:rFonts w:hint="default" w:ascii="Times New Roman" w:hAnsi="Times New Roman"/>
        <w:b/>
        <w:i w:val="0"/>
        <w:sz w:val="24"/>
        <w:szCs w:val="24"/>
      </w:rPr>
    </w:lvl>
    <w:lvl w:ilvl="3" w:tentative="0">
      <w:start w:val="1"/>
      <w:numFmt w:val="decimal"/>
      <w:suff w:val="space"/>
      <w:lvlText w:val="%1.%2.%3.%4"/>
      <w:lvlJc w:val="left"/>
      <w:pPr>
        <w:ind w:left="0" w:firstLine="0"/>
      </w:pPr>
      <w:rPr>
        <w:rFonts w:hint="default" w:ascii="Times New Roman" w:hAnsi="Times New Roman" w:eastAsia="宋体"/>
        <w:b/>
        <w:i w:val="0"/>
        <w:w w:val="100"/>
        <w:sz w:val="24"/>
        <w:szCs w:val="24"/>
      </w:rPr>
    </w:lvl>
    <w:lvl w:ilvl="4" w:tentative="0">
      <w:start w:val="1"/>
      <w:numFmt w:val="decimal"/>
      <w:lvlText w:val="%1.%2.%3.%4.%5"/>
      <w:lvlJc w:val="left"/>
      <w:pPr>
        <w:tabs>
          <w:tab w:val="left" w:pos="1008"/>
        </w:tabs>
        <w:ind w:left="1008" w:hanging="1008"/>
      </w:pPr>
      <w:rPr>
        <w:rFonts w:hint="default" w:ascii="Times New Roman" w:hAnsi="Times New Roman"/>
        <w:b/>
        <w:i w:val="0"/>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9">
    <w:nsid w:val="5DE026E1"/>
    <w:multiLevelType w:val="multilevel"/>
    <w:tmpl w:val="5DE026E1"/>
    <w:lvl w:ilvl="0" w:tentative="0">
      <w:start w:val="5"/>
      <w:numFmt w:val="decimal"/>
      <w:suff w:val="space"/>
      <w:lvlText w:val="%1"/>
      <w:lvlJc w:val="left"/>
      <w:pPr>
        <w:ind w:left="0" w:firstLine="0"/>
      </w:pPr>
      <w:rPr>
        <w:rFonts w:hint="eastAsia" w:eastAsia="宋体"/>
        <w:b/>
        <w:i w:val="0"/>
        <w:color w:val="auto"/>
        <w:sz w:val="24"/>
        <w:szCs w:val="24"/>
      </w:rPr>
    </w:lvl>
    <w:lvl w:ilvl="1" w:tentative="0">
      <w:start w:val="1"/>
      <w:numFmt w:val="decimal"/>
      <w:suff w:val="space"/>
      <w:lvlText w:val="%1.%2"/>
      <w:lvlJc w:val="left"/>
      <w:pPr>
        <w:ind w:left="0" w:firstLine="0"/>
      </w:pPr>
      <w:rPr>
        <w:rFonts w:hint="default" w:ascii="Times New Roman" w:hAnsi="Times New Roman" w:eastAsia="宋体"/>
        <w:b/>
        <w:i w:val="0"/>
        <w:sz w:val="24"/>
        <w:szCs w:val="24"/>
      </w:rPr>
    </w:lvl>
    <w:lvl w:ilvl="2" w:tentative="0">
      <w:start w:val="6"/>
      <w:numFmt w:val="decimal"/>
      <w:lvlText w:val="%1.%2.%3"/>
      <w:lvlJc w:val="left"/>
      <w:pPr>
        <w:tabs>
          <w:tab w:val="left" w:pos="720"/>
        </w:tabs>
        <w:ind w:left="720" w:hanging="720"/>
      </w:pPr>
      <w:rPr>
        <w:rFonts w:hint="default" w:ascii="Times New Roman" w:hAnsi="Times New Roman"/>
        <w:b/>
        <w:i w:val="0"/>
        <w:sz w:val="24"/>
        <w:szCs w:val="24"/>
      </w:rPr>
    </w:lvl>
    <w:lvl w:ilvl="3" w:tentative="0">
      <w:start w:val="1"/>
      <w:numFmt w:val="decimal"/>
      <w:suff w:val="space"/>
      <w:lvlText w:val="%1.%2.%3.%4"/>
      <w:lvlJc w:val="left"/>
      <w:pPr>
        <w:ind w:left="0" w:firstLine="0"/>
      </w:pPr>
      <w:rPr>
        <w:rFonts w:hint="default" w:ascii="Times New Roman" w:hAnsi="Times New Roman" w:eastAsia="宋体"/>
        <w:b/>
        <w:i w:val="0"/>
        <w:w w:val="100"/>
        <w:sz w:val="24"/>
        <w:szCs w:val="24"/>
      </w:rPr>
    </w:lvl>
    <w:lvl w:ilvl="4" w:tentative="0">
      <w:start w:val="1"/>
      <w:numFmt w:val="decimal"/>
      <w:lvlText w:val="%1.%2.%3.%4.%5"/>
      <w:lvlJc w:val="left"/>
      <w:pPr>
        <w:tabs>
          <w:tab w:val="left" w:pos="1008"/>
        </w:tabs>
        <w:ind w:left="1008" w:hanging="1008"/>
      </w:pPr>
      <w:rPr>
        <w:rFonts w:hint="default" w:ascii="Times New Roman" w:hAnsi="Times New Roman"/>
        <w:b/>
        <w:i w:val="0"/>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62BC1528"/>
    <w:multiLevelType w:val="multilevel"/>
    <w:tmpl w:val="62BC1528"/>
    <w:lvl w:ilvl="0" w:tentative="0">
      <w:start w:val="4"/>
      <w:numFmt w:val="decimal"/>
      <w:suff w:val="space"/>
      <w:lvlText w:val="%1"/>
      <w:lvlJc w:val="left"/>
      <w:pPr>
        <w:ind w:left="0" w:firstLine="0"/>
      </w:pPr>
      <w:rPr>
        <w:rFonts w:hint="eastAsia" w:eastAsia="宋体"/>
        <w:b/>
        <w:i w:val="0"/>
        <w:color w:val="auto"/>
        <w:sz w:val="24"/>
        <w:szCs w:val="24"/>
      </w:rPr>
    </w:lvl>
    <w:lvl w:ilvl="1" w:tentative="0">
      <w:start w:val="1"/>
      <w:numFmt w:val="decimal"/>
      <w:suff w:val="space"/>
      <w:lvlText w:val="%1.%2"/>
      <w:lvlJc w:val="left"/>
      <w:pPr>
        <w:ind w:left="0" w:firstLine="0"/>
      </w:pPr>
      <w:rPr>
        <w:rFonts w:hint="default" w:ascii="Times New Roman" w:hAnsi="Times New Roman" w:eastAsia="宋体"/>
        <w:b/>
        <w:i w:val="0"/>
        <w:sz w:val="24"/>
        <w:szCs w:val="24"/>
      </w:rPr>
    </w:lvl>
    <w:lvl w:ilvl="2" w:tentative="0">
      <w:start w:val="6"/>
      <w:numFmt w:val="decimal"/>
      <w:lvlText w:val="%1.%2.%3"/>
      <w:lvlJc w:val="left"/>
      <w:pPr>
        <w:tabs>
          <w:tab w:val="left" w:pos="720"/>
        </w:tabs>
        <w:ind w:left="720" w:hanging="720"/>
      </w:pPr>
      <w:rPr>
        <w:rFonts w:hint="default" w:ascii="Times New Roman" w:hAnsi="Times New Roman"/>
        <w:b/>
        <w:i w:val="0"/>
        <w:sz w:val="24"/>
        <w:szCs w:val="24"/>
      </w:rPr>
    </w:lvl>
    <w:lvl w:ilvl="3" w:tentative="0">
      <w:start w:val="1"/>
      <w:numFmt w:val="decimal"/>
      <w:suff w:val="space"/>
      <w:lvlText w:val="%1.%2.%3.%4"/>
      <w:lvlJc w:val="left"/>
      <w:pPr>
        <w:ind w:left="0" w:firstLine="0"/>
      </w:pPr>
      <w:rPr>
        <w:rFonts w:hint="default" w:ascii="Times New Roman" w:hAnsi="Times New Roman" w:eastAsia="宋体"/>
        <w:b/>
        <w:i w:val="0"/>
        <w:w w:val="100"/>
        <w:sz w:val="24"/>
        <w:szCs w:val="24"/>
      </w:rPr>
    </w:lvl>
    <w:lvl w:ilvl="4" w:tentative="0">
      <w:start w:val="1"/>
      <w:numFmt w:val="decimal"/>
      <w:lvlText w:val="%1.%2.%3.%4.%5"/>
      <w:lvlJc w:val="left"/>
      <w:pPr>
        <w:tabs>
          <w:tab w:val="left" w:pos="1008"/>
        </w:tabs>
        <w:ind w:left="1008" w:hanging="1008"/>
      </w:pPr>
      <w:rPr>
        <w:rFonts w:hint="default" w:ascii="Times New Roman" w:hAnsi="Times New Roman"/>
        <w:b/>
        <w:i w:val="0"/>
        <w:sz w:val="24"/>
        <w:szCs w:val="24"/>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1">
    <w:nsid w:val="772F2819"/>
    <w:multiLevelType w:val="multilevel"/>
    <w:tmpl w:val="772F2819"/>
    <w:lvl w:ilvl="0" w:tentative="0">
      <w:start w:val="1"/>
      <w:numFmt w:val="japaneseCounting"/>
      <w:lvlText w:val="%1、"/>
      <w:lvlJc w:val="left"/>
      <w:pPr>
        <w:ind w:left="1103" w:hanging="503"/>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2">
    <w:nsid w:val="7D6B57F3"/>
    <w:multiLevelType w:val="multilevel"/>
    <w:tmpl w:val="7D6B57F3"/>
    <w:lvl w:ilvl="0" w:tentative="0">
      <w:start w:val="3"/>
      <w:numFmt w:val="decimal"/>
      <w:suff w:val="space"/>
      <w:lvlText w:val="%1"/>
      <w:lvlJc w:val="left"/>
      <w:pPr>
        <w:ind w:left="420" w:firstLine="0"/>
      </w:pPr>
      <w:rPr>
        <w:rFonts w:hint="eastAsia" w:eastAsia="宋体"/>
        <w:b/>
        <w:i w:val="0"/>
        <w:color w:val="auto"/>
        <w:sz w:val="24"/>
        <w:szCs w:val="24"/>
      </w:rPr>
    </w:lvl>
    <w:lvl w:ilvl="1" w:tentative="0">
      <w:start w:val="1"/>
      <w:numFmt w:val="decimal"/>
      <w:suff w:val="space"/>
      <w:lvlText w:val="%1.%2"/>
      <w:lvlJc w:val="left"/>
      <w:pPr>
        <w:ind w:left="0" w:firstLine="0"/>
      </w:pPr>
      <w:rPr>
        <w:rFonts w:hint="default" w:ascii="Times New Roman" w:hAnsi="Times New Roman" w:eastAsia="宋体"/>
        <w:b/>
        <w:i w:val="0"/>
        <w:sz w:val="24"/>
        <w:szCs w:val="24"/>
      </w:rPr>
    </w:lvl>
    <w:lvl w:ilvl="2" w:tentative="0">
      <w:start w:val="1"/>
      <w:numFmt w:val="decimal"/>
      <w:suff w:val="space"/>
      <w:lvlText w:val="%1.%2.%3"/>
      <w:lvlJc w:val="left"/>
      <w:pPr>
        <w:ind w:left="0" w:firstLine="0"/>
      </w:pPr>
      <w:rPr>
        <w:rFonts w:hint="default" w:ascii="Times New Roman" w:hAnsi="Times New Roman" w:eastAsia="宋体"/>
        <w:b/>
        <w:i w:val="0"/>
        <w:sz w:val="24"/>
        <w:szCs w:val="24"/>
      </w:rPr>
    </w:lvl>
    <w:lvl w:ilvl="3" w:tentative="0">
      <w:start w:val="1"/>
      <w:numFmt w:val="decimal"/>
      <w:suff w:val="space"/>
      <w:lvlText w:val="%1.%2.%3.%4"/>
      <w:lvlJc w:val="left"/>
      <w:pPr>
        <w:ind w:left="0" w:firstLine="0"/>
      </w:pPr>
      <w:rPr>
        <w:rFonts w:hint="default" w:ascii="Times New Roman" w:hAnsi="Times New Roman" w:eastAsia="宋体"/>
        <w:b/>
        <w:i w:val="0"/>
        <w:sz w:val="24"/>
        <w:szCs w:val="24"/>
      </w:rPr>
    </w:lvl>
    <w:lvl w:ilvl="4" w:tentative="0">
      <w:start w:val="1"/>
      <w:numFmt w:val="decimal"/>
      <w:suff w:val="space"/>
      <w:lvlText w:val="%1.%2.%3.%4.%5"/>
      <w:lvlJc w:val="left"/>
      <w:pPr>
        <w:ind w:left="1428" w:hanging="1008"/>
      </w:pPr>
      <w:rPr>
        <w:rFonts w:hint="default" w:ascii="Times New Roman" w:hAnsi="Times New Roman"/>
        <w:b/>
        <w:i w:val="0"/>
        <w:sz w:val="24"/>
        <w:szCs w:val="24"/>
      </w:rPr>
    </w:lvl>
    <w:lvl w:ilvl="5" w:tentative="0">
      <w:start w:val="1"/>
      <w:numFmt w:val="decimal"/>
      <w:lvlText w:val="%1.%2.%3.%4.%5.%6"/>
      <w:lvlJc w:val="left"/>
      <w:pPr>
        <w:tabs>
          <w:tab w:val="left" w:pos="1572"/>
        </w:tabs>
        <w:ind w:left="1572" w:hanging="1152"/>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13">
    <w:nsid w:val="7F813F93"/>
    <w:multiLevelType w:val="multilevel"/>
    <w:tmpl w:val="7F813F9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1"/>
  </w:num>
  <w:num w:numId="3">
    <w:abstractNumId w:val="6"/>
  </w:num>
  <w:num w:numId="4">
    <w:abstractNumId w:val="13"/>
  </w:num>
  <w:num w:numId="5">
    <w:abstractNumId w:val="2"/>
  </w:num>
  <w:num w:numId="6">
    <w:abstractNumId w:val="0"/>
  </w:num>
  <w:num w:numId="7">
    <w:abstractNumId w:val="3"/>
  </w:num>
  <w:num w:numId="8">
    <w:abstractNumId w:val="7"/>
  </w:num>
  <w:num w:numId="9">
    <w:abstractNumId w:val="12"/>
  </w:num>
  <w:num w:numId="10">
    <w:abstractNumId w:val="10"/>
  </w:num>
  <w:num w:numId="11">
    <w:abstractNumId w:val="9"/>
  </w:num>
  <w:num w:numId="12">
    <w:abstractNumId w:val="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E0D00"/>
    <w:rsid w:val="00001991"/>
    <w:rsid w:val="00006CD1"/>
    <w:rsid w:val="000418CA"/>
    <w:rsid w:val="00045840"/>
    <w:rsid w:val="00051952"/>
    <w:rsid w:val="000569F9"/>
    <w:rsid w:val="00062D77"/>
    <w:rsid w:val="00091F52"/>
    <w:rsid w:val="000D24B3"/>
    <w:rsid w:val="00124019"/>
    <w:rsid w:val="001351F0"/>
    <w:rsid w:val="00140160"/>
    <w:rsid w:val="00142DC4"/>
    <w:rsid w:val="00162C64"/>
    <w:rsid w:val="001657D5"/>
    <w:rsid w:val="001672D5"/>
    <w:rsid w:val="00187701"/>
    <w:rsid w:val="00192A3E"/>
    <w:rsid w:val="0019729F"/>
    <w:rsid w:val="001B43EC"/>
    <w:rsid w:val="001F7793"/>
    <w:rsid w:val="00206B4A"/>
    <w:rsid w:val="00224E1B"/>
    <w:rsid w:val="002269C9"/>
    <w:rsid w:val="00236A43"/>
    <w:rsid w:val="002533BD"/>
    <w:rsid w:val="002566E6"/>
    <w:rsid w:val="00260C26"/>
    <w:rsid w:val="00275DD0"/>
    <w:rsid w:val="002D0A14"/>
    <w:rsid w:val="002D535B"/>
    <w:rsid w:val="002F0CFC"/>
    <w:rsid w:val="002F1725"/>
    <w:rsid w:val="00310031"/>
    <w:rsid w:val="00322653"/>
    <w:rsid w:val="00325F21"/>
    <w:rsid w:val="0034560B"/>
    <w:rsid w:val="00352AC4"/>
    <w:rsid w:val="00353EDD"/>
    <w:rsid w:val="0035561E"/>
    <w:rsid w:val="00363885"/>
    <w:rsid w:val="003653CA"/>
    <w:rsid w:val="00381114"/>
    <w:rsid w:val="00382098"/>
    <w:rsid w:val="0038588A"/>
    <w:rsid w:val="0039693F"/>
    <w:rsid w:val="003A69CA"/>
    <w:rsid w:val="003B0891"/>
    <w:rsid w:val="003B3793"/>
    <w:rsid w:val="003C24C1"/>
    <w:rsid w:val="003D28EB"/>
    <w:rsid w:val="0040001F"/>
    <w:rsid w:val="00402E8F"/>
    <w:rsid w:val="00403FF2"/>
    <w:rsid w:val="004236C5"/>
    <w:rsid w:val="00426E8E"/>
    <w:rsid w:val="004363AB"/>
    <w:rsid w:val="00477DB2"/>
    <w:rsid w:val="00484422"/>
    <w:rsid w:val="004C5ED7"/>
    <w:rsid w:val="004D1172"/>
    <w:rsid w:val="004D3DCB"/>
    <w:rsid w:val="004F7973"/>
    <w:rsid w:val="00500B51"/>
    <w:rsid w:val="00504045"/>
    <w:rsid w:val="00523F8D"/>
    <w:rsid w:val="00531329"/>
    <w:rsid w:val="0053476A"/>
    <w:rsid w:val="005864EF"/>
    <w:rsid w:val="005974B7"/>
    <w:rsid w:val="005D0516"/>
    <w:rsid w:val="00653692"/>
    <w:rsid w:val="00697711"/>
    <w:rsid w:val="006B2106"/>
    <w:rsid w:val="006B378E"/>
    <w:rsid w:val="006F5C74"/>
    <w:rsid w:val="006F7DA6"/>
    <w:rsid w:val="0072277B"/>
    <w:rsid w:val="0072688B"/>
    <w:rsid w:val="00735FD3"/>
    <w:rsid w:val="00762987"/>
    <w:rsid w:val="00777041"/>
    <w:rsid w:val="007A4D0A"/>
    <w:rsid w:val="007B5092"/>
    <w:rsid w:val="007C6611"/>
    <w:rsid w:val="00834E07"/>
    <w:rsid w:val="0083694F"/>
    <w:rsid w:val="00840600"/>
    <w:rsid w:val="00847E2B"/>
    <w:rsid w:val="0086510D"/>
    <w:rsid w:val="008654CB"/>
    <w:rsid w:val="00870139"/>
    <w:rsid w:val="008A44E3"/>
    <w:rsid w:val="008B180B"/>
    <w:rsid w:val="008B7920"/>
    <w:rsid w:val="008C3D13"/>
    <w:rsid w:val="008C4201"/>
    <w:rsid w:val="008D4F3B"/>
    <w:rsid w:val="008D6573"/>
    <w:rsid w:val="008F5247"/>
    <w:rsid w:val="0090166D"/>
    <w:rsid w:val="00911DD4"/>
    <w:rsid w:val="009415D0"/>
    <w:rsid w:val="00950260"/>
    <w:rsid w:val="00964F96"/>
    <w:rsid w:val="009C7A22"/>
    <w:rsid w:val="009D4DD3"/>
    <w:rsid w:val="00A058DF"/>
    <w:rsid w:val="00A10FC1"/>
    <w:rsid w:val="00A24CD9"/>
    <w:rsid w:val="00A320D4"/>
    <w:rsid w:val="00A321CA"/>
    <w:rsid w:val="00A45CCE"/>
    <w:rsid w:val="00A53FDA"/>
    <w:rsid w:val="00A83E4C"/>
    <w:rsid w:val="00A8639F"/>
    <w:rsid w:val="00A97C1C"/>
    <w:rsid w:val="00AA2AC3"/>
    <w:rsid w:val="00AB4033"/>
    <w:rsid w:val="00AC2E34"/>
    <w:rsid w:val="00AE0D00"/>
    <w:rsid w:val="00AF67AF"/>
    <w:rsid w:val="00B01C17"/>
    <w:rsid w:val="00B12B4B"/>
    <w:rsid w:val="00B269A8"/>
    <w:rsid w:val="00B34448"/>
    <w:rsid w:val="00B376A8"/>
    <w:rsid w:val="00B63113"/>
    <w:rsid w:val="00B675D9"/>
    <w:rsid w:val="00B94213"/>
    <w:rsid w:val="00BB6019"/>
    <w:rsid w:val="00BD23C6"/>
    <w:rsid w:val="00BF15DE"/>
    <w:rsid w:val="00C00EAB"/>
    <w:rsid w:val="00C10A9C"/>
    <w:rsid w:val="00C213C5"/>
    <w:rsid w:val="00C35E73"/>
    <w:rsid w:val="00C36CE0"/>
    <w:rsid w:val="00C55264"/>
    <w:rsid w:val="00C76854"/>
    <w:rsid w:val="00C8372F"/>
    <w:rsid w:val="00C96EB2"/>
    <w:rsid w:val="00CA7714"/>
    <w:rsid w:val="00CB091B"/>
    <w:rsid w:val="00CC5E7A"/>
    <w:rsid w:val="00CE224F"/>
    <w:rsid w:val="00CF0ED5"/>
    <w:rsid w:val="00D02213"/>
    <w:rsid w:val="00D14909"/>
    <w:rsid w:val="00D24496"/>
    <w:rsid w:val="00D256E1"/>
    <w:rsid w:val="00DA0146"/>
    <w:rsid w:val="00DA20DA"/>
    <w:rsid w:val="00DB657C"/>
    <w:rsid w:val="00DD6780"/>
    <w:rsid w:val="00DD6E76"/>
    <w:rsid w:val="00DD7534"/>
    <w:rsid w:val="00DF10A4"/>
    <w:rsid w:val="00E003D3"/>
    <w:rsid w:val="00E12BC0"/>
    <w:rsid w:val="00E42777"/>
    <w:rsid w:val="00E4372E"/>
    <w:rsid w:val="00E5074A"/>
    <w:rsid w:val="00E6384F"/>
    <w:rsid w:val="00E9091B"/>
    <w:rsid w:val="00E91D6D"/>
    <w:rsid w:val="00EF3355"/>
    <w:rsid w:val="00F12F42"/>
    <w:rsid w:val="00F1484D"/>
    <w:rsid w:val="00F16A66"/>
    <w:rsid w:val="00F244AC"/>
    <w:rsid w:val="00F4099A"/>
    <w:rsid w:val="00F4590F"/>
    <w:rsid w:val="00F55143"/>
    <w:rsid w:val="00F73416"/>
    <w:rsid w:val="00F815DD"/>
    <w:rsid w:val="00F97E55"/>
    <w:rsid w:val="00FB4B0D"/>
    <w:rsid w:val="00FC4147"/>
    <w:rsid w:val="00FE7691"/>
    <w:rsid w:val="053A6677"/>
    <w:rsid w:val="0B2F5309"/>
    <w:rsid w:val="223D2BD2"/>
    <w:rsid w:val="325B436F"/>
    <w:rsid w:val="379638F0"/>
    <w:rsid w:val="4906352D"/>
    <w:rsid w:val="4B654280"/>
    <w:rsid w:val="5190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numPr>
        <w:ilvl w:val="0"/>
        <w:numId w:val="1"/>
      </w:numPr>
      <w:tabs>
        <w:tab w:val="left" w:pos="420"/>
      </w:tabs>
      <w:spacing w:line="360" w:lineRule="auto"/>
    </w:pPr>
    <w:rPr>
      <w:rFonts w:ascii="Times New Roman" w:hAnsi="Times New Roman" w:eastAsia="宋体" w:cs="Times New Roman"/>
      <w:b/>
      <w:sz w:val="24"/>
      <w:szCs w:val="24"/>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rPr>
  </w:style>
  <w:style w:type="character" w:styleId="12">
    <w:name w:val="annotation reference"/>
    <w:basedOn w:val="10"/>
    <w:semiHidden/>
    <w:unhideWhenUsed/>
    <w:qFormat/>
    <w:uiPriority w:val="99"/>
    <w:rPr>
      <w:sz w:val="21"/>
      <w:szCs w:val="21"/>
    </w:rPr>
  </w:style>
  <w:style w:type="paragraph" w:styleId="13">
    <w:name w:val="List Paragraph"/>
    <w:basedOn w:val="1"/>
    <w:qFormat/>
    <w:uiPriority w:val="34"/>
    <w:pPr>
      <w:widowControl/>
      <w:ind w:firstLine="420" w:firstLineChars="200"/>
      <w:jc w:val="left"/>
    </w:pPr>
    <w:rPr>
      <w:rFonts w:ascii="Calibri" w:hAnsi="Calibri" w:cs="Arial"/>
      <w:kern w:val="0"/>
      <w:sz w:val="20"/>
      <w:szCs w:val="20"/>
    </w:rPr>
  </w:style>
  <w:style w:type="character" w:customStyle="1" w:styleId="14">
    <w:name w:val="页眉 字符"/>
    <w:basedOn w:val="10"/>
    <w:link w:val="5"/>
    <w:qFormat/>
    <w:uiPriority w:val="99"/>
    <w:rPr>
      <w:sz w:val="18"/>
      <w:szCs w:val="18"/>
    </w:rPr>
  </w:style>
  <w:style w:type="character" w:customStyle="1" w:styleId="15">
    <w:name w:val="页脚 字符"/>
    <w:basedOn w:val="10"/>
    <w:link w:val="4"/>
    <w:qFormat/>
    <w:uiPriority w:val="99"/>
    <w:rPr>
      <w:sz w:val="18"/>
      <w:szCs w:val="18"/>
    </w:rPr>
  </w:style>
  <w:style w:type="character" w:customStyle="1" w:styleId="16">
    <w:name w:val="批注框文本 字符"/>
    <w:basedOn w:val="10"/>
    <w:link w:val="3"/>
    <w:semiHidden/>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字符"/>
    <w:basedOn w:val="10"/>
    <w:link w:val="2"/>
    <w:semiHidden/>
    <w:qFormat/>
    <w:uiPriority w:val="99"/>
    <w:rPr>
      <w:kern w:val="2"/>
      <w:sz w:val="21"/>
      <w:szCs w:val="22"/>
    </w:rPr>
  </w:style>
  <w:style w:type="character" w:customStyle="1" w:styleId="19">
    <w:name w:val="批注主题 字符"/>
    <w:basedOn w:val="18"/>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83"/>
    <customShpInfo spid="_x0000_s2053"/>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6935A-15DC-4D9C-BB70-B67A73AB51F0}">
  <ds:schemaRefs/>
</ds:datastoreItem>
</file>

<file path=docProps/app.xml><?xml version="1.0" encoding="utf-8"?>
<Properties xmlns="http://schemas.openxmlformats.org/officeDocument/2006/extended-properties" xmlns:vt="http://schemas.openxmlformats.org/officeDocument/2006/docPropsVTypes">
  <Template>Normal</Template>
  <Pages>50</Pages>
  <Words>4265</Words>
  <Characters>24317</Characters>
  <Lines>202</Lines>
  <Paragraphs>57</Paragraphs>
  <TotalTime>12</TotalTime>
  <ScaleCrop>false</ScaleCrop>
  <LinksUpToDate>false</LinksUpToDate>
  <CharactersWithSpaces>28525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2021-09-05T12:26:00Z</dcterms:created>
  <dc:creator>xb21cn</dc:creator>
  <cp:lastModifiedBy>Lx.</cp:lastModifiedBy>
  <cp:lastPrinted>2021-09-06T03:10:00Z</cp:lastPrinted>
  <dcterms:modified xsi:type="dcterms:W3CDTF">2021-09-08T02:02:30Z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6F22D527D5054EBFB81A73AF1E89A01B</vt:lpwstr>
  </property>
</Properties>
</file>