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hint="eastAsia" w:ascii="宋体" w:hAnsi="宋体" w:eastAsia="宋体"/>
          <w:sz w:val="32"/>
        </w:rPr>
      </w:pPr>
    </w:p>
    <w:p>
      <w:pPr>
        <w:pStyle w:val="2"/>
        <w:kinsoku w:val="0"/>
        <w:wordWrap w:val="0"/>
        <w:topLinePunct/>
        <w:autoSpaceDE/>
        <w:spacing w:line="240" w:lineRule="auto"/>
        <w:jc w:val="center"/>
        <w:rPr>
          <w:rFonts w:hint="eastAsia" w:ascii="宋体" w:hAnsi="宋体" w:eastAsia="宋体"/>
          <w:sz w:val="44"/>
        </w:rPr>
      </w:pPr>
      <w:r>
        <w:rPr>
          <w:rFonts w:hint="eastAsia" w:ascii="宋体" w:hAnsi="宋体" w:eastAsia="宋体"/>
          <w:sz w:val="44"/>
        </w:rPr>
        <w:t>汕头大学医学院技术服务招标项目</w:t>
      </w:r>
    </w:p>
    <w:p>
      <w:pPr>
        <w:kinsoku w:val="0"/>
        <w:wordWrap w:val="0"/>
        <w:topLinePunct/>
        <w:rPr>
          <w:rFonts w:hint="eastAsia" w:ascii="宋体" w:eastAsia="宋体"/>
        </w:rPr>
      </w:pPr>
    </w:p>
    <w:p>
      <w:pPr>
        <w:pStyle w:val="2"/>
        <w:kinsoku w:val="0"/>
        <w:wordWrap w:val="0"/>
        <w:topLinePunct/>
        <w:autoSpaceDE/>
        <w:spacing w:line="240" w:lineRule="auto"/>
        <w:jc w:val="center"/>
        <w:rPr>
          <w:rFonts w:hint="eastAsia" w:ascii="宋体" w:hAnsi="宋体" w:eastAsia="宋体"/>
          <w:b/>
          <w:sz w:val="72"/>
        </w:rPr>
      </w:pPr>
      <w:r>
        <w:rPr>
          <w:rFonts w:hint="eastAsia" w:ascii="宋体" w:hAnsi="宋体" w:eastAsia="宋体"/>
          <w:b/>
          <w:sz w:val="72"/>
        </w:rPr>
        <w:t>招   标   文   件</w:t>
      </w: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w:t>
      </w:r>
      <w:r>
        <w:rPr>
          <w:rFonts w:hint="eastAsia" w:ascii="宋体" w:hAnsi="宋体" w:eastAsia="宋体"/>
          <w:sz w:val="36"/>
          <w:lang w:val="en-US" w:eastAsia="zh-CN"/>
        </w:rPr>
        <w:t>21</w:t>
      </w:r>
      <w:r>
        <w:rPr>
          <w:rFonts w:hint="eastAsia" w:ascii="宋体" w:hAnsi="宋体" w:eastAsia="宋体"/>
          <w:sz w:val="36"/>
        </w:rPr>
        <w:t>-</w:t>
      </w:r>
      <w:r>
        <w:rPr>
          <w:rFonts w:hint="eastAsia" w:ascii="宋体" w:hAnsi="宋体" w:eastAsia="宋体"/>
          <w:sz w:val="36"/>
          <w:lang w:val="en-US" w:eastAsia="zh-CN"/>
        </w:rPr>
        <w:t>10</w:t>
      </w:r>
      <w:r>
        <w:rPr>
          <w:rFonts w:hint="eastAsia" w:ascii="宋体" w:hAnsi="宋体" w:eastAsia="宋体"/>
          <w:sz w:val="36"/>
        </w:rPr>
        <w:t>-</w:t>
      </w:r>
      <w:r>
        <w:rPr>
          <w:rFonts w:hint="eastAsia" w:ascii="宋体" w:hAnsi="宋体" w:eastAsia="宋体"/>
          <w:sz w:val="36"/>
          <w:lang w:val="en-US" w:eastAsia="zh-CN"/>
        </w:rPr>
        <w:t>25</w:t>
      </w:r>
    </w:p>
    <w:p>
      <w:pPr>
        <w:kinsoku w:val="0"/>
        <w:wordWrap w:val="0"/>
        <w:topLinePunct/>
        <w:ind w:left="3180" w:leftChars="428" w:hanging="1760" w:hangingChars="500"/>
        <w:rPr>
          <w:rFonts w:hint="default" w:ascii="宋体" w:hAnsi="宋体" w:eastAsia="宋体"/>
          <w:sz w:val="30"/>
          <w:szCs w:val="30"/>
          <w:lang w:val="en-US" w:eastAsia="zh-CN"/>
        </w:rPr>
      </w:pPr>
      <w:r>
        <w:rPr>
          <w:rFonts w:hint="eastAsia" w:ascii="宋体" w:hAnsi="宋体" w:eastAsia="宋体"/>
          <w:sz w:val="30"/>
          <w:szCs w:val="30"/>
        </w:rPr>
        <w:t>项目名称：</w:t>
      </w:r>
      <w:r>
        <w:rPr>
          <w:rFonts w:hint="eastAsia" w:ascii="宋体" w:hAnsi="Arial Narrow"/>
          <w:b/>
          <w:sz w:val="30"/>
          <w:szCs w:val="30"/>
        </w:rPr>
        <w:t>汕头大学医学</w:t>
      </w:r>
      <w:r>
        <w:rPr>
          <w:rFonts w:hint="eastAsia" w:ascii="宋体" w:hAnsi="Arial Narrow" w:cs="Times New Roman"/>
          <w:b/>
          <w:sz w:val="30"/>
          <w:szCs w:val="30"/>
        </w:rPr>
        <w:t>院</w:t>
      </w:r>
      <w:r>
        <w:rPr>
          <w:rFonts w:hint="eastAsia" w:ascii="黑体" w:hAnsi="黑体" w:eastAsia="黑体"/>
          <w:sz w:val="28"/>
          <w:szCs w:val="32"/>
        </w:rPr>
        <w:t>基于液相芯片1</w:t>
      </w:r>
      <w:r>
        <w:rPr>
          <w:rFonts w:ascii="黑体" w:hAnsi="黑体" w:eastAsia="黑体"/>
          <w:sz w:val="28"/>
          <w:szCs w:val="32"/>
        </w:rPr>
        <w:t>52</w:t>
      </w:r>
      <w:r>
        <w:rPr>
          <w:rFonts w:hint="eastAsia" w:ascii="黑体" w:hAnsi="黑体" w:eastAsia="黑体"/>
          <w:sz w:val="28"/>
          <w:szCs w:val="32"/>
        </w:rPr>
        <w:t>个样本4</w:t>
      </w:r>
      <w:r>
        <w:rPr>
          <w:rFonts w:ascii="黑体" w:hAnsi="黑体" w:eastAsia="黑体"/>
          <w:sz w:val="28"/>
          <w:szCs w:val="32"/>
        </w:rPr>
        <w:t>7</w:t>
      </w:r>
      <w:r>
        <w:rPr>
          <w:rFonts w:hint="eastAsia" w:ascii="黑体" w:hAnsi="黑体" w:eastAsia="黑体"/>
          <w:sz w:val="28"/>
          <w:szCs w:val="32"/>
        </w:rPr>
        <w:t>种因子检测</w:t>
      </w:r>
      <w:r>
        <w:rPr>
          <w:rFonts w:hint="eastAsia" w:ascii="宋体" w:hAnsi="Arial Narrow" w:cs="Times New Roman"/>
          <w:b/>
          <w:sz w:val="30"/>
          <w:szCs w:val="30"/>
        </w:rPr>
        <w:t>招标项目</w:t>
      </w:r>
      <w:r>
        <w:rPr>
          <w:rFonts w:hint="eastAsia" w:ascii="宋体" w:hAnsi="宋体" w:eastAsia="宋体"/>
          <w:sz w:val="30"/>
          <w:szCs w:val="30"/>
        </w:rPr>
        <w:t>20</w:t>
      </w:r>
      <w:r>
        <w:rPr>
          <w:rFonts w:hint="eastAsia" w:ascii="宋体" w:hAnsi="宋体" w:eastAsia="宋体"/>
          <w:sz w:val="30"/>
          <w:szCs w:val="30"/>
          <w:lang w:val="en-US" w:eastAsia="zh-CN"/>
        </w:rPr>
        <w:t>211025</w:t>
      </w:r>
    </w:p>
    <w:p>
      <w:pPr>
        <w:kinsoku w:val="0"/>
        <w:wordWrap w:val="0"/>
        <w:topLinePunct/>
        <w:ind w:firstLine="1494"/>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jc w:val="center"/>
        <w:rPr>
          <w:rFonts w:hint="eastAsia" w:ascii="宋体" w:hAnsi="宋体" w:eastAsia="宋体"/>
          <w:sz w:val="36"/>
        </w:rPr>
      </w:pPr>
    </w:p>
    <w:p>
      <w:pPr>
        <w:kinsoku w:val="0"/>
        <w:wordWrap w:val="0"/>
        <w:topLinePunct/>
        <w:jc w:val="center"/>
        <w:rPr>
          <w:rFonts w:hint="eastAsia" w:ascii="宋体" w:hAnsi="宋体" w:eastAsia="宋体"/>
          <w:sz w:val="36"/>
        </w:rPr>
      </w:pPr>
      <w: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hint="eastAsia"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hint="eastAsia" w:ascii="宋体" w:hAnsi="宋体" w:eastAsia="宋体"/>
        </w:rPr>
      </w:pPr>
    </w:p>
    <w:p>
      <w:pPr>
        <w:kinsoku w:val="0"/>
        <w:wordWrap w:val="0"/>
        <w:topLinePunct/>
        <w:jc w:val="center"/>
        <w:rPr>
          <w:rFonts w:hint="eastAsia" w:ascii="宋体" w:hAnsi="宋体" w:eastAsia="宋体"/>
          <w:sz w:val="36"/>
        </w:rPr>
      </w:pPr>
      <w:r>
        <w:rPr>
          <w:rFonts w:hint="eastAsia" w:ascii="宋体" w:hAnsi="宋体" w:eastAsia="宋体"/>
          <w:sz w:val="36"/>
        </w:rPr>
        <w:t>汕头大学医学院</w:t>
      </w:r>
    </w:p>
    <w:p>
      <w:pPr>
        <w:kinsoku w:val="0"/>
        <w:wordWrap w:val="0"/>
        <w:topLinePunct/>
        <w:jc w:val="center"/>
        <w:rPr>
          <w:rFonts w:hint="default" w:ascii="宋体" w:hAnsi="宋体" w:eastAsia="宋体"/>
          <w:sz w:val="44"/>
          <w:lang w:val="en-US" w:eastAsia="zh-CN"/>
        </w:rPr>
      </w:pPr>
      <w:r>
        <w:rPr>
          <w:rFonts w:hint="eastAsia" w:ascii="宋体" w:hAnsi="宋体" w:eastAsia="宋体"/>
          <w:sz w:val="44"/>
        </w:rPr>
        <w:t>20</w:t>
      </w:r>
      <w:r>
        <w:rPr>
          <w:rFonts w:hint="eastAsia" w:ascii="宋体" w:hAnsi="宋体" w:eastAsia="宋体"/>
          <w:sz w:val="44"/>
          <w:lang w:val="en-US" w:eastAsia="zh-CN"/>
        </w:rPr>
        <w:t>21</w:t>
      </w:r>
      <w:r>
        <w:rPr>
          <w:rFonts w:hint="eastAsia" w:ascii="宋体" w:hAnsi="宋体" w:eastAsia="宋体"/>
          <w:sz w:val="44"/>
        </w:rPr>
        <w:t>．</w:t>
      </w:r>
      <w:r>
        <w:rPr>
          <w:rFonts w:hint="eastAsia" w:ascii="宋体" w:hAnsi="宋体" w:eastAsia="宋体"/>
          <w:sz w:val="44"/>
          <w:lang w:val="en-US" w:eastAsia="zh-CN"/>
        </w:rPr>
        <w:t>10</w:t>
      </w:r>
      <w:r>
        <w:rPr>
          <w:rFonts w:hint="eastAsia" w:ascii="宋体" w:hAnsi="宋体" w:eastAsia="宋体"/>
          <w:sz w:val="44"/>
        </w:rPr>
        <w:t>.</w:t>
      </w:r>
      <w:r>
        <w:rPr>
          <w:rFonts w:hint="eastAsia" w:ascii="宋体" w:hAnsi="宋体" w:eastAsia="宋体"/>
          <w:sz w:val="44"/>
          <w:lang w:val="en-US" w:eastAsia="zh-CN"/>
        </w:rPr>
        <w:t>25</w:t>
      </w: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pageBreakBefore/>
        <w:kinsoku w:val="0"/>
        <w:wordWrap w:val="0"/>
        <w:topLinePunct/>
        <w:jc w:val="center"/>
        <w:rPr>
          <w:rFonts w:hint="eastAsia" w:ascii="宋体" w:hAnsi="Arial Narrow" w:eastAsia="宋体"/>
          <w:b/>
          <w:sz w:val="44"/>
        </w:rPr>
      </w:pPr>
      <w:r>
        <w:rPr>
          <w:rFonts w:hint="eastAsia" w:ascii="宋体" w:hAnsi="Arial Narrow" w:eastAsia="宋体"/>
          <w:b/>
          <w:sz w:val="44"/>
        </w:rPr>
        <w:t>目  录</w:t>
      </w:r>
    </w:p>
    <w:p>
      <w:pPr>
        <w:kinsoku w:val="0"/>
        <w:wordWrap w:val="0"/>
        <w:topLinePunct/>
        <w:jc w:val="center"/>
        <w:rPr>
          <w:rFonts w:hint="eastAsia" w:ascii="宋体" w:hAnsi="Arial Narrow" w:eastAsia="宋体"/>
          <w:b/>
          <w:sz w:val="44"/>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hint="eastAsia" w:ascii="宋体" w:hAnsi="Arial Narrow" w:eastAsia="宋体"/>
        </w:rPr>
      </w:pPr>
      <w:r>
        <w:rPr>
          <w:rFonts w:hint="eastAsia" w:ascii="宋体" w:hAnsi="Arial Narrow" w:eastAsia="宋体"/>
        </w:rPr>
        <w:t>投标人须知</w:t>
      </w:r>
    </w:p>
    <w:p>
      <w:pPr>
        <w:numPr>
          <w:ilvl w:val="0"/>
          <w:numId w:val="3"/>
        </w:numPr>
        <w:kinsoku w:val="0"/>
        <w:wordWrap w:val="0"/>
        <w:topLinePunct/>
        <w:rPr>
          <w:rFonts w:hint="eastAsia"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hint="eastAsia"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hint="eastAsia"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hint="eastAsia" w:ascii="宋体" w:hAnsi="Arial Narrow" w:eastAsia="宋体"/>
        </w:rPr>
      </w:pPr>
      <w:r>
        <w:rPr>
          <w:rFonts w:hint="eastAsia" w:ascii="宋体" w:hAnsi="Arial Narrow" w:eastAsia="宋体"/>
        </w:rPr>
        <w:t>评（议）标原则</w:t>
      </w:r>
    </w:p>
    <w:p>
      <w:pPr>
        <w:numPr>
          <w:ilvl w:val="0"/>
          <w:numId w:val="3"/>
        </w:numPr>
        <w:kinsoku w:val="0"/>
        <w:wordWrap w:val="0"/>
        <w:topLinePunct/>
        <w:rPr>
          <w:rFonts w:hint="eastAsia"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hint="eastAsia" w:ascii="宋体" w:hAnsi="Arial Narrow" w:eastAsia="宋体"/>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hint="eastAsia" w:ascii="宋体" w:hAnsi="Arial Narrow" w:eastAsia="宋体"/>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hint="eastAsia" w:ascii="宋体" w:hAnsi="Arial Narrow" w:eastAsia="宋体"/>
          <w:b/>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hint="eastAsia" w:ascii="宋体" w:hAnsi="Arial Narrow" w:eastAsia="宋体"/>
          <w:b/>
          <w:sz w:val="32"/>
        </w:rPr>
      </w:pPr>
    </w:p>
    <w:p>
      <w:pPr>
        <w:kinsoku w:val="0"/>
        <w:wordWrap w:val="0"/>
        <w:topLinePunct/>
        <w:jc w:val="center"/>
        <w:rPr>
          <w:rFonts w:hint="eastAsia"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hint="eastAsia"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5"/>
        </w:numPr>
        <w:tabs>
          <w:tab w:val="left" w:pos="0"/>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投标人必须在规定时间</w:t>
      </w:r>
      <w:r>
        <w:rPr>
          <w:rFonts w:hint="eastAsia" w:ascii="宋体" w:hAnsi="Arial Narrow" w:eastAsia="宋体"/>
          <w:sz w:val="18"/>
          <w:lang w:eastAsia="zh-CN"/>
        </w:rPr>
        <w:t>内把标书送达</w:t>
      </w:r>
      <w:r>
        <w:rPr>
          <w:rFonts w:hint="eastAsia" w:ascii="宋体" w:hAnsi="Arial Narrow" w:eastAsia="宋体"/>
          <w:sz w:val="18"/>
        </w:rPr>
        <w:t>,经审查资格合格后,方可投标。</w:t>
      </w:r>
    </w:p>
    <w:p>
      <w:pPr>
        <w:numPr>
          <w:ilvl w:val="0"/>
          <w:numId w:val="5"/>
        </w:numPr>
        <w:tabs>
          <w:tab w:val="left" w:pos="0"/>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hint="eastAsia"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hint="eastAsia"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hint="eastAsia" w:ascii="宋体" w:hAnsi="Arial Narrow" w:eastAsia="宋体"/>
          <w:sz w:val="21"/>
        </w:rPr>
      </w:pPr>
      <w:r>
        <w:rPr>
          <w:rFonts w:hint="eastAsia" w:ascii="宋体" w:hAnsi="Arial Narrow" w:eastAsia="宋体"/>
          <w:sz w:val="18"/>
        </w:rPr>
        <w:t xml:space="preserve">   </w:t>
      </w:r>
    </w:p>
    <w:p>
      <w:pPr>
        <w:kinsoku w:val="0"/>
        <w:wordWrap w:val="0"/>
        <w:topLinePunct/>
        <w:rPr>
          <w:rFonts w:hint="eastAsia" w:ascii="宋体" w:hAnsi="Arial Narrow" w:eastAsia="宋体"/>
          <w:b/>
          <w:sz w:val="21"/>
        </w:rPr>
      </w:pPr>
      <w:r>
        <w:rPr>
          <w:rFonts w:hint="eastAsia" w:ascii="宋体" w:hAnsi="Arial Narrow" w:eastAsia="宋体"/>
          <w:b/>
          <w:sz w:val="21"/>
        </w:rPr>
        <w:t>二、招标项目的名称</w:t>
      </w:r>
    </w:p>
    <w:p>
      <w:pPr>
        <w:kinsoku w:val="0"/>
        <w:wordWrap w:val="0"/>
        <w:topLinePunct/>
        <w:rPr>
          <w:rFonts w:hint="eastAsia" w:ascii="宋体" w:hAnsi="Arial Narrow"/>
          <w:b/>
          <w:sz w:val="21"/>
          <w:szCs w:val="21"/>
        </w:rPr>
      </w:pPr>
      <w:r>
        <w:rPr>
          <w:rFonts w:hint="eastAsia" w:ascii="宋体" w:hAnsi="Arial Narrow"/>
          <w:b/>
          <w:sz w:val="21"/>
          <w:szCs w:val="21"/>
        </w:rPr>
        <w:t>汕</w:t>
      </w:r>
      <w:bookmarkStart w:id="0" w:name="_GoBack"/>
      <w:r>
        <w:rPr>
          <w:rFonts w:hint="eastAsia" w:ascii="宋体" w:hAnsi="Arial Narrow"/>
          <w:b/>
          <w:sz w:val="21"/>
          <w:szCs w:val="21"/>
        </w:rPr>
        <w:t>头大学医学院基于液相芯片152个样本47种因子检测招标项目</w:t>
      </w:r>
    </w:p>
    <w:bookmarkEnd w:id="0"/>
    <w:p>
      <w:pPr>
        <w:kinsoku w:val="0"/>
        <w:wordWrap w:val="0"/>
        <w:topLinePunct/>
        <w:rPr>
          <w:rFonts w:hint="eastAsia"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hint="eastAsia"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hint="eastAsia"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hint="eastAsia"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hint="eastAsia"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hint="eastAsia"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hint="eastAsia" w:ascii="宋体" w:hAnsi="Arial Narrow" w:eastAsia="宋体"/>
          <w:b/>
          <w:bCs/>
          <w:i/>
          <w:iCs/>
          <w:sz w:val="24"/>
        </w:rPr>
      </w:pPr>
    </w:p>
    <w:p>
      <w:pPr>
        <w:kinsoku w:val="0"/>
        <w:wordWrap w:val="0"/>
        <w:topLinePunct/>
        <w:ind w:firstLine="780"/>
        <w:rPr>
          <w:rFonts w:hint="eastAsia" w:ascii="宋体" w:hAnsi="Arial Narrow" w:eastAsia="宋体"/>
          <w:b/>
          <w:bCs/>
          <w:i/>
          <w:iCs/>
          <w:sz w:val="24"/>
        </w:rPr>
      </w:pPr>
      <w:r>
        <w:rPr>
          <w:rFonts w:hint="eastAsia" w:ascii="宋体" w:hAnsi="Arial Narrow" w:eastAsia="宋体"/>
          <w:b/>
          <w:bCs/>
          <w:i/>
          <w:iCs/>
          <w:sz w:val="24"/>
        </w:rPr>
        <w:t>投标截止时间：20</w:t>
      </w:r>
      <w:r>
        <w:rPr>
          <w:rFonts w:hint="eastAsia" w:ascii="宋体" w:hAnsi="Arial Narrow" w:eastAsia="宋体"/>
          <w:b/>
          <w:bCs/>
          <w:i/>
          <w:iCs/>
          <w:sz w:val="24"/>
          <w:lang w:val="en-US" w:eastAsia="zh-CN"/>
        </w:rPr>
        <w:t>21</w:t>
      </w:r>
      <w:r>
        <w:rPr>
          <w:rFonts w:hint="eastAsia" w:ascii="宋体" w:hAnsi="Arial Narrow" w:eastAsia="宋体"/>
          <w:b/>
          <w:bCs/>
          <w:i/>
          <w:iCs/>
          <w:sz w:val="24"/>
        </w:rPr>
        <w:t>年</w:t>
      </w:r>
      <w:r>
        <w:rPr>
          <w:rFonts w:hint="eastAsia" w:ascii="宋体" w:hAnsi="Arial Narrow" w:eastAsia="宋体"/>
          <w:b/>
          <w:bCs/>
          <w:i/>
          <w:iCs/>
          <w:sz w:val="24"/>
          <w:lang w:val="en-US" w:eastAsia="zh-CN"/>
        </w:rPr>
        <w:t>11</w:t>
      </w:r>
      <w:r>
        <w:rPr>
          <w:rFonts w:hint="eastAsia" w:ascii="宋体" w:hAnsi="Arial Narrow" w:eastAsia="宋体"/>
          <w:b/>
          <w:bCs/>
          <w:i/>
          <w:iCs/>
          <w:sz w:val="24"/>
        </w:rPr>
        <w:t>月</w:t>
      </w:r>
      <w:r>
        <w:rPr>
          <w:rFonts w:hint="eastAsia" w:ascii="宋体" w:hAnsi="Arial Narrow" w:eastAsia="宋体"/>
          <w:b/>
          <w:bCs/>
          <w:i/>
          <w:iCs/>
          <w:sz w:val="24"/>
          <w:lang w:val="en-US" w:eastAsia="zh-CN"/>
        </w:rPr>
        <w:t>2</w:t>
      </w:r>
      <w:r>
        <w:rPr>
          <w:rFonts w:hint="eastAsia" w:ascii="宋体" w:hAnsi="Arial Narrow" w:eastAsia="宋体"/>
          <w:b/>
          <w:bCs/>
          <w:i/>
          <w:iCs/>
          <w:sz w:val="24"/>
        </w:rPr>
        <w:t>日上午</w:t>
      </w:r>
      <w:r>
        <w:rPr>
          <w:rFonts w:hint="eastAsia" w:ascii="宋体" w:hAnsi="Arial Narrow" w:eastAsia="宋体"/>
          <w:b/>
          <w:bCs/>
          <w:i/>
          <w:iCs/>
          <w:sz w:val="24"/>
          <w:lang w:val="en-US" w:eastAsia="zh-CN"/>
        </w:rPr>
        <w:t>9</w:t>
      </w:r>
      <w:r>
        <w:rPr>
          <w:rFonts w:ascii="宋体" w:hAnsi="Arial Narrow" w:eastAsia="宋体"/>
          <w:b/>
          <w:bCs/>
          <w:i/>
          <w:iCs/>
          <w:sz w:val="24"/>
        </w:rPr>
        <w:t>:</w:t>
      </w:r>
      <w:r>
        <w:rPr>
          <w:rFonts w:hint="eastAsia" w:ascii="宋体" w:hAnsi="Arial Narrow" w:eastAsia="宋体"/>
          <w:b/>
          <w:bCs/>
          <w:i/>
          <w:iCs/>
          <w:sz w:val="24"/>
          <w:lang w:val="en-US" w:eastAsia="zh-CN"/>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hint="eastAsia" w:ascii="宋体" w:hAnsi="Arial Narrow" w:eastAsia="宋体"/>
          <w:b/>
          <w:sz w:val="21"/>
        </w:rPr>
      </w:pPr>
      <w:r>
        <w:rPr>
          <w:rFonts w:hint="eastAsia" w:ascii="宋体" w:hAnsi="Arial Narrow" w:eastAsia="宋体"/>
          <w:b/>
          <w:sz w:val="21"/>
        </w:rPr>
        <w:t>五、评（议）标原则</w:t>
      </w:r>
    </w:p>
    <w:p>
      <w:pPr>
        <w:pStyle w:val="17"/>
        <w:tabs>
          <w:tab w:val="left" w:pos="-166"/>
        </w:tabs>
        <w:kinsoku w:val="0"/>
        <w:wordWrap w:val="0"/>
        <w:topLinePunct/>
        <w:ind w:left="498" w:leftChars="150" w:firstLine="440" w:firstLineChars="190"/>
        <w:rPr>
          <w:rFonts w:hint="eastAsia" w:ascii="宋体" w:eastAsia="宋体"/>
          <w:sz w:val="18"/>
        </w:rPr>
      </w:pPr>
      <w:r>
        <w:rPr>
          <w:rFonts w:hint="eastAsia" w:ascii="宋体" w:eastAsia="宋体"/>
          <w:sz w:val="18"/>
        </w:rPr>
        <w:t>1.争取最优的性能价格比，不一定接受最低报价，不接受不符合招标书要求的投标书。</w:t>
      </w:r>
    </w:p>
    <w:p>
      <w:pPr>
        <w:pStyle w:val="17"/>
        <w:tabs>
          <w:tab w:val="left" w:pos="-166"/>
        </w:tabs>
        <w:kinsoku w:val="0"/>
        <w:wordWrap w:val="0"/>
        <w:topLinePunct/>
        <w:ind w:left="498" w:leftChars="150" w:firstLine="440" w:firstLineChars="190"/>
        <w:rPr>
          <w:rFonts w:hint="eastAsia" w:ascii="宋体" w:eastAsia="宋体"/>
          <w:sz w:val="18"/>
        </w:rPr>
      </w:pPr>
      <w:r>
        <w:rPr>
          <w:rFonts w:hint="eastAsia" w:ascii="宋体" w:eastAsia="宋体"/>
          <w:sz w:val="18"/>
        </w:rPr>
        <w:t>2.在同样服务同等报价情况下优先选择有出具技术实力、科研实力证明资料的且最优秀投标人。</w:t>
      </w:r>
    </w:p>
    <w:p>
      <w:pPr>
        <w:pStyle w:val="17"/>
        <w:tabs>
          <w:tab w:val="left" w:pos="-166"/>
        </w:tabs>
        <w:kinsoku w:val="0"/>
        <w:wordWrap w:val="0"/>
        <w:topLinePunct/>
        <w:ind w:left="498" w:leftChars="150" w:firstLine="440" w:firstLineChars="190"/>
        <w:rPr>
          <w:rFonts w:hint="eastAsia" w:ascii="宋体" w:eastAsia="宋体"/>
          <w:sz w:val="18"/>
        </w:rPr>
      </w:pPr>
    </w:p>
    <w:p>
      <w:pPr>
        <w:pStyle w:val="17"/>
        <w:tabs>
          <w:tab w:val="left" w:pos="-166"/>
        </w:tabs>
        <w:kinsoku w:val="0"/>
        <w:wordWrap w:val="0"/>
        <w:topLinePunct/>
        <w:ind w:left="498" w:leftChars="150" w:firstLine="440" w:firstLineChars="190"/>
        <w:rPr>
          <w:rFonts w:hint="eastAsia" w:ascii="宋体" w:eastAsia="宋体"/>
          <w:sz w:val="18"/>
        </w:rPr>
      </w:pP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hint="eastAsia"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hint="eastAsia"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hint="eastAsia"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hint="eastAsia"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hint="eastAsia" w:ascii="宋体" w:hAnsi="Arial Narrow" w:eastAsia="宋体"/>
          <w:b w:val="0"/>
          <w:bCs/>
          <w:sz w:val="24"/>
          <w:szCs w:val="24"/>
        </w:rPr>
      </w:pPr>
      <w:r>
        <w:rPr>
          <w:rFonts w:hint="eastAsia" w:ascii="宋体" w:hAnsi="Arial Narrow" w:eastAsia="宋体"/>
          <w:b w:val="0"/>
          <w:bCs/>
          <w:sz w:val="24"/>
          <w:szCs w:val="24"/>
          <w:lang w:eastAsia="zh-CN"/>
        </w:rPr>
        <w:t>一．项目</w:t>
      </w:r>
      <w:r>
        <w:rPr>
          <w:rFonts w:hint="eastAsia" w:ascii="宋体" w:hAnsi="Arial Narrow" w:eastAsia="宋体" w:cs="Times New Roman"/>
          <w:b w:val="0"/>
          <w:bCs/>
          <w:sz w:val="24"/>
          <w:szCs w:val="24"/>
          <w:lang w:eastAsia="zh-CN"/>
        </w:rPr>
        <w:t>名称：</w:t>
      </w:r>
      <w:r>
        <w:rPr>
          <w:rFonts w:hint="eastAsia" w:ascii="黑体" w:hAnsi="黑体" w:eastAsia="黑体"/>
          <w:sz w:val="28"/>
          <w:szCs w:val="32"/>
        </w:rPr>
        <w:t>基于液相芯片1</w:t>
      </w:r>
      <w:r>
        <w:rPr>
          <w:rFonts w:ascii="黑体" w:hAnsi="黑体" w:eastAsia="黑体"/>
          <w:sz w:val="28"/>
          <w:szCs w:val="32"/>
        </w:rPr>
        <w:t>52</w:t>
      </w:r>
      <w:r>
        <w:rPr>
          <w:rFonts w:hint="eastAsia" w:ascii="黑体" w:hAnsi="黑体" w:eastAsia="黑体"/>
          <w:sz w:val="28"/>
          <w:szCs w:val="32"/>
        </w:rPr>
        <w:t>个样本4</w:t>
      </w:r>
      <w:r>
        <w:rPr>
          <w:rFonts w:ascii="黑体" w:hAnsi="黑体" w:eastAsia="黑体"/>
          <w:sz w:val="28"/>
          <w:szCs w:val="32"/>
        </w:rPr>
        <w:t>7</w:t>
      </w:r>
      <w:r>
        <w:rPr>
          <w:rFonts w:hint="eastAsia" w:ascii="黑体" w:hAnsi="黑体" w:eastAsia="黑体"/>
          <w:sz w:val="28"/>
          <w:szCs w:val="32"/>
        </w:rPr>
        <w:t>种因子检测项目</w:t>
      </w:r>
    </w:p>
    <w:p>
      <w:pPr>
        <w:kinsoku w:val="0"/>
        <w:topLinePunct/>
        <w:ind w:firstLine="584" w:firstLineChars="200"/>
        <w:rPr>
          <w:rFonts w:hint="eastAsia" w:ascii="宋体" w:hAnsi="Arial Narrow" w:eastAsia="宋体"/>
          <w:b w:val="0"/>
          <w:bCs/>
          <w:sz w:val="24"/>
          <w:szCs w:val="24"/>
        </w:rPr>
      </w:pPr>
      <w:r>
        <w:rPr>
          <w:rFonts w:hint="eastAsia" w:ascii="宋体" w:hAnsi="Arial Narrow" w:eastAsia="宋体"/>
          <w:b w:val="0"/>
          <w:bCs/>
          <w:sz w:val="24"/>
          <w:szCs w:val="24"/>
        </w:rPr>
        <w:t>预算：</w:t>
      </w:r>
      <w:r>
        <w:rPr>
          <w:rFonts w:hint="eastAsia" w:ascii="宋体" w:hAnsi="Arial Narrow" w:eastAsia="宋体"/>
          <w:b w:val="0"/>
          <w:bCs/>
          <w:sz w:val="24"/>
          <w:szCs w:val="24"/>
          <w:lang w:val="en-US" w:eastAsia="zh-CN"/>
        </w:rPr>
        <w:t>165001</w:t>
      </w:r>
      <w:r>
        <w:rPr>
          <w:rFonts w:hint="eastAsia" w:ascii="宋体" w:hAnsi="Arial Narrow" w:eastAsia="宋体"/>
          <w:b w:val="0"/>
          <w:bCs/>
          <w:sz w:val="24"/>
          <w:szCs w:val="24"/>
        </w:rPr>
        <w:t>元</w:t>
      </w:r>
    </w:p>
    <w:p>
      <w:pPr>
        <w:kinsoku w:val="0"/>
        <w:topLinePunct/>
        <w:rPr>
          <w:rFonts w:hint="eastAsia" w:ascii="宋体" w:hAnsi="Arial Narrow" w:eastAsia="宋体"/>
          <w:b/>
          <w:sz w:val="24"/>
          <w:szCs w:val="24"/>
          <w:lang w:eastAsia="zh-CN"/>
        </w:rPr>
      </w:pPr>
      <w:r>
        <w:rPr>
          <w:rFonts w:hint="eastAsia" w:ascii="宋体" w:hAnsi="Arial Narrow" w:eastAsia="宋体"/>
          <w:b w:val="0"/>
          <w:bCs/>
          <w:sz w:val="24"/>
          <w:szCs w:val="24"/>
          <w:lang w:eastAsia="zh-CN"/>
        </w:rPr>
        <w:t>二．技术要求：</w:t>
      </w:r>
    </w:p>
    <w:p>
      <w:pPr>
        <w:ind w:firstLine="584" w:firstLineChars="200"/>
        <w:rPr>
          <w:rFonts w:hint="eastAsia" w:ascii="宋体" w:hAnsi="宋体" w:eastAsia="宋体" w:cs="宋体"/>
          <w:sz w:val="24"/>
        </w:rPr>
      </w:pPr>
      <w:r>
        <w:rPr>
          <w:rFonts w:hint="eastAsia" w:ascii="宋体" w:hAnsi="宋体" w:eastAsia="宋体" w:cs="宋体"/>
          <w:sz w:val="24"/>
        </w:rPr>
        <w:t>使用液相芯片对血清、组织匀浆液中的细胞因子、趋化因子、转化因子、可溶性受体等进行检测。</w:t>
      </w: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样本来源：人</w:t>
      </w:r>
    </w:p>
    <w:p>
      <w:pPr>
        <w:rPr>
          <w:rFonts w:hint="eastAsia" w:ascii="宋体" w:hAnsi="宋体" w:eastAsia="宋体" w:cs="宋体"/>
          <w:sz w:val="24"/>
        </w:rPr>
      </w:pPr>
      <w:r>
        <w:rPr>
          <w:rFonts w:hint="eastAsia" w:ascii="宋体" w:hAnsi="宋体" w:eastAsia="宋体" w:cs="宋体"/>
          <w:sz w:val="24"/>
        </w:rPr>
        <w:t>样本性质：血清、组织匀浆液</w:t>
      </w:r>
    </w:p>
    <w:p>
      <w:pPr>
        <w:rPr>
          <w:rFonts w:hint="eastAsia" w:ascii="宋体" w:hAnsi="宋体" w:eastAsia="宋体" w:cs="宋体"/>
          <w:sz w:val="24"/>
        </w:rPr>
      </w:pPr>
      <w:r>
        <w:rPr>
          <w:rFonts w:hint="eastAsia" w:ascii="宋体" w:hAnsi="宋体" w:eastAsia="宋体" w:cs="宋体"/>
          <w:sz w:val="24"/>
        </w:rPr>
        <w:t>检测指标（47）：sCD40L, EGF, Eotaxin, FGF-2, FLT-3L, Fractalkine, G-CSF, GM-CSF, GROα, IFNα2, IFNγ, IL-1α, IL-1β, IL-1RA, IL-2, IL-3, IL-4, IL-5, IL-6, IL-7, IL-8, IL-9, IL-10, IL-12, IL-13, IL-15, IL-17A, IL-17E/IL-25, IL-17F, IL-18, IL-22, IL-27, IP-10, MCP-1, MCP-3, M-CSF, MDC, MIG, MIP-1α, MIP-1β, PDGF-AA, PDGF-AB/BB, RANTES, TGFα, TNFα, TNFβ, VEGF-A</w:t>
      </w:r>
    </w:p>
    <w:p>
      <w:pPr>
        <w:rPr>
          <w:rFonts w:hint="eastAsia" w:ascii="宋体" w:hAnsi="宋体" w:eastAsia="宋体" w:cs="宋体"/>
          <w:sz w:val="24"/>
        </w:rPr>
      </w:pPr>
      <w:r>
        <w:rPr>
          <w:rFonts w:hint="eastAsia" w:ascii="宋体" w:hAnsi="宋体" w:eastAsia="宋体" w:cs="宋体"/>
          <w:sz w:val="24"/>
        </w:rPr>
        <w:t>检测数量：152个样本</w:t>
      </w:r>
    </w:p>
    <w:p>
      <w:pPr>
        <w:rPr>
          <w:rFonts w:hint="eastAsia" w:ascii="宋体" w:hAnsi="宋体" w:eastAsia="宋体" w:cs="宋体"/>
          <w:sz w:val="24"/>
        </w:rPr>
      </w:pPr>
      <w:r>
        <w:rPr>
          <w:rFonts w:hint="eastAsia" w:ascii="宋体" w:hAnsi="宋体" w:eastAsia="宋体" w:cs="宋体"/>
          <w:sz w:val="24"/>
        </w:rPr>
        <w:t>实验数据交付：提供包含所有实验结果的图表、操作步骤及其说明的U盘一个，并按实际操作提交实验报告一份。</w:t>
      </w:r>
    </w:p>
    <w:p>
      <w:pPr>
        <w:ind w:left="438" w:leftChars="132"/>
        <w:rPr>
          <w:rFonts w:ascii="宋体" w:hAnsi="宋体" w:eastAsia="宋体"/>
          <w:b/>
          <w:sz w:val="21"/>
          <w:szCs w:val="21"/>
        </w:rPr>
      </w:pPr>
      <w:r>
        <w:rPr>
          <w:rFonts w:hint="eastAsia"/>
          <w:szCs w:val="28"/>
        </w:rPr>
        <w:t xml:space="preserve">    </w:t>
      </w:r>
      <w:r>
        <w:rPr>
          <w:rFonts w:hint="eastAsia"/>
          <w:sz w:val="21"/>
          <w:szCs w:val="21"/>
        </w:rPr>
        <w:t xml:space="preserve"> </w:t>
      </w:r>
    </w:p>
    <w:p>
      <w:pPr>
        <w:framePr w:hSpace="180" w:wrap="around" w:vAnchor="text" w:hAnchor="margin" w:y="605"/>
        <w:rPr>
          <w:rFonts w:ascii="宋体" w:hAnsi="宋体" w:eastAsia="宋体"/>
        </w:rPr>
      </w:pPr>
      <w:r>
        <w:rPr>
          <w:rFonts w:hint="eastAsia"/>
          <w:sz w:val="24"/>
        </w:rPr>
        <w:t xml:space="preserve">   </w:t>
      </w:r>
    </w:p>
    <w:p>
      <w:pPr>
        <w:ind w:left="438" w:leftChars="132"/>
        <w:rPr>
          <w:rFonts w:hint="eastAsia" w:ascii="宋体" w:hAnsi="宋体" w:eastAsia="宋体"/>
          <w:b/>
          <w:sz w:val="21"/>
          <w:szCs w:val="21"/>
        </w:rPr>
      </w:pPr>
      <w:r>
        <w:rPr>
          <w:rFonts w:hint="eastAsia"/>
          <w:szCs w:val="28"/>
        </w:rPr>
        <w:t xml:space="preserve">    </w:t>
      </w:r>
      <w:r>
        <w:rPr>
          <w:rFonts w:hint="eastAsia"/>
          <w:sz w:val="21"/>
          <w:szCs w:val="21"/>
        </w:rPr>
        <w:t xml:space="preserve"> </w:t>
      </w:r>
    </w:p>
    <w:p>
      <w:pPr>
        <w:framePr w:hSpace="180" w:wrap="around" w:vAnchor="text" w:hAnchor="margin" w:y="605"/>
        <w:rPr>
          <w:rFonts w:hint="eastAsia" w:ascii="宋体" w:hAnsi="宋体" w:eastAsia="宋体"/>
        </w:rPr>
      </w:pPr>
      <w:r>
        <w:rPr>
          <w:rFonts w:hint="eastAsia"/>
          <w:sz w:val="24"/>
        </w:rPr>
        <w:t xml:space="preserve">   </w:t>
      </w: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9"/>
        </w:numPr>
        <w:kinsoku w:val="0"/>
        <w:wordWrap w:val="0"/>
        <w:topLinePunct/>
        <w:spacing w:line="340" w:lineRule="exact"/>
        <w:rPr>
          <w:rFonts w:hint="eastAsia"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hint="eastAsia" w:ascii="仿宋_GB2312" w:hAnsi="宋体"/>
          <w:b/>
          <w:sz w:val="21"/>
        </w:rPr>
      </w:pPr>
      <w:r>
        <w:rPr>
          <w:rFonts w:hint="eastAsia" w:ascii="仿宋_GB2312" w:hAnsi="宋体"/>
          <w:b/>
          <w:sz w:val="21"/>
        </w:rPr>
        <w:t>1、服务报价：</w:t>
      </w:r>
    </w:p>
    <w:tbl>
      <w:tblPr>
        <w:tblStyle w:val="21"/>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r>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bl>
    <w:p>
      <w:pPr>
        <w:kinsoku w:val="0"/>
        <w:wordWrap w:val="0"/>
        <w:topLinePunct/>
        <w:spacing w:line="340" w:lineRule="exact"/>
        <w:rPr>
          <w:rFonts w:hint="eastAsia" w:ascii="仿宋_GB2312" w:hAnsi="宋体"/>
          <w:b/>
          <w:sz w:val="21"/>
        </w:rPr>
      </w:pPr>
      <w:r>
        <w:rPr>
          <w:rFonts w:hint="eastAsia" w:ascii="仿宋_GB2312" w:hAnsi="宋体"/>
          <w:b/>
          <w:sz w:val="21"/>
        </w:rPr>
        <w:t xml:space="preserve">     2.设备报价</w:t>
      </w:r>
    </w:p>
    <w:p>
      <w:pPr>
        <w:kinsoku w:val="0"/>
        <w:wordWrap w:val="0"/>
        <w:topLinePunct/>
        <w:spacing w:line="340" w:lineRule="exact"/>
        <w:rPr>
          <w:rFonts w:hint="eastAsia" w:ascii="仿宋_GB2312" w:hAnsi="宋体"/>
          <w:b/>
          <w:sz w:val="21"/>
        </w:rPr>
      </w:pPr>
      <w:r>
        <w:rPr>
          <w:rFonts w:hint="eastAsia" w:ascii="仿宋_GB2312" w:hAnsi="宋体"/>
          <w:b/>
          <w:sz w:val="21"/>
        </w:rPr>
        <w:t xml:space="preserve">     </w:t>
      </w:r>
    </w:p>
    <w:tbl>
      <w:tblPr>
        <w:tblStyle w:val="21"/>
        <w:tblW w:w="0" w:type="auto"/>
        <w:tblInd w:w="692" w:type="dxa"/>
        <w:tblLayout w:type="fixed"/>
        <w:tblCellMar>
          <w:top w:w="0" w:type="dxa"/>
          <w:left w:w="28" w:type="dxa"/>
          <w:bottom w:w="0" w:type="dxa"/>
          <w:right w:w="28" w:type="dxa"/>
        </w:tblCellMar>
      </w:tblPr>
      <w:tblGrid>
        <w:gridCol w:w="1328"/>
        <w:gridCol w:w="1031"/>
        <w:gridCol w:w="1173"/>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货物名称</w:t>
            </w:r>
          </w:p>
        </w:tc>
        <w:tc>
          <w:tcPr>
            <w:tcW w:w="1031"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型号</w:t>
            </w:r>
          </w:p>
        </w:tc>
        <w:tc>
          <w:tcPr>
            <w:tcW w:w="117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厂家及</w:t>
            </w:r>
          </w:p>
          <w:p>
            <w:pPr>
              <w:kinsoku w:val="0"/>
              <w:wordWrap w:val="0"/>
              <w:topLinePunct/>
              <w:spacing w:line="340" w:lineRule="exact"/>
              <w:jc w:val="center"/>
              <w:rPr>
                <w:rFonts w:ascii="仿宋_GB2312" w:hAnsi="宋体"/>
                <w:sz w:val="21"/>
              </w:rPr>
            </w:pPr>
            <w:r>
              <w:rPr>
                <w:rFonts w:hint="eastAsia" w:ascii="仿宋_GB2312" w:hAnsi="宋体"/>
                <w:sz w:val="21"/>
              </w:rPr>
              <w:t>产地</w:t>
            </w:r>
          </w:p>
        </w:tc>
        <w:tc>
          <w:tcPr>
            <w:tcW w:w="48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随机配件</w:t>
            </w:r>
          </w:p>
          <w:p>
            <w:pPr>
              <w:kinsoku w:val="0"/>
              <w:wordWrap w:val="0"/>
              <w:topLinePunct/>
              <w:spacing w:line="340" w:lineRule="exact"/>
              <w:jc w:val="center"/>
              <w:rPr>
                <w:rFonts w:ascii="仿宋_GB2312" w:hAnsi="宋体"/>
                <w:sz w:val="21"/>
              </w:rPr>
            </w:pPr>
            <w:r>
              <w:rPr>
                <w:rFonts w:hint="eastAsia" w:ascii="仿宋_GB2312" w:hAnsi="宋体"/>
                <w:sz w:val="21"/>
              </w:rPr>
              <w:t>(备用)工具</w:t>
            </w:r>
          </w:p>
        </w:tc>
        <w:tc>
          <w:tcPr>
            <w:tcW w:w="830"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rPr>
          <w:cantSplit/>
        </w:trPr>
        <w:tc>
          <w:tcPr>
            <w:tcW w:w="8798" w:type="dxa"/>
            <w:gridSpan w:val="8"/>
            <w:tcBorders>
              <w:top w:val="single" w:color="auto" w:sz="6" w:space="0"/>
              <w:left w:val="single" w:color="auto" w:sz="12" w:space="0"/>
              <w:bottom w:val="single" w:color="auto" w:sz="12" w:space="0"/>
              <w:right w:val="single" w:color="auto" w:sz="12" w:space="0"/>
            </w:tcBorders>
            <w:noWrap w:val="0"/>
            <w:vAlign w:val="top"/>
          </w:tcPr>
          <w:p>
            <w:pPr>
              <w:kinsoku w:val="0"/>
              <w:wordWrap w:val="0"/>
              <w:topLinePunct/>
              <w:spacing w:line="340" w:lineRule="exact"/>
              <w:rPr>
                <w:rFonts w:ascii="仿宋_GB2312" w:hAnsi="宋体"/>
                <w:sz w:val="21"/>
              </w:rPr>
            </w:pPr>
            <w:r>
              <w:rPr>
                <w:rFonts w:hint="eastAsia" w:ascii="仿宋_GB2312" w:hAnsi="宋体"/>
                <w:sz w:val="21"/>
              </w:rPr>
              <w:t>总金额（人民币）：</w:t>
            </w:r>
          </w:p>
        </w:tc>
      </w:tr>
    </w:tbl>
    <w:p>
      <w:pPr>
        <w:kinsoku w:val="0"/>
        <w:wordWrap w:val="0"/>
        <w:topLinePunct/>
        <w:spacing w:line="340" w:lineRule="exact"/>
        <w:rPr>
          <w:rFonts w:hint="eastAsia" w:ascii="仿宋_GB2312" w:hAnsi="宋体"/>
          <w:b/>
          <w:sz w:val="21"/>
        </w:rPr>
      </w:pPr>
    </w:p>
    <w:p>
      <w:pPr>
        <w:kinsoku w:val="0"/>
        <w:wordWrap w:val="0"/>
        <w:topLinePunct/>
        <w:spacing w:line="340" w:lineRule="exact"/>
        <w:rPr>
          <w:rFonts w:hint="eastAsia" w:ascii="仿宋_GB2312" w:hAnsi="宋体"/>
          <w:b/>
          <w:sz w:val="21"/>
        </w:rPr>
      </w:pPr>
    </w:p>
    <w:p>
      <w:pPr>
        <w:kinsoku w:val="0"/>
        <w:wordWrap w:val="0"/>
        <w:topLinePunct/>
        <w:spacing w:line="340" w:lineRule="exact"/>
        <w:rPr>
          <w:rFonts w:hint="eastAsia" w:ascii="仿宋_GB2312" w:hAnsi="宋体"/>
          <w:b/>
          <w:sz w:val="21"/>
        </w:rPr>
      </w:pPr>
      <w:r>
        <w:rPr>
          <w:rFonts w:hint="eastAsia" w:ascii="仿宋_GB2312" w:hAnsi="宋体"/>
          <w:b/>
          <w:sz w:val="21"/>
        </w:rPr>
        <w:t>三. 设备质量要求及供方对质量负责的条件和期限（服务类项目由用户另行指定）：</w:t>
      </w:r>
    </w:p>
    <w:p>
      <w:pPr>
        <w:numPr>
          <w:ilvl w:val="0"/>
          <w:numId w:val="10"/>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0"/>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0"/>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0"/>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0"/>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设备原厂保修期超过一年的，供方应按保修承诺提供保修服务。</w:t>
      </w:r>
    </w:p>
    <w:p>
      <w:pPr>
        <w:tabs>
          <w:tab w:val="left" w:pos="0"/>
        </w:tabs>
        <w:kinsoku w:val="0"/>
        <w:wordWrap w:val="0"/>
        <w:topLinePunct/>
        <w:spacing w:line="340" w:lineRule="exact"/>
        <w:ind w:left="498"/>
        <w:rPr>
          <w:rFonts w:hint="eastAsia" w:ascii="仿宋_GB2312" w:hAnsi="宋体"/>
          <w:sz w:val="21"/>
        </w:rPr>
      </w:pPr>
    </w:p>
    <w:p>
      <w:pPr>
        <w:kinsoku w:val="0"/>
        <w:wordWrap w:val="0"/>
        <w:topLinePunct/>
        <w:spacing w:line="340" w:lineRule="exact"/>
        <w:ind w:left="567" w:hanging="567"/>
        <w:rPr>
          <w:rFonts w:hint="eastAsia" w:ascii="仿宋_GB2312" w:hAnsi="宋体"/>
          <w:b/>
          <w:sz w:val="21"/>
        </w:rPr>
      </w:pPr>
      <w:r>
        <w:rPr>
          <w:rFonts w:hint="eastAsia" w:ascii="仿宋_GB2312" w:hAnsi="宋体"/>
          <w:b/>
          <w:sz w:val="21"/>
        </w:rPr>
        <w:t>四. 交货及验收（服务类项目由用户另行指定）：</w:t>
      </w:r>
    </w:p>
    <w:p>
      <w:pPr>
        <w:numPr>
          <w:ilvl w:val="0"/>
          <w:numId w:val="11"/>
        </w:numPr>
        <w:tabs>
          <w:tab w:val="left" w:pos="0"/>
        </w:tabs>
        <w:kinsoku w:val="0"/>
        <w:wordWrap w:val="0"/>
        <w:topLinePunct/>
        <w:spacing w:line="340" w:lineRule="exact"/>
        <w:ind w:left="830" w:hanging="332"/>
        <w:rPr>
          <w:rFonts w:hint="eastAsia" w:ascii="仿宋_GB2312"/>
          <w:sz w:val="21"/>
        </w:rPr>
      </w:pPr>
      <w:r>
        <w:rPr>
          <w:rFonts w:hint="eastAsia" w:ascii="仿宋_GB2312"/>
          <w:sz w:val="21"/>
        </w:rPr>
        <w:t>竣工时间：合同签定后20天内。</w:t>
      </w:r>
    </w:p>
    <w:p>
      <w:pPr>
        <w:numPr>
          <w:ilvl w:val="0"/>
          <w:numId w:val="11"/>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产品必须具备出厂合格证。</w:t>
      </w:r>
    </w:p>
    <w:p>
      <w:pPr>
        <w:numPr>
          <w:ilvl w:val="0"/>
          <w:numId w:val="11"/>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1"/>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交货地点：汕头大学医学院</w:t>
      </w:r>
    </w:p>
    <w:p>
      <w:pPr>
        <w:numPr>
          <w:ilvl w:val="0"/>
          <w:numId w:val="11"/>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货物的验收：</w:t>
      </w:r>
    </w:p>
    <w:p>
      <w:pPr>
        <w:pStyle w:val="11"/>
        <w:tabs>
          <w:tab w:val="left" w:pos="0"/>
        </w:tabs>
        <w:kinsoku w:val="0"/>
        <w:wordWrap w:val="0"/>
        <w:topLinePunct/>
        <w:autoSpaceDE/>
        <w:spacing w:line="340" w:lineRule="exact"/>
        <w:ind w:left="830" w:firstLine="490"/>
        <w:rPr>
          <w:rFonts w:hint="eastAsia"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spacing w:line="340" w:lineRule="exact"/>
        <w:ind w:left="830" w:firstLine="490"/>
        <w:rPr>
          <w:rFonts w:hint="eastAsia"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kinsoku w:val="0"/>
        <w:wordWrap w:val="0"/>
        <w:topLinePunct/>
        <w:spacing w:line="340" w:lineRule="exact"/>
        <w:ind w:left="567" w:hanging="567"/>
        <w:rPr>
          <w:rFonts w:hint="eastAsia" w:ascii="仿宋_GB2312" w:hAnsi="宋体"/>
          <w:b/>
          <w:sz w:val="21"/>
        </w:rPr>
      </w:pPr>
      <w:r>
        <w:rPr>
          <w:rFonts w:hint="eastAsia" w:ascii="仿宋_GB2312" w:hAnsi="宋体"/>
          <w:b/>
          <w:sz w:val="21"/>
        </w:rPr>
        <w:t>五. 付款：</w:t>
      </w:r>
    </w:p>
    <w:p>
      <w:pPr>
        <w:kinsoku w:val="0"/>
        <w:wordWrap w:val="0"/>
        <w:topLinePunct/>
        <w:spacing w:line="340" w:lineRule="exact"/>
        <w:ind w:left="498" w:leftChars="150" w:firstLine="498"/>
        <w:rPr>
          <w:rFonts w:hint="eastAsia"/>
          <w:sz w:val="21"/>
        </w:rPr>
      </w:pPr>
      <w:r>
        <w:rPr>
          <w:rFonts w:hint="eastAsia"/>
          <w:sz w:val="21"/>
        </w:rPr>
        <w:t>货物或服务验收合格后一星期内付清全款。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 违约责任（服务类项目由用户另行指定）：</w:t>
      </w:r>
    </w:p>
    <w:p>
      <w:pPr>
        <w:numPr>
          <w:ilvl w:val="0"/>
          <w:numId w:val="12"/>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lang w:eastAsia="zh-CN"/>
        </w:rPr>
        <w:t>合同约定时间内，</w:t>
      </w:r>
      <w:r>
        <w:rPr>
          <w:rFonts w:hint="eastAsia" w:ascii="仿宋_GB2312" w:hAnsi="宋体"/>
          <w:sz w:val="21"/>
        </w:rPr>
        <w:t>供方未能交付设备，则向需方支付设备总金额5%的违约金。</w:t>
      </w:r>
    </w:p>
    <w:p>
      <w:pPr>
        <w:numPr>
          <w:ilvl w:val="0"/>
          <w:numId w:val="12"/>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供方交付的设备不符合合同规定的，需方有权拒收，供方向需方支付货款总金额5%的违约金。</w:t>
      </w:r>
    </w:p>
    <w:p>
      <w:pPr>
        <w:numPr>
          <w:ilvl w:val="0"/>
          <w:numId w:val="12"/>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需方无正当理由拒收设备，拒付货款的，需方向供方偿付设备总金额5%的违约金。</w:t>
      </w:r>
    </w:p>
    <w:p>
      <w:pPr>
        <w:numPr>
          <w:ilvl w:val="0"/>
          <w:numId w:val="12"/>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2"/>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需方逾期付款，则每日按合同总额3‰向供方偿付违约金。</w:t>
      </w:r>
    </w:p>
    <w:p>
      <w:pPr>
        <w:numPr>
          <w:ilvl w:val="0"/>
          <w:numId w:val="13"/>
        </w:numPr>
        <w:tabs>
          <w:tab w:val="left" w:pos="0"/>
          <w:tab w:val="left" w:pos="425"/>
        </w:tabs>
        <w:kinsoku w:val="0"/>
        <w:wordWrap w:val="0"/>
        <w:topLinePunct/>
        <w:spacing w:line="340" w:lineRule="exact"/>
        <w:ind w:left="830" w:hanging="332"/>
        <w:rPr>
          <w:rFonts w:ascii="仿宋_GB2312" w:hAnsi="宋体"/>
          <w:sz w:val="21"/>
        </w:rPr>
      </w:pPr>
    </w:p>
    <w:p>
      <w:pPr>
        <w:pStyle w:val="11"/>
        <w:kinsoku w:val="0"/>
        <w:wordWrap w:val="0"/>
        <w:topLinePunct/>
        <w:autoSpaceDE/>
        <w:autoSpaceDN/>
        <w:spacing w:line="340" w:lineRule="exact"/>
        <w:ind w:firstLine="0" w:firstLineChars="0"/>
        <w:rPr>
          <w:rFonts w:hint="eastAsia"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hint="eastAsia"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hint="eastAsia"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hint="eastAsia" w:ascii="仿宋_GB2312" w:hAnsi="宋体"/>
          <w:sz w:val="21"/>
        </w:rPr>
      </w:pPr>
      <w:r>
        <w:rPr>
          <w:rFonts w:ascii="仿宋_GB2312" w:hAnsi="宋体"/>
          <w:sz w:val="21"/>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hint="eastAsia" w:ascii="宋体" w:hAnsi="宋体" w:eastAsia="宋体"/>
          <w:b/>
          <w:sz w:val="32"/>
        </w:rPr>
      </w:pP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hint="eastAsia"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6"/>
        <w:numPr>
          <w:ilvl w:val="3"/>
          <w:numId w:val="14"/>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sz w:val="24"/>
        </w:rPr>
        <w:t>投标书；</w:t>
      </w:r>
    </w:p>
    <w:p>
      <w:pPr>
        <w:pStyle w:val="6"/>
        <w:numPr>
          <w:ilvl w:val="3"/>
          <w:numId w:val="14"/>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开标一览表；</w:t>
      </w:r>
    </w:p>
    <w:p>
      <w:pPr>
        <w:pStyle w:val="6"/>
        <w:numPr>
          <w:ilvl w:val="3"/>
          <w:numId w:val="14"/>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设备配置一览表；</w:t>
      </w:r>
    </w:p>
    <w:p>
      <w:pPr>
        <w:pStyle w:val="6"/>
        <w:numPr>
          <w:ilvl w:val="3"/>
          <w:numId w:val="14"/>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hint="eastAsia"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hint="eastAsia"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hint="eastAsia"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hint="eastAsia" w:ascii="宋体" w:hAnsi="宋体" w:eastAsia="宋体"/>
          <w:b/>
          <w:sz w:val="32"/>
        </w:rPr>
      </w:pPr>
    </w:p>
    <w:p>
      <w:pPr>
        <w:kinsoku w:val="0"/>
        <w:wordWrap w:val="0"/>
        <w:topLinePunct/>
        <w:spacing w:line="360" w:lineRule="exact"/>
        <w:jc w:val="center"/>
        <w:rPr>
          <w:rFonts w:hint="eastAsia"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hint="eastAsia" w:ascii="仿宋_GB2312" w:hAnsi="宋体"/>
          <w:sz w:val="24"/>
        </w:rPr>
      </w:pPr>
    </w:p>
    <w:p>
      <w:pPr>
        <w:kinsoku w:val="0"/>
        <w:wordWrap w:val="0"/>
        <w:topLinePunct/>
        <w:spacing w:line="360" w:lineRule="exact"/>
        <w:rPr>
          <w:rFonts w:hint="eastAsia"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hint="eastAsia"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序号</w:t>
            </w:r>
          </w:p>
        </w:tc>
        <w:tc>
          <w:tcPr>
            <w:tcW w:w="3652" w:type="dxa"/>
            <w:noWrap w:val="0"/>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项目名称</w:t>
            </w:r>
          </w:p>
        </w:tc>
        <w:tc>
          <w:tcPr>
            <w:tcW w:w="1992" w:type="dxa"/>
            <w:noWrap w:val="0"/>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投标总报价</w:t>
            </w:r>
          </w:p>
        </w:tc>
        <w:tc>
          <w:tcPr>
            <w:tcW w:w="2656" w:type="dxa"/>
            <w:noWrap w:val="0"/>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一</w:t>
            </w:r>
          </w:p>
        </w:tc>
        <w:tc>
          <w:tcPr>
            <w:tcW w:w="3652" w:type="dxa"/>
            <w:noWrap w:val="0"/>
            <w:vAlign w:val="center"/>
          </w:tcPr>
          <w:p>
            <w:pPr>
              <w:kinsoku w:val="0"/>
              <w:wordWrap w:val="0"/>
              <w:topLinePunct/>
              <w:spacing w:line="360" w:lineRule="exact"/>
              <w:rPr>
                <w:rFonts w:hint="eastAsia" w:ascii="仿宋_GB2312" w:hAnsi="宋体"/>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二</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三</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四</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五</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六</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七</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八</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hint="eastAsia"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hint="eastAsia" w:ascii="宋体" w:hAnsi="宋体" w:eastAsia="宋体"/>
        </w:rPr>
      </w:pPr>
    </w:p>
    <w:p>
      <w:pPr>
        <w:kinsoku w:val="0"/>
        <w:wordWrap w:val="0"/>
        <w:topLinePunct/>
        <w:ind w:left="851" w:hanging="851"/>
        <w:jc w:val="center"/>
        <w:rPr>
          <w:rFonts w:hint="eastAsia"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hint="eastAsia" w:ascii="宋体" w:hAnsi="宋体" w:eastAsia="宋体"/>
        </w:rPr>
      </w:pPr>
    </w:p>
    <w:p>
      <w:pPr>
        <w:kinsoku w:val="0"/>
        <w:wordWrap w:val="0"/>
        <w:topLinePunct/>
        <w:ind w:left="851" w:hanging="851"/>
        <w:rPr>
          <w:rFonts w:hint="eastAsia" w:ascii="仿宋_GB2312" w:hAnsi="宋体"/>
          <w:sz w:val="24"/>
        </w:rPr>
      </w:pPr>
      <w:r>
        <w:rPr>
          <w:rFonts w:hint="eastAsia" w:ascii="仿宋_GB2312" w:hAnsi="宋体"/>
          <w:sz w:val="24"/>
        </w:rPr>
        <w:t>致：汕头大学医学院：</w:t>
      </w:r>
    </w:p>
    <w:p>
      <w:pPr>
        <w:kinsoku w:val="0"/>
        <w:wordWrap w:val="0"/>
        <w:topLinePunct/>
        <w:ind w:firstLine="664"/>
        <w:rPr>
          <w:rFonts w:hint="eastAsia"/>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r>
        <w:rPr>
          <w:rFonts w:hint="eastAsia"/>
          <w:sz w:val="24"/>
        </w:rPr>
        <w:t>特此承诺！</w:t>
      </w:r>
    </w:p>
    <w:p>
      <w:pPr>
        <w:kinsoku w:val="0"/>
        <w:wordWrap w:val="0"/>
        <w:topLinePunct/>
        <w:ind w:firstLine="664"/>
        <w:rPr>
          <w:rFonts w:hint="eastAsia"/>
          <w:sz w:val="24"/>
        </w:rPr>
      </w:pPr>
    </w:p>
    <w:p>
      <w:pPr>
        <w:kinsoku w:val="0"/>
        <w:wordWrap w:val="0"/>
        <w:topLinePunct/>
        <w:rPr>
          <w:rFonts w:hint="eastAsia"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hint="eastAsia" w:ascii="仿宋_GB2312" w:hAnsi="宋体"/>
          <w:sz w:val="24"/>
        </w:rPr>
        <w:t xml:space="preserve">   </w:t>
      </w:r>
    </w:p>
    <w:p>
      <w:pPr>
        <w:kinsoku w:val="0"/>
        <w:wordWrap w:val="0"/>
        <w:topLinePunct/>
        <w:ind w:firstLine="735"/>
        <w:rPr>
          <w:rFonts w:hint="eastAsia" w:ascii="仿宋_GB2312" w:hAnsi="宋体"/>
          <w:sz w:val="24"/>
        </w:rPr>
      </w:pPr>
      <w:r>
        <w:rPr>
          <w:rFonts w:hint="eastAsia" w:ascii="仿宋_GB2312" w:hAnsi="宋体"/>
          <w:sz w:val="24"/>
        </w:rPr>
        <w:t>地  址：</w:t>
      </w:r>
    </w:p>
    <w:p>
      <w:pPr>
        <w:kinsoku w:val="0"/>
        <w:wordWrap w:val="0"/>
        <w:topLinePunct/>
        <w:ind w:firstLine="735"/>
        <w:rPr>
          <w:rFonts w:hint="eastAsia" w:ascii="仿宋_GB2312" w:hAnsi="宋体"/>
          <w:sz w:val="24"/>
        </w:rPr>
      </w:pPr>
      <w:r>
        <w:rPr>
          <w:rFonts w:hint="eastAsia" w:ascii="仿宋_GB2312" w:hAnsi="宋体"/>
          <w:sz w:val="24"/>
        </w:rPr>
        <w:t>邮  编：</w:t>
      </w:r>
    </w:p>
    <w:p>
      <w:pPr>
        <w:kinsoku w:val="0"/>
        <w:wordWrap w:val="0"/>
        <w:topLinePunct/>
        <w:ind w:firstLine="735"/>
        <w:rPr>
          <w:rFonts w:hint="eastAsia"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hint="eastAsia"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hint="eastAsia" w:ascii="仿宋_GB2312" w:hAnsi="宋体"/>
          <w:sz w:val="24"/>
        </w:rPr>
      </w:pPr>
    </w:p>
    <w:p>
      <w:pPr>
        <w:kinsoku w:val="0"/>
        <w:wordWrap w:val="0"/>
        <w:topLinePunct/>
        <w:spacing w:after="180"/>
        <w:rPr>
          <w:rFonts w:hint="eastAsia"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hint="eastAsia"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p>
      <w:pPr>
        <w:kinsoku w:val="0"/>
        <w:wordWrap w:val="0"/>
        <w:topLinePunct/>
        <w:spacing w:after="180"/>
        <w:ind w:left="332" w:leftChars="100"/>
        <w:rPr>
          <w:rFonts w:hint="eastAsia" w:ascii="仿宋_GB2312" w:hAnsi="宋体"/>
          <w:sz w:val="24"/>
        </w:rPr>
      </w:pPr>
      <w:r>
        <w:rPr>
          <w:rFonts w:hint="eastAsia" w:ascii="仿宋_GB2312" w:hAnsi="宋体"/>
          <w:sz w:val="24"/>
        </w:rPr>
        <w:t xml:space="preserve">  5. 投标人拥有进口测序仪或者自主研发的测序仪器设备清单，承诺不以转包形式提供服务；</w:t>
      </w:r>
    </w:p>
    <w:p>
      <w:pPr>
        <w:kinsoku w:val="0"/>
        <w:wordWrap w:val="0"/>
        <w:topLinePunct/>
        <w:spacing w:after="180"/>
        <w:ind w:left="332" w:leftChars="100"/>
        <w:rPr>
          <w:rFonts w:hint="eastAsia" w:ascii="仿宋_GB2312" w:hAnsi="宋体"/>
          <w:sz w:val="24"/>
        </w:rPr>
      </w:pPr>
      <w:r>
        <w:rPr>
          <w:rFonts w:hint="eastAsia" w:ascii="仿宋_GB2312" w:hAnsi="宋体"/>
          <w:sz w:val="24"/>
        </w:rPr>
        <w:t xml:space="preserve">  6. 投标人服务团队2015年7月-2017年7月2年间发表或者参与发表的文章；</w:t>
      </w:r>
    </w:p>
    <w:p>
      <w:pPr>
        <w:kinsoku w:val="0"/>
        <w:wordWrap w:val="0"/>
        <w:topLinePunct/>
        <w:spacing w:after="180"/>
        <w:ind w:left="332" w:leftChars="100"/>
        <w:rPr>
          <w:rFonts w:hint="eastAsia" w:ascii="仿宋_GB2312" w:hAnsi="宋体"/>
          <w:sz w:val="24"/>
        </w:rPr>
      </w:pPr>
      <w:r>
        <w:rPr>
          <w:rFonts w:hint="eastAsia" w:ascii="仿宋_GB2312" w:hAnsi="宋体"/>
          <w:sz w:val="24"/>
        </w:rPr>
        <w:t xml:space="preserve">  7. 投标人在近2年内为各大院校及科研单位提供测序分析服务的业绩列表。</w:t>
      </w:r>
    </w:p>
    <w:p>
      <w:pPr>
        <w:kinsoku w:val="0"/>
        <w:wordWrap w:val="0"/>
        <w:topLinePunct/>
        <w:spacing w:after="180"/>
        <w:ind w:left="332" w:leftChars="100"/>
        <w:rPr>
          <w:rFonts w:hint="eastAsia" w:ascii="仿宋_GB2312" w:hAnsi="宋体"/>
          <w:sz w:val="24"/>
        </w:rPr>
      </w:pPr>
    </w:p>
    <w:p>
      <w:pPr>
        <w:kinsoku w:val="0"/>
        <w:wordWrap w:val="0"/>
        <w:topLinePunct/>
        <w:spacing w:after="180"/>
        <w:ind w:left="332" w:leftChars="100"/>
        <w:rPr>
          <w:rFonts w:hint="eastAsia" w:ascii="仿宋_GB2312" w:hAnsi="宋体"/>
          <w:sz w:val="24"/>
        </w:rPr>
      </w:pPr>
    </w:p>
    <w:sectPr>
      <w:headerReference r:id="rId5" w:type="first"/>
      <w:footerReference r:id="rId8" w:type="first"/>
      <w:headerReference r:id="rId3" w:type="default"/>
      <w:footerReference r:id="rId6" w:type="default"/>
      <w:headerReference r:id="rId4" w:type="even"/>
      <w:footerReference r:id="rId7"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5</w:t>
    </w:r>
    <w:r>
      <w:fldChar w:fldCharType="end"/>
    </w:r>
  </w:p>
  <w:p>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rPr>
    </w:pPr>
    <w:r>
      <w:rPr>
        <w:rFonts w:hint="eastAsia"/>
      </w:rPr>
      <w:t>汕头大学医学院设备招标文件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4">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5">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6">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8">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0">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1">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2">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3"/>
  </w:num>
  <w:num w:numId="2">
    <w:abstractNumId w:val="2"/>
  </w:num>
  <w:num w:numId="3">
    <w:abstractNumId w:val="11"/>
  </w:num>
  <w:num w:numId="4">
    <w:abstractNumId w:val="4"/>
  </w:num>
  <w:num w:numId="5">
    <w:abstractNumId w:val="0"/>
  </w:num>
  <w:num w:numId="6">
    <w:abstractNumId w:val="7"/>
  </w:num>
  <w:num w:numId="7">
    <w:abstractNumId w:val="10"/>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9"/>
    <w:lvlOverride w:ilvl="0">
      <w:startOverride w:val="1"/>
    </w:lvlOverride>
  </w:num>
  <w:num w:numId="12">
    <w:abstractNumId w:val="12"/>
    <w:lvlOverride w:ilvl="0">
      <w:startOverride w:val="1"/>
    </w:lvlOverride>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A1D0E2A"/>
    <w:rsid w:val="2A0E7775"/>
    <w:rsid w:val="316A76F3"/>
    <w:rsid w:val="33D13DB6"/>
    <w:rsid w:val="3603653E"/>
    <w:rsid w:val="498774ED"/>
    <w:rsid w:val="4B607184"/>
    <w:rsid w:val="535E1403"/>
    <w:rsid w:val="5BAB008E"/>
    <w:rsid w:val="5CBA2826"/>
    <w:rsid w:val="5E7A3137"/>
    <w:rsid w:val="682827B6"/>
    <w:rsid w:val="7FC610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Emphasis"/>
    <w:basedOn w:val="23"/>
    <w:qFormat/>
    <w:uiPriority w:val="0"/>
    <w:rPr>
      <w:color w:val="CC0033"/>
    </w:rPr>
  </w:style>
  <w:style w:type="character" w:styleId="28">
    <w:name w:val="Hyperlink"/>
    <w:basedOn w:val="23"/>
    <w:qFormat/>
    <w:uiPriority w:val="0"/>
    <w:rPr>
      <w:color w:val="0000FF"/>
      <w:u w:val="single"/>
    </w:rPr>
  </w:style>
  <w:style w:type="character" w:styleId="29">
    <w:name w:val="annotation reference"/>
    <w:basedOn w:val="23"/>
    <w:semiHidden/>
    <w:qFormat/>
    <w:uiPriority w:val="0"/>
    <w:rPr>
      <w:sz w:val="21"/>
    </w:rPr>
  </w:style>
  <w:style w:type="character" w:customStyle="1" w:styleId="30">
    <w:name w:val="font141"/>
    <w:basedOn w:val="23"/>
    <w:qFormat/>
    <w:uiPriority w:val="0"/>
  </w:style>
  <w:style w:type="character" w:customStyle="1" w:styleId="31">
    <w:name w:val="style31"/>
    <w:basedOn w:val="23"/>
    <w:qFormat/>
    <w:uiPriority w:val="0"/>
    <w:rPr>
      <w:b/>
      <w:bCs/>
      <w:color w:val="A16601"/>
    </w:rPr>
  </w:style>
  <w:style w:type="character" w:customStyle="1" w:styleId="32">
    <w:name w:val="dct-tt"/>
    <w:basedOn w:val="23"/>
    <w:qFormat/>
    <w:uiPriority w:val="0"/>
    <w:rPr>
      <w:rFonts w:hint="default" w:ascii="Arial" w:hAnsi="Arial" w:cs="Arial"/>
    </w:rPr>
  </w:style>
  <w:style w:type="character" w:customStyle="1" w:styleId="33">
    <w:name w:val="style36"/>
    <w:basedOn w:val="23"/>
    <w:qFormat/>
    <w:uiPriority w:val="0"/>
  </w:style>
  <w:style w:type="character" w:customStyle="1" w:styleId="34">
    <w:name w:val="search_highlight2"/>
    <w:basedOn w:val="23"/>
    <w:qFormat/>
    <w:uiPriority w:val="0"/>
    <w:rPr>
      <w:rFonts w:hint="default" w:ascii="Arial" w:hAnsi="Arial" w:cs="Arial"/>
      <w:shd w:val="clear" w:color="auto" w:fill="FFFFB0"/>
    </w:rPr>
  </w:style>
  <w:style w:type="character" w:customStyle="1" w:styleId="35">
    <w:name w:val="style4"/>
    <w:basedOn w:val="23"/>
    <w:qFormat/>
    <w:uiPriority w:val="0"/>
  </w:style>
  <w:style w:type="character" w:customStyle="1" w:styleId="36">
    <w:name w:val="f141"/>
    <w:basedOn w:val="23"/>
    <w:qFormat/>
    <w:uiPriority w:val="0"/>
    <w:rPr>
      <w:b/>
      <w:bCs/>
      <w:sz w:val="21"/>
      <w:szCs w:val="21"/>
    </w:rPr>
  </w:style>
  <w:style w:type="character" w:customStyle="1" w:styleId="37">
    <w:name w:val="hei12b"/>
    <w:basedOn w:val="23"/>
    <w:qFormat/>
    <w:uiPriority w:val="0"/>
  </w:style>
  <w:style w:type="paragraph" w:customStyle="1" w:styleId="38">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39">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0">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1">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2">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4">
    <w:name w:val=" 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47">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8">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49">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0">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1">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3">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4">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8">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59">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0">
    <w:name w:val=" Char Char Char Char"/>
    <w:basedOn w:val="1"/>
    <w:qFormat/>
    <w:uiPriority w:val="0"/>
    <w:rPr>
      <w:rFonts w:eastAsia="宋体"/>
      <w:sz w:val="21"/>
    </w:rPr>
  </w:style>
  <w:style w:type="paragraph" w:customStyle="1" w:styleId="61">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3">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4">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5">
    <w:name w:val="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66">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7">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69">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0">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2">
    <w:name w:val="列出段落1"/>
    <w:basedOn w:val="1"/>
    <w:qFormat/>
    <w:uiPriority w:val="0"/>
    <w:pPr>
      <w:suppressAutoHyphens/>
      <w:ind w:left="720"/>
      <w:jc w:val="left"/>
    </w:pPr>
    <w:rPr>
      <w:rFonts w:eastAsia="Times New Roman"/>
      <w:kern w:val="0"/>
      <w:sz w:val="24"/>
      <w:szCs w:val="24"/>
      <w:lang w:eastAsia="ar-SA"/>
    </w:rPr>
  </w:style>
  <w:style w:type="paragraph" w:customStyle="1" w:styleId="73">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5">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6">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7">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78">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79">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UP标题3"/>
    <w:basedOn w:val="1"/>
    <w:qFormat/>
    <w:uiPriority w:val="0"/>
    <w:pPr>
      <w:spacing w:line="360" w:lineRule="auto"/>
      <w:ind w:firstLine="149" w:firstLineChars="149"/>
    </w:pPr>
    <w:rPr>
      <w:rFonts w:ascii="黑体" w:hAnsi="Calibri" w:eastAsia="黑体" w:cs="宋体"/>
      <w:szCs w:val="28"/>
    </w:rPr>
  </w:style>
  <w:style w:type="paragraph" w:customStyle="1" w:styleId="81">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xl51"/>
    <w:basedOn w:val="1"/>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4">
    <w:name w:val="xl2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5">
    <w:name w:val="xl68"/>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6">
    <w:name w:val="List Paragraph"/>
    <w:basedOn w:val="1"/>
    <w:qFormat/>
    <w:uiPriority w:val="0"/>
    <w:pPr>
      <w:ind w:firstLine="420" w:firstLineChars="200"/>
    </w:pPr>
    <w:rPr>
      <w:rFonts w:eastAsia="Times New Roman"/>
      <w:sz w:val="21"/>
      <w:szCs w:val="24"/>
    </w:rPr>
  </w:style>
  <w:style w:type="paragraph" w:customStyle="1" w:styleId="87">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88">
    <w:name w:val="xl41"/>
    <w:basedOn w:val="1"/>
    <w:uiPriority w:val="0"/>
    <w:pPr>
      <w:widowControl/>
      <w:spacing w:before="100" w:beforeAutospacing="1" w:after="100" w:afterAutospacing="1"/>
      <w:jc w:val="left"/>
      <w:textAlignment w:val="top"/>
    </w:pPr>
    <w:rPr>
      <w:rFonts w:eastAsia="宋体"/>
      <w:kern w:val="0"/>
      <w:sz w:val="20"/>
    </w:rPr>
  </w:style>
  <w:style w:type="paragraph" w:customStyle="1" w:styleId="8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0">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1">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2">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3">
    <w:name w:val="xl57"/>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4">
    <w:name w:val="xl59"/>
    <w:basedOn w:val="1"/>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设备招标.dot</Template>
  <Company>设备办</Company>
  <Pages>1</Pages>
  <Words>850</Words>
  <Characters>4845</Characters>
  <Lines>40</Lines>
  <Paragraphs>11</Paragraphs>
  <TotalTime>1</TotalTime>
  <ScaleCrop>false</ScaleCrop>
  <LinksUpToDate>false</LinksUpToDate>
  <CharactersWithSpaces>5684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2015-12-21T02:26:00Z</dcterms:created>
  <dc:creator>许慰玲</dc:creator>
  <cp:lastModifiedBy>Administrator</cp:lastModifiedBy>
  <cp:lastPrinted>2015-06-12T00:58:00Z</cp:lastPrinted>
  <dcterms:modified xsi:type="dcterms:W3CDTF">2021-10-25T00:22:00Z</dcterms:modified>
  <dc:title>广东省政府采购中心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00586858EA0640D89EA883FF60E5A634</vt:lpwstr>
  </property>
</Properties>
</file>