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6"/>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6"/>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napToGrid w:val="0"/>
        <w:spacing w:before="120" w:beforeLines="50"/>
        <w:jc w:val="center"/>
        <w:rPr>
          <w:rFonts w:hint="eastAsia" w:ascii="黑体" w:hAnsi="黑体" w:eastAsia="黑体" w:cs="黑体"/>
          <w:sz w:val="26"/>
          <w:szCs w:val="26"/>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sz w:val="26"/>
          <w:szCs w:val="26"/>
          <w:u w:val="single"/>
          <w:lang w:val="en-US" w:eastAsia="zh-CN"/>
        </w:rPr>
        <w:t>汕头大学医学院第一附属医院（含科教楼）</w:t>
      </w:r>
    </w:p>
    <w:p>
      <w:pPr>
        <w:snapToGrid w:val="0"/>
        <w:spacing w:before="120" w:beforeLines="50"/>
        <w:jc w:val="center"/>
        <w:rPr>
          <w:rFonts w:hint="default" w:ascii="黑体" w:hAnsi="黑体" w:eastAsia="黑体" w:cs="黑体"/>
          <w:sz w:val="26"/>
          <w:szCs w:val="26"/>
          <w:u w:val="single"/>
          <w:lang w:val="en-US" w:eastAsia="zh-CN"/>
        </w:rPr>
      </w:pPr>
      <w:r>
        <w:rPr>
          <w:rFonts w:hint="eastAsia" w:ascii="黑体" w:hAnsi="黑体" w:eastAsia="黑体" w:cs="黑体"/>
          <w:sz w:val="26"/>
          <w:szCs w:val="26"/>
          <w:u w:val="none"/>
          <w:lang w:val="en-US" w:eastAsia="zh-CN"/>
        </w:rPr>
        <w:t xml:space="preserve">       </w:t>
      </w:r>
      <w:r>
        <w:rPr>
          <w:rFonts w:hint="eastAsia" w:ascii="黑体" w:hAnsi="黑体" w:eastAsia="黑体" w:cs="黑体"/>
          <w:sz w:val="26"/>
          <w:szCs w:val="26"/>
          <w:u w:val="single"/>
          <w:lang w:val="en-US" w:eastAsia="zh-CN"/>
        </w:rPr>
        <w:t xml:space="preserve"> 视频监控系统升级改造工程竣工结算审核项目</w:t>
      </w:r>
    </w:p>
    <w:p>
      <w:pPr>
        <w:spacing w:line="360" w:lineRule="auto"/>
        <w:ind w:firstLine="900" w:firstLineChars="300"/>
        <w:jc w:val="left"/>
        <w:rPr>
          <w:rFonts w:ascii="宋体" w:hAnsi="宋体"/>
          <w:b/>
          <w:bCs/>
          <w:sz w:val="36"/>
          <w:u w:val="single"/>
        </w:rPr>
      </w:pPr>
      <w:r>
        <w:rPr>
          <w:rFonts w:hint="eastAsia" w:ascii="黑体" w:hAnsi="黑体" w:eastAsia="黑体" w:cs="黑体"/>
          <w:sz w:val="30"/>
          <w:szCs w:val="30"/>
          <w:lang w:val="en-US" w:eastAsia="zh-CN"/>
        </w:rPr>
        <w:t>项目编号：</w:t>
      </w:r>
      <w:r>
        <w:rPr>
          <w:rFonts w:hint="eastAsia" w:ascii="黑体" w:hAnsi="黑体" w:eastAsia="黑体" w:cs="黑体"/>
          <w:sz w:val="26"/>
          <w:szCs w:val="26"/>
          <w:u w:val="single"/>
          <w:lang w:val="en-US" w:eastAsia="zh-CN"/>
        </w:rPr>
        <w:t>SDFYY-ZCB2021004</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21</w:t>
      </w:r>
      <w:r>
        <w:rPr>
          <w:rFonts w:hint="eastAsia" w:ascii="宋体" w:hAnsi="宋体"/>
          <w:b/>
          <w:bCs/>
          <w:sz w:val="32"/>
          <w:szCs w:val="32"/>
        </w:rPr>
        <w:t>年</w:t>
      </w:r>
      <w:r>
        <w:rPr>
          <w:rFonts w:hint="eastAsia" w:ascii="宋体" w:hAnsi="宋体"/>
          <w:b/>
          <w:bCs/>
          <w:sz w:val="32"/>
          <w:szCs w:val="32"/>
          <w:u w:val="single"/>
          <w:lang w:val="en-US" w:eastAsia="zh-CN"/>
        </w:rPr>
        <w:t>12</w:t>
      </w:r>
      <w:r>
        <w:rPr>
          <w:rFonts w:hint="eastAsia" w:ascii="宋体" w:hAnsi="宋体"/>
          <w:b/>
          <w:bCs/>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ascii="宋体" w:hAnsi="宋体"/>
          <w:szCs w:val="21"/>
        </w:rPr>
        <w:sectPr>
          <w:pgSz w:w="11906" w:h="16838"/>
          <w:pgMar w:top="1440" w:right="1800" w:bottom="1440" w:left="1800" w:header="851" w:footer="992" w:gutter="0"/>
          <w:cols w:space="720" w:num="1"/>
          <w:docGrid w:type="lines" w:linePitch="312" w:charSpace="0"/>
        </w:sectPr>
      </w:pPr>
      <w:bookmarkStart w:id="1" w:name="_Toc23927923"/>
      <w:r>
        <w:rPr>
          <w:rFonts w:ascii="宋体"/>
        </w:rPr>
        <w:br w:type="page"/>
      </w:r>
      <w:bookmarkEnd w:id="1"/>
    </w:p>
    <w:p>
      <w:pPr>
        <w:tabs>
          <w:tab w:val="left" w:pos="7260"/>
        </w:tabs>
        <w:spacing w:line="360" w:lineRule="auto"/>
        <w:rPr>
          <w:rFonts w:hint="eastAsia" w:eastAsia="黑体"/>
          <w:b/>
          <w:sz w:val="36"/>
          <w:szCs w:val="36"/>
        </w:rPr>
      </w:pPr>
    </w:p>
    <w:sdt>
      <w:sdtPr>
        <w:rPr>
          <w:rFonts w:ascii="宋体" w:hAnsi="宋体" w:eastAsia="宋体" w:cs="Times New Roman"/>
          <w:kern w:val="2"/>
          <w:sz w:val="21"/>
          <w:szCs w:val="22"/>
          <w:lang w:val="en-US" w:eastAsia="zh-CN" w:bidi="ar-SA"/>
        </w:rPr>
        <w:id w:val="147479422"/>
        <w15:color w:val="DBDBDB"/>
        <w:docPartObj>
          <w:docPartGallery w:val="Table of Contents"/>
          <w:docPartUnique/>
        </w:docPartObj>
      </w:sdtPr>
      <w:sdtEndPr>
        <w:rPr>
          <w:rFonts w:ascii="宋体" w:hAnsi="宋体"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0"/>
              <w:szCs w:val="30"/>
            </w:rPr>
          </w:pPr>
          <w:r>
            <w:rPr>
              <w:rFonts w:hint="eastAsia" w:ascii="黑体" w:hAnsi="黑体" w:eastAsia="黑体" w:cs="黑体"/>
              <w:b/>
              <w:bCs/>
              <w:sz w:val="30"/>
              <w:szCs w:val="30"/>
            </w:rPr>
            <w:t>目</w:t>
          </w:r>
          <w:r>
            <w:rPr>
              <w:rFonts w:hint="eastAsia" w:ascii="黑体" w:hAnsi="黑体" w:eastAsia="黑体" w:cs="黑体"/>
              <w:b/>
              <w:bCs/>
              <w:sz w:val="30"/>
              <w:szCs w:val="30"/>
              <w:lang w:val="en-US" w:eastAsia="zh-CN"/>
            </w:rPr>
            <w:t xml:space="preserve">   </w:t>
          </w:r>
          <w:r>
            <w:rPr>
              <w:rFonts w:hint="eastAsia" w:ascii="黑体" w:hAnsi="黑体" w:eastAsia="黑体" w:cs="黑体"/>
              <w:b/>
              <w:bCs/>
              <w:sz w:val="30"/>
              <w:szCs w:val="30"/>
            </w:rPr>
            <w:t>录</w:t>
          </w:r>
        </w:p>
        <w:p>
          <w:pPr>
            <w:pStyle w:val="2"/>
            <w:rPr>
              <w:rFonts w:hint="eastAsia" w:ascii="黑体" w:hAnsi="黑体" w:eastAsia="黑体" w:cs="黑体"/>
              <w:b/>
              <w:bCs/>
              <w:sz w:val="30"/>
              <w:szCs w:val="30"/>
            </w:rPr>
          </w:pPr>
        </w:p>
        <w:p>
          <w:pPr>
            <w:pStyle w:val="2"/>
            <w:rPr>
              <w:rFonts w:hint="eastAsia" w:ascii="黑体" w:hAnsi="黑体" w:eastAsia="黑体" w:cs="黑体"/>
              <w:b/>
              <w:bCs/>
              <w:sz w:val="30"/>
              <w:szCs w:val="30"/>
            </w:rPr>
          </w:pPr>
        </w:p>
        <w:p>
          <w:pPr>
            <w:pStyle w:val="44"/>
            <w:tabs>
              <w:tab w:val="right" w:leader="dot" w:pos="9071"/>
            </w:tabs>
            <w:rPr>
              <w:sz w:val="30"/>
              <w:szCs w:val="30"/>
            </w:rPr>
          </w:pPr>
          <w:r>
            <w:rPr>
              <w:rFonts w:hint="eastAsia"/>
              <w:sz w:val="30"/>
              <w:szCs w:val="30"/>
              <w:lang w:val="en-US" w:eastAsia="zh-CN"/>
            </w:rPr>
            <w:t>一、</w:t>
          </w:r>
          <w:r>
            <w:rPr>
              <w:sz w:val="30"/>
              <w:szCs w:val="30"/>
            </w:rPr>
            <w:fldChar w:fldCharType="begin"/>
          </w:r>
          <w:r>
            <w:rPr>
              <w:sz w:val="30"/>
              <w:szCs w:val="30"/>
            </w:rPr>
            <w:instrText xml:space="preserve">TOC \o "1-1" \h \u </w:instrText>
          </w:r>
          <w:r>
            <w:rPr>
              <w:sz w:val="30"/>
              <w:szCs w:val="30"/>
            </w:rPr>
            <w:fldChar w:fldCharType="separate"/>
          </w:r>
          <w:r>
            <w:rPr>
              <w:sz w:val="30"/>
              <w:szCs w:val="30"/>
            </w:rPr>
            <w:fldChar w:fldCharType="begin"/>
          </w:r>
          <w:r>
            <w:rPr>
              <w:sz w:val="30"/>
              <w:szCs w:val="30"/>
            </w:rPr>
            <w:instrText xml:space="preserve"> HYPERLINK \l _Toc521 </w:instrText>
          </w:r>
          <w:r>
            <w:rPr>
              <w:sz w:val="30"/>
              <w:szCs w:val="30"/>
            </w:rPr>
            <w:fldChar w:fldCharType="separate"/>
          </w:r>
          <w:r>
            <w:rPr>
              <w:rFonts w:hint="eastAsia" w:eastAsia="黑体"/>
              <w:sz w:val="30"/>
              <w:szCs w:val="30"/>
            </w:rPr>
            <w:t>投 标 邀 请 函</w:t>
          </w:r>
          <w:r>
            <w:rPr>
              <w:sz w:val="30"/>
              <w:szCs w:val="30"/>
            </w:rPr>
            <w:tab/>
          </w:r>
          <w:r>
            <w:rPr>
              <w:sz w:val="30"/>
              <w:szCs w:val="30"/>
            </w:rPr>
            <w:fldChar w:fldCharType="begin"/>
          </w:r>
          <w:r>
            <w:rPr>
              <w:sz w:val="30"/>
              <w:szCs w:val="30"/>
            </w:rPr>
            <w:instrText xml:space="preserve"> PAGEREF _Toc521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二、</w:t>
          </w:r>
          <w:r>
            <w:rPr>
              <w:sz w:val="30"/>
              <w:szCs w:val="30"/>
            </w:rPr>
            <w:fldChar w:fldCharType="begin"/>
          </w:r>
          <w:r>
            <w:rPr>
              <w:sz w:val="30"/>
              <w:szCs w:val="30"/>
            </w:rPr>
            <w:instrText xml:space="preserve"> HYPERLINK \l _Toc25396 </w:instrText>
          </w:r>
          <w:r>
            <w:rPr>
              <w:sz w:val="30"/>
              <w:szCs w:val="30"/>
            </w:rPr>
            <w:fldChar w:fldCharType="separate"/>
          </w:r>
          <w:r>
            <w:rPr>
              <w:rFonts w:hint="eastAsia" w:eastAsia="黑体"/>
              <w:sz w:val="30"/>
              <w:szCs w:val="30"/>
            </w:rPr>
            <w:t>用 户 需 求 书</w:t>
          </w:r>
          <w:r>
            <w:rPr>
              <w:sz w:val="30"/>
              <w:szCs w:val="30"/>
            </w:rPr>
            <w:tab/>
          </w:r>
          <w:r>
            <w:rPr>
              <w:sz w:val="30"/>
              <w:szCs w:val="30"/>
            </w:rPr>
            <w:fldChar w:fldCharType="begin"/>
          </w:r>
          <w:r>
            <w:rPr>
              <w:sz w:val="30"/>
              <w:szCs w:val="30"/>
            </w:rPr>
            <w:instrText xml:space="preserve"> PAGEREF _Toc25396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三、</w:t>
          </w:r>
          <w:r>
            <w:rPr>
              <w:sz w:val="30"/>
              <w:szCs w:val="30"/>
            </w:rPr>
            <w:fldChar w:fldCharType="begin"/>
          </w:r>
          <w:r>
            <w:rPr>
              <w:sz w:val="30"/>
              <w:szCs w:val="30"/>
            </w:rPr>
            <w:instrText xml:space="preserve"> HYPERLINK \l _Toc16871 </w:instrText>
          </w:r>
          <w:r>
            <w:rPr>
              <w:sz w:val="30"/>
              <w:szCs w:val="30"/>
            </w:rPr>
            <w:fldChar w:fldCharType="separate"/>
          </w:r>
          <w:r>
            <w:rPr>
              <w:rFonts w:hint="eastAsia" w:eastAsia="黑体"/>
              <w:sz w:val="30"/>
              <w:szCs w:val="30"/>
            </w:rPr>
            <w:t>投 标 人 须 知</w:t>
          </w:r>
          <w:r>
            <w:rPr>
              <w:sz w:val="30"/>
              <w:szCs w:val="30"/>
            </w:rPr>
            <w:tab/>
          </w:r>
          <w:r>
            <w:rPr>
              <w:sz w:val="30"/>
              <w:szCs w:val="30"/>
            </w:rPr>
            <w:fldChar w:fldCharType="begin"/>
          </w:r>
          <w:r>
            <w:rPr>
              <w:sz w:val="30"/>
              <w:szCs w:val="30"/>
            </w:rPr>
            <w:instrText xml:space="preserve"> PAGEREF _Toc16871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四、</w:t>
          </w:r>
          <w:r>
            <w:rPr>
              <w:sz w:val="30"/>
              <w:szCs w:val="30"/>
            </w:rPr>
            <w:fldChar w:fldCharType="begin"/>
          </w:r>
          <w:r>
            <w:rPr>
              <w:sz w:val="30"/>
              <w:szCs w:val="30"/>
            </w:rPr>
            <w:instrText xml:space="preserve"> HYPERLINK \l _Toc12592 </w:instrText>
          </w:r>
          <w:r>
            <w:rPr>
              <w:sz w:val="30"/>
              <w:szCs w:val="30"/>
            </w:rPr>
            <w:fldChar w:fldCharType="separate"/>
          </w:r>
          <w:r>
            <w:rPr>
              <w:rFonts w:hint="eastAsia" w:eastAsia="黑体"/>
              <w:sz w:val="30"/>
              <w:szCs w:val="30"/>
            </w:rPr>
            <w:t>评</w:t>
          </w:r>
          <w:r>
            <w:rPr>
              <w:rFonts w:eastAsia="黑体"/>
              <w:sz w:val="30"/>
              <w:szCs w:val="30"/>
            </w:rPr>
            <w:t xml:space="preserve"> </w:t>
          </w:r>
          <w:r>
            <w:rPr>
              <w:rFonts w:hint="eastAsia" w:eastAsia="黑体"/>
              <w:sz w:val="30"/>
              <w:szCs w:val="30"/>
            </w:rPr>
            <w:t>标</w:t>
          </w:r>
          <w:r>
            <w:rPr>
              <w:rFonts w:eastAsia="黑体"/>
              <w:sz w:val="30"/>
              <w:szCs w:val="30"/>
            </w:rPr>
            <w:t xml:space="preserve"> </w:t>
          </w:r>
          <w:r>
            <w:rPr>
              <w:rFonts w:hint="eastAsia" w:eastAsia="黑体"/>
              <w:sz w:val="30"/>
              <w:szCs w:val="30"/>
            </w:rPr>
            <w:t>方 法</w:t>
          </w:r>
          <w:r>
            <w:rPr>
              <w:sz w:val="30"/>
              <w:szCs w:val="30"/>
            </w:rPr>
            <w:tab/>
          </w:r>
          <w:r>
            <w:rPr>
              <w:sz w:val="30"/>
              <w:szCs w:val="30"/>
            </w:rPr>
            <w:fldChar w:fldCharType="begin"/>
          </w:r>
          <w:r>
            <w:rPr>
              <w:sz w:val="30"/>
              <w:szCs w:val="30"/>
            </w:rPr>
            <w:instrText xml:space="preserve"> PAGEREF _Toc12592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五、</w:t>
          </w:r>
          <w:r>
            <w:rPr>
              <w:sz w:val="30"/>
              <w:szCs w:val="30"/>
            </w:rPr>
            <w:fldChar w:fldCharType="begin"/>
          </w:r>
          <w:r>
            <w:rPr>
              <w:sz w:val="30"/>
              <w:szCs w:val="30"/>
            </w:rPr>
            <w:instrText xml:space="preserve"> HYPERLINK \l _Toc1291 </w:instrText>
          </w:r>
          <w:r>
            <w:rPr>
              <w:sz w:val="30"/>
              <w:szCs w:val="30"/>
            </w:rPr>
            <w:fldChar w:fldCharType="separate"/>
          </w:r>
          <w:r>
            <w:rPr>
              <w:rFonts w:hint="eastAsia" w:eastAsia="黑体"/>
              <w:sz w:val="30"/>
              <w:szCs w:val="30"/>
            </w:rPr>
            <w:t>合 同 书 格 式</w:t>
          </w:r>
          <w:r>
            <w:rPr>
              <w:sz w:val="30"/>
              <w:szCs w:val="30"/>
            </w:rPr>
            <w:tab/>
          </w:r>
          <w:r>
            <w:rPr>
              <w:sz w:val="30"/>
              <w:szCs w:val="30"/>
            </w:rPr>
            <w:fldChar w:fldCharType="begin"/>
          </w:r>
          <w:r>
            <w:rPr>
              <w:sz w:val="30"/>
              <w:szCs w:val="30"/>
            </w:rPr>
            <w:instrText xml:space="preserve"> PAGEREF _Toc1291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44"/>
            <w:tabs>
              <w:tab w:val="right" w:leader="dot" w:pos="9071"/>
            </w:tabs>
            <w:rPr>
              <w:sz w:val="30"/>
              <w:szCs w:val="30"/>
            </w:rPr>
          </w:pPr>
          <w:r>
            <w:rPr>
              <w:rFonts w:hint="eastAsia"/>
              <w:sz w:val="30"/>
              <w:szCs w:val="30"/>
              <w:lang w:val="en-US" w:eastAsia="zh-CN"/>
            </w:rPr>
            <w:t>六、</w:t>
          </w:r>
          <w:r>
            <w:rPr>
              <w:sz w:val="30"/>
              <w:szCs w:val="30"/>
            </w:rPr>
            <w:fldChar w:fldCharType="begin"/>
          </w:r>
          <w:r>
            <w:rPr>
              <w:sz w:val="30"/>
              <w:szCs w:val="30"/>
            </w:rPr>
            <w:instrText xml:space="preserve"> HYPERLINK \l _Toc1189 </w:instrText>
          </w:r>
          <w:r>
            <w:rPr>
              <w:sz w:val="30"/>
              <w:szCs w:val="30"/>
            </w:rPr>
            <w:fldChar w:fldCharType="separate"/>
          </w:r>
          <w:r>
            <w:rPr>
              <w:rFonts w:hint="eastAsia" w:eastAsia="黑体"/>
              <w:sz w:val="30"/>
              <w:szCs w:val="30"/>
            </w:rPr>
            <w:t>投标文件格式</w:t>
          </w:r>
          <w:r>
            <w:rPr>
              <w:sz w:val="30"/>
              <w:szCs w:val="30"/>
            </w:rPr>
            <w:tab/>
          </w:r>
          <w:r>
            <w:rPr>
              <w:sz w:val="30"/>
              <w:szCs w:val="30"/>
            </w:rPr>
            <w:fldChar w:fldCharType="begin"/>
          </w:r>
          <w:r>
            <w:rPr>
              <w:sz w:val="30"/>
              <w:szCs w:val="30"/>
            </w:rPr>
            <w:instrText xml:space="preserve"> PAGEREF _Toc1189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44"/>
            <w:tabs>
              <w:tab w:val="right" w:leader="dot" w:pos="9071"/>
            </w:tabs>
            <w:rPr>
              <w:sz w:val="30"/>
              <w:szCs w:val="30"/>
            </w:rPr>
          </w:pPr>
        </w:p>
        <w:p>
          <w:pPr>
            <w:sectPr>
              <w:footerReference r:id="rId3" w:type="default"/>
              <w:pgSz w:w="11907" w:h="16840"/>
              <w:pgMar w:top="1134" w:right="1418" w:bottom="1134" w:left="1418" w:header="737" w:footer="454" w:gutter="0"/>
              <w:pgNumType w:start="1"/>
              <w:cols w:space="720" w:num="1"/>
              <w:docGrid w:type="linesAndChars" w:linePitch="312" w:charSpace="0"/>
            </w:sectPr>
          </w:pPr>
          <w:r>
            <w:rPr>
              <w:sz w:val="30"/>
              <w:szCs w:val="30"/>
            </w:rPr>
            <w:fldChar w:fldCharType="end"/>
          </w:r>
        </w:p>
      </w:sdtContent>
    </w:sdt>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2" w:name="_Toc521"/>
      <w:bookmarkStart w:id="3" w:name="_Toc888"/>
      <w:r>
        <w:rPr>
          <w:rFonts w:hint="eastAsia" w:eastAsia="黑体"/>
          <w:b/>
          <w:sz w:val="44"/>
        </w:rPr>
        <w:t>投 标 邀 请 函</w:t>
      </w:r>
      <w:bookmarkEnd w:id="2"/>
      <w:bookmarkEnd w:id="3"/>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36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sz w:val="21"/>
          <w:szCs w:val="21"/>
          <w:lang w:val="en-US" w:eastAsia="zh-CN"/>
        </w:rPr>
        <w:t>汕头大学医学院第一附属医院就</w:t>
      </w:r>
      <w:r>
        <w:rPr>
          <w:rFonts w:hint="eastAsia" w:ascii="宋体" w:hAnsi="宋体" w:eastAsia="宋体" w:cs="宋体"/>
          <w:i w:val="0"/>
          <w:iCs w:val="0"/>
          <w:caps w:val="0"/>
          <w:color w:val="000000"/>
          <w:spacing w:val="0"/>
          <w:sz w:val="21"/>
          <w:szCs w:val="21"/>
          <w:shd w:val="clear" w:fill="FFFFFF"/>
          <w:vertAlign w:val="baseline"/>
          <w:lang w:val="en-US" w:eastAsia="zh-CN"/>
        </w:rPr>
        <w:t>（含科教楼）视频监控系统升级改造工程竣工结算审核</w:t>
      </w:r>
      <w:r>
        <w:rPr>
          <w:rFonts w:hint="eastAsia" w:ascii="宋体" w:hAnsi="Times New Roman" w:eastAsia="宋体" w:cs="Times New Roman"/>
          <w:sz w:val="21"/>
          <w:szCs w:val="21"/>
          <w:lang w:val="en-US" w:eastAsia="zh-CN"/>
        </w:rPr>
        <w:t>项目进</w:t>
      </w:r>
      <w:r>
        <w:rPr>
          <w:rFonts w:hint="eastAsia" w:ascii="宋体" w:hAnsi="Times New Roman" w:eastAsia="宋体" w:cs="Times New Roman"/>
          <w:sz w:val="21"/>
          <w:szCs w:val="21"/>
        </w:rPr>
        <w:t>行</w:t>
      </w:r>
      <w:r>
        <w:rPr>
          <w:rFonts w:hint="eastAsia" w:ascii="宋体" w:hAnsi="Times New Roman" w:eastAsia="宋体" w:cs="Times New Roman"/>
          <w:sz w:val="21"/>
          <w:szCs w:val="21"/>
          <w:lang w:val="en-US" w:eastAsia="zh-CN"/>
        </w:rPr>
        <w:t>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Fonts w:hint="eastAsia" w:ascii="宋体"/>
          <w:sz w:val="21"/>
          <w:szCs w:val="21"/>
        </w:rPr>
      </w:pPr>
      <w:bookmarkStart w:id="4" w:name="_Toc13670"/>
      <w:bookmarkStart w:id="5" w:name="_Toc9791"/>
      <w:r>
        <w:rPr>
          <w:rStyle w:val="23"/>
          <w:rFonts w:hint="eastAsia" w:ascii="宋体" w:hAnsi="宋体" w:eastAsia="宋体" w:cs="宋体"/>
          <w:b/>
          <w:bCs/>
          <w:i w:val="0"/>
          <w:iCs w:val="0"/>
          <w:caps w:val="0"/>
          <w:color w:val="000000"/>
          <w:spacing w:val="0"/>
          <w:sz w:val="21"/>
          <w:szCs w:val="21"/>
          <w:shd w:val="clear" w:fill="FFFFFF"/>
          <w:vertAlign w:val="baseline"/>
        </w:rPr>
        <w:t>一、项目基本情况</w:t>
      </w:r>
      <w:bookmarkEnd w:id="4"/>
      <w:bookmarkEnd w:id="5"/>
    </w:p>
    <w:p>
      <w:pPr>
        <w:snapToGrid w:val="0"/>
        <w:spacing w:before="120" w:beforeLines="50"/>
        <w:ind w:left="1680" w:leftChars="200" w:hanging="1260" w:hangingChars="600"/>
        <w:jc w:val="both"/>
        <w:rPr>
          <w:rFonts w:hint="default"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eastAsia="宋体" w:cs="宋体"/>
          <w:i w:val="0"/>
          <w:iCs w:val="0"/>
          <w:caps w:val="0"/>
          <w:color w:val="000000"/>
          <w:spacing w:val="0"/>
          <w:sz w:val="21"/>
          <w:szCs w:val="21"/>
          <w:shd w:val="clear" w:fill="FFFFFF"/>
          <w:vertAlign w:val="baseline"/>
        </w:rPr>
        <w:t>项目编号：</w:t>
      </w:r>
      <w:r>
        <w:rPr>
          <w:rFonts w:hint="eastAsia" w:ascii="宋体" w:hAnsi="宋体" w:eastAsia="宋体" w:cs="宋体"/>
          <w:i w:val="0"/>
          <w:iCs w:val="0"/>
          <w:caps w:val="0"/>
          <w:color w:val="000000"/>
          <w:spacing w:val="0"/>
          <w:sz w:val="21"/>
          <w:szCs w:val="21"/>
          <w:shd w:val="clear" w:fill="FFFFFF"/>
          <w:vertAlign w:val="baseline"/>
          <w:lang w:val="en-US" w:eastAsia="zh-CN"/>
        </w:rPr>
        <w:t>SDFYY-ZCB202100</w:t>
      </w:r>
      <w:r>
        <w:rPr>
          <w:rFonts w:hint="eastAsia" w:ascii="宋体" w:hAnsi="宋体" w:cs="宋体"/>
          <w:i w:val="0"/>
          <w:iCs w:val="0"/>
          <w:caps w:val="0"/>
          <w:color w:val="000000"/>
          <w:spacing w:val="0"/>
          <w:sz w:val="21"/>
          <w:szCs w:val="21"/>
          <w:shd w:val="clear" w:fill="FFFFFF"/>
          <w:vertAlign w:val="baseline"/>
          <w:lang w:val="en-US" w:eastAsia="zh-CN"/>
        </w:rPr>
        <w:t>4</w:t>
      </w:r>
    </w:p>
    <w:p>
      <w:pPr>
        <w:snapToGrid w:val="0"/>
        <w:spacing w:before="120" w:beforeLines="50"/>
        <w:ind w:left="1680" w:leftChars="200" w:hanging="1260" w:hangingChars="600"/>
        <w:jc w:val="both"/>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2.</w:t>
      </w:r>
      <w:r>
        <w:rPr>
          <w:rFonts w:hint="eastAsia" w:ascii="宋体" w:hAnsi="宋体" w:eastAsia="宋体" w:cs="宋体"/>
          <w:i w:val="0"/>
          <w:iCs w:val="0"/>
          <w:caps w:val="0"/>
          <w:color w:val="000000"/>
          <w:spacing w:val="0"/>
          <w:sz w:val="21"/>
          <w:szCs w:val="21"/>
          <w:shd w:val="clear" w:fill="FFFFFF"/>
          <w:vertAlign w:val="baseline"/>
        </w:rPr>
        <w:t>项目名称：</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汕头大学医学院第一附属医院（含科教楼）视频监控系统升级改造工程竣工结算审核项目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eastAsia" w:ascii="宋体" w:hAnsi="宋体" w:eastAsia="宋体" w:cs="宋体"/>
          <w:i w:val="0"/>
          <w:iCs w:val="0"/>
          <w:caps w:val="0"/>
          <w:color w:val="000000"/>
          <w:spacing w:val="0"/>
          <w:sz w:val="21"/>
          <w:szCs w:val="21"/>
          <w:shd w:val="clear" w:fill="FFFFFF"/>
          <w:vertAlign w:val="baseline"/>
        </w:rPr>
        <w:t>采购方式：</w:t>
      </w:r>
      <w:r>
        <w:rPr>
          <w:rFonts w:hint="eastAsia" w:ascii="宋体" w:hAnsi="宋体" w:eastAsia="宋体" w:cs="宋体"/>
          <w:i w:val="0"/>
          <w:iCs w:val="0"/>
          <w:caps w:val="0"/>
          <w:color w:val="000000"/>
          <w:spacing w:val="0"/>
          <w:sz w:val="21"/>
          <w:szCs w:val="21"/>
          <w:shd w:val="clear" w:fill="FFFFFF"/>
          <w:vertAlign w:val="baseline"/>
          <w:lang w:val="en-US" w:eastAsia="zh-CN"/>
        </w:rPr>
        <w:t>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eastAsia="宋体" w:cs="宋体"/>
          <w:i w:val="0"/>
          <w:iCs w:val="0"/>
          <w:caps w:val="0"/>
          <w:color w:val="000000"/>
          <w:spacing w:val="0"/>
          <w:sz w:val="21"/>
          <w:szCs w:val="21"/>
          <w:shd w:val="clear" w:fill="FFFFFF"/>
          <w:vertAlign w:val="baseline"/>
          <w:lang w:val="en-US" w:eastAsia="zh-CN"/>
        </w:rPr>
        <w:t>4.资金来源</w:t>
      </w:r>
      <w:r>
        <w:rPr>
          <w:rFonts w:hint="eastAsia" w:ascii="宋体" w:hAnsi="宋体" w:eastAsia="宋体" w:cs="宋体"/>
          <w:i w:val="0"/>
          <w:iCs w:val="0"/>
          <w:caps w:val="0"/>
          <w:color w:val="000000"/>
          <w:spacing w:val="0"/>
          <w:sz w:val="21"/>
          <w:szCs w:val="21"/>
          <w:shd w:val="clear" w:fill="FFFFFF"/>
          <w:vertAlign w:val="baseline"/>
        </w:rPr>
        <w:t>：</w:t>
      </w:r>
      <w:r>
        <w:rPr>
          <w:rFonts w:hint="eastAsia" w:ascii="宋体" w:hAnsi="宋体" w:eastAsia="宋体" w:cs="宋体"/>
          <w:i w:val="0"/>
          <w:iCs w:val="0"/>
          <w:caps w:val="0"/>
          <w:color w:val="000000"/>
          <w:spacing w:val="0"/>
          <w:sz w:val="21"/>
          <w:szCs w:val="21"/>
          <w:shd w:val="clear" w:fill="FFFFFF"/>
          <w:vertAlign w:val="baseline"/>
          <w:lang w:val="en-US" w:eastAsia="zh-CN"/>
        </w:rPr>
        <w:t>自筹资金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cs="宋体"/>
          <w:i w:val="0"/>
          <w:iCs w:val="0"/>
          <w:caps w:val="0"/>
          <w:color w:val="000000"/>
          <w:spacing w:val="0"/>
          <w:sz w:val="21"/>
          <w:szCs w:val="21"/>
          <w:shd w:val="clear" w:fill="FFFFFF"/>
          <w:vertAlign w:val="baseline"/>
          <w:lang w:val="en-US" w:eastAsia="zh-CN"/>
        </w:rPr>
        <w:t>5.服务类别：</w:t>
      </w:r>
      <w:r>
        <w:rPr>
          <w:rFonts w:hint="eastAsia" w:ascii="宋体" w:hAnsi="宋体" w:eastAsia="宋体" w:cs="宋体"/>
          <w:i w:val="0"/>
          <w:iCs w:val="0"/>
          <w:caps w:val="0"/>
          <w:color w:val="000000"/>
          <w:spacing w:val="0"/>
          <w:sz w:val="21"/>
          <w:szCs w:val="21"/>
          <w:shd w:val="clear" w:fill="FFFFFF"/>
          <w:vertAlign w:val="baseline"/>
          <w:lang w:val="en-US" w:eastAsia="zh-CN"/>
        </w:rPr>
        <w:t>竣工结算审核</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rPr>
      </w:pPr>
      <w:r>
        <w:rPr>
          <w:rFonts w:hint="eastAsia" w:ascii="宋体" w:hAnsi="宋体" w:cs="宋体"/>
          <w:i w:val="0"/>
          <w:iCs w:val="0"/>
          <w:caps w:val="0"/>
          <w:color w:val="000000"/>
          <w:spacing w:val="0"/>
          <w:sz w:val="21"/>
          <w:szCs w:val="21"/>
          <w:shd w:val="clear" w:fill="FFFFFF"/>
          <w:vertAlign w:val="baseline"/>
          <w:lang w:val="en-US" w:eastAsia="zh-CN"/>
        </w:rPr>
        <w:t>6</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采购需求：</w:t>
      </w:r>
      <w:r>
        <w:rPr>
          <w:rFonts w:ascii="宋体" w:hAnsi="宋体" w:eastAsia="宋体" w:cs="宋体"/>
          <w:i w:val="0"/>
          <w:iCs w:val="0"/>
          <w:kern w:val="0"/>
          <w:sz w:val="21"/>
          <w:szCs w:val="21"/>
          <w:lang w:val="en-US" w:eastAsia="zh-CN" w:bidi="ar"/>
        </w:rPr>
        <w:t>详见采购文件</w:t>
      </w:r>
    </w:p>
    <w:p>
      <w:pPr>
        <w:spacing w:line="276" w:lineRule="auto"/>
        <w:ind w:firstLine="420" w:firstLineChars="200"/>
        <w:rPr>
          <w:rFonts w:hint="eastAsia" w:ascii="宋体" w:hAnsi="宋体" w:eastAsia="宋体" w:cs="宋体"/>
          <w:i w:val="0"/>
          <w:iCs w:val="0"/>
          <w:caps w:val="0"/>
          <w:color w:val="000000"/>
          <w:spacing w:val="0"/>
          <w:sz w:val="21"/>
          <w:szCs w:val="21"/>
          <w:shd w:val="clear" w:fill="FFFFFF"/>
          <w:vertAlign w:val="baseline"/>
        </w:rPr>
      </w:pPr>
      <w:r>
        <w:rPr>
          <w:rFonts w:hint="eastAsia" w:ascii="宋体" w:hAnsi="宋体" w:cs="宋体"/>
          <w:i w:val="0"/>
          <w:iCs w:val="0"/>
          <w:caps w:val="0"/>
          <w:color w:val="000000"/>
          <w:spacing w:val="0"/>
          <w:sz w:val="21"/>
          <w:szCs w:val="21"/>
          <w:shd w:val="clear" w:fill="FFFFFF"/>
          <w:vertAlign w:val="baseline"/>
          <w:lang w:val="en-US" w:eastAsia="zh-CN"/>
        </w:rPr>
        <w:t>7</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eastAsia="宋体" w:cs="宋体"/>
          <w:i w:val="0"/>
          <w:iCs w:val="0"/>
          <w:caps w:val="0"/>
          <w:color w:val="000000"/>
          <w:spacing w:val="0"/>
          <w:sz w:val="21"/>
          <w:szCs w:val="21"/>
          <w:shd w:val="clear" w:fill="FFFFFF"/>
          <w:vertAlign w:val="baseline"/>
        </w:rPr>
        <w:t>合同履行期限：中标方在接到项目资料起，于30天内完成审核工作并出具竣工结算审核报告书</w:t>
      </w:r>
      <w:r>
        <w:rPr>
          <w:rFonts w:hint="eastAsia" w:ascii="宋体" w:hAnsi="宋体" w:eastAsia="宋体" w:cs="宋体"/>
          <w:i w:val="0"/>
          <w:iCs w:val="0"/>
          <w:caps w:val="0"/>
          <w:color w:val="000000"/>
          <w:spacing w:val="0"/>
          <w:sz w:val="21"/>
          <w:szCs w:val="21"/>
          <w:shd w:val="clear" w:fill="FFFFFF"/>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Fonts w:hint="eastAsia" w:ascii="宋体" w:hAnsi="宋体" w:eastAsia="宋体" w:cs="宋体"/>
          <w:b w:val="0"/>
          <w:bCs w:val="0"/>
          <w:i w:val="0"/>
          <w:iCs w:val="0"/>
          <w:caps w:val="0"/>
          <w:color w:val="000000"/>
          <w:spacing w:val="0"/>
          <w:sz w:val="21"/>
          <w:szCs w:val="21"/>
        </w:rPr>
      </w:pPr>
      <w:bookmarkStart w:id="6" w:name="_Toc2760"/>
      <w:bookmarkStart w:id="7" w:name="_Toc6084"/>
      <w:r>
        <w:rPr>
          <w:rStyle w:val="23"/>
          <w:rFonts w:hint="eastAsia" w:ascii="宋体" w:hAnsi="宋体" w:eastAsia="宋体" w:cs="宋体"/>
          <w:b/>
          <w:bCs/>
          <w:i w:val="0"/>
          <w:iCs w:val="0"/>
          <w:caps w:val="0"/>
          <w:color w:val="000000"/>
          <w:spacing w:val="0"/>
          <w:sz w:val="21"/>
          <w:szCs w:val="21"/>
          <w:shd w:val="clear" w:fill="FFFFFF"/>
          <w:vertAlign w:val="baseline"/>
        </w:rPr>
        <w:t>二、申请人的资格要求：</w:t>
      </w:r>
      <w:bookmarkEnd w:id="6"/>
      <w:bookmarkEnd w:id="7"/>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2.有依法缴纳税收和社会保障资金的良好记录：提供投标截止日前6个月内任意1个月依法缴纳税收和社会保障资金的相关材料。 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3.具有良好的商业信誉和健全的财务会计制度：供应商必须具有良好的商业信誉和健全的财务会计制度（提供2020年度财务状况报告或基本开户行出具的资信证明）。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4.</w:t>
      </w:r>
      <w:r>
        <w:rPr>
          <w:rFonts w:hint="eastAsia" w:ascii="宋体" w:hAnsi="宋体"/>
          <w:color w:val="000000" w:themeColor="text1"/>
          <w:szCs w:val="21"/>
          <w:lang w:val="en-US" w:eastAsia="zh-CN"/>
          <w14:textFill>
            <w14:solidFill>
              <w14:schemeClr w14:val="tx1"/>
            </w14:solidFill>
          </w14:textFill>
        </w:rPr>
        <w:t>为非外资独资或者外资控股企业；按</w:t>
      </w:r>
      <w:r>
        <w:rPr>
          <w:rFonts w:hint="eastAsia" w:ascii="宋体" w:hAnsi="宋体"/>
          <w:szCs w:val="21"/>
          <w:lang w:val="en-US" w:eastAsia="zh-CN"/>
        </w:rPr>
        <w:t>国家法律法规经营，有工程造价咨询乙级或以上资质的独立法人单位均可报名(非本地机构需在本地有常设办事处并提供相关证明资料)。</w:t>
      </w:r>
    </w:p>
    <w:p>
      <w:pPr>
        <w:spacing w:line="240" w:lineRule="auto"/>
        <w:ind w:firstLine="420" w:firstLineChars="200"/>
        <w:rPr>
          <w:rFonts w:hint="eastAsia" w:ascii="宋体" w:hAnsi="宋体"/>
          <w:szCs w:val="21"/>
        </w:rPr>
      </w:pPr>
      <w:r>
        <w:rPr>
          <w:rFonts w:hint="eastAsia" w:ascii="宋体" w:hAnsi="宋体"/>
          <w:szCs w:val="21"/>
          <w:lang w:val="en-US" w:eastAsia="zh-CN"/>
        </w:rPr>
        <w:t>5</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pStyle w:val="2"/>
        <w:ind w:firstLine="420" w:firstLineChars="200"/>
      </w:pPr>
      <w:r>
        <w:rPr>
          <w:rFonts w:hint="eastAsia" w:ascii="宋体" w:hAnsi="宋体" w:eastAsia="宋体" w:cs="宋体"/>
          <w:i w:val="0"/>
          <w:iCs w:val="0"/>
          <w:caps w:val="0"/>
          <w:color w:val="000000"/>
          <w:spacing w:val="0"/>
          <w:sz w:val="21"/>
          <w:szCs w:val="21"/>
          <w:shd w:val="clear" w:fill="FFFFFF"/>
          <w:vertAlign w:val="baseline"/>
          <w:lang w:val="en-US" w:eastAsia="zh-CN"/>
        </w:rPr>
        <w:t>6.</w:t>
      </w:r>
      <w:r>
        <w:rPr>
          <w:rFonts w:hint="eastAsia" w:ascii="宋体" w:hAnsi="宋体" w:eastAsia="宋体" w:cs="宋体"/>
          <w:i w:val="0"/>
          <w:iCs w:val="0"/>
          <w:caps w:val="0"/>
          <w:color w:val="000000"/>
          <w:spacing w:val="0"/>
          <w:sz w:val="21"/>
          <w:szCs w:val="21"/>
          <w:shd w:val="clear" w:fill="FFFFFF"/>
          <w:vertAlign w:val="baseline"/>
        </w:rPr>
        <w:t>单位负责人为同一人或者存在直接控股、管理关系的不同供应商，不得同时参加本采购项目（或采购包）投标（响应）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为本项目提供整体设计、规范编制或者项目管理、监理、检测等服务的供应商，不得再参与本项目投标（响应）</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rPr>
        <w:t>投标（报价）函相关承诺要求内容。</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8" w:name="_Toc30651"/>
      <w:bookmarkStart w:id="9" w:name="_Toc24320"/>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3"/>
          <w:rFonts w:hint="default" w:ascii="宋体" w:hAnsi="宋体" w:eastAsia="宋体" w:cs="宋体"/>
          <w:b/>
          <w:bCs/>
          <w:i w:val="0"/>
          <w:iCs w:val="0"/>
          <w:caps w:val="0"/>
          <w:color w:val="000000"/>
          <w:spacing w:val="0"/>
          <w:sz w:val="21"/>
          <w:szCs w:val="21"/>
          <w:shd w:val="clear" w:fill="FFFFFF"/>
          <w:vertAlign w:val="baseline"/>
        </w:rPr>
        <w:t>、报名方式及截止时间：</w:t>
      </w:r>
      <w:bookmarkEnd w:id="8"/>
      <w:bookmarkEnd w:id="9"/>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1.报名时间：</w:t>
      </w:r>
      <w:r>
        <w:rPr>
          <w:rFonts w:hint="default" w:ascii="宋体" w:hAnsi="宋体" w:eastAsia="宋体" w:cs="宋体"/>
          <w:i w:val="0"/>
          <w:iCs w:val="0"/>
          <w:caps w:val="0"/>
          <w:color w:val="000000"/>
          <w:spacing w:val="0"/>
          <w:sz w:val="21"/>
          <w:szCs w:val="21"/>
          <w:shd w:val="clear" w:fill="FFFFFF"/>
          <w:vertAlign w:val="baseline"/>
          <w:lang w:val="en-US" w:eastAsia="zh-CN"/>
        </w:rPr>
        <w:t>2021</w:t>
      </w:r>
      <w:r>
        <w:rPr>
          <w:rFonts w:hint="eastAsia" w:ascii="宋体" w:hAnsi="宋体" w:cs="宋体"/>
          <w:i w:val="0"/>
          <w:iCs w:val="0"/>
          <w:caps w:val="0"/>
          <w:color w:val="000000"/>
          <w:spacing w:val="0"/>
          <w:sz w:val="21"/>
          <w:szCs w:val="21"/>
          <w:shd w:val="clear" w:fill="FFFFFF"/>
          <w:vertAlign w:val="baseline"/>
          <w:lang w:val="en-US" w:eastAsia="zh-CN"/>
        </w:rPr>
        <w:t>年12月10日</w:t>
      </w:r>
      <w:r>
        <w:rPr>
          <w:rFonts w:hint="eastAsia" w:ascii="宋体" w:hAnsi="宋体" w:eastAsia="宋体" w:cs="宋体"/>
          <w:i w:val="0"/>
          <w:iCs w:val="0"/>
          <w:caps w:val="0"/>
          <w:color w:val="000000"/>
          <w:spacing w:val="0"/>
          <w:sz w:val="21"/>
          <w:szCs w:val="21"/>
          <w:shd w:val="clear" w:fill="FFFFFF"/>
          <w:vertAlign w:val="baseline"/>
          <w:lang w:val="en-US" w:eastAsia="zh-CN"/>
        </w:rPr>
        <w:t>至</w:t>
      </w:r>
      <w:r>
        <w:rPr>
          <w:rFonts w:hint="default" w:ascii="宋体" w:hAnsi="宋体" w:eastAsia="宋体" w:cs="宋体"/>
          <w:i w:val="0"/>
          <w:iCs w:val="0"/>
          <w:caps w:val="0"/>
          <w:color w:val="000000"/>
          <w:spacing w:val="0"/>
          <w:sz w:val="21"/>
          <w:szCs w:val="21"/>
          <w:shd w:val="clear" w:fill="FFFFFF"/>
          <w:vertAlign w:val="baseline"/>
          <w:lang w:val="en-US" w:eastAsia="zh-CN"/>
        </w:rPr>
        <w:t>2021</w:t>
      </w:r>
      <w:r>
        <w:rPr>
          <w:rFonts w:hint="eastAsia" w:ascii="宋体" w:hAnsi="宋体" w:cs="宋体"/>
          <w:i w:val="0"/>
          <w:iCs w:val="0"/>
          <w:caps w:val="0"/>
          <w:color w:val="000000"/>
          <w:spacing w:val="0"/>
          <w:sz w:val="21"/>
          <w:szCs w:val="21"/>
          <w:shd w:val="clear" w:fill="FFFFFF"/>
          <w:vertAlign w:val="baseline"/>
          <w:lang w:val="en-US" w:eastAsia="zh-CN"/>
        </w:rPr>
        <w:t>年12月17日</w:t>
      </w:r>
      <w:r>
        <w:rPr>
          <w:rFonts w:hint="default" w:ascii="宋体" w:hAnsi="宋体" w:eastAsia="宋体" w:cs="宋体"/>
          <w:i w:val="0"/>
          <w:iCs w:val="0"/>
          <w:caps w:val="0"/>
          <w:color w:val="000000"/>
          <w:spacing w:val="0"/>
          <w:sz w:val="21"/>
          <w:szCs w:val="21"/>
          <w:shd w:val="clear" w:fill="FFFFFF"/>
          <w:vertAlign w:val="baseline"/>
          <w:lang w:val="en-US" w:eastAsia="zh-CN"/>
        </w:rPr>
        <w:t xml:space="preserve"> 8</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0</w:t>
      </w:r>
      <w:r>
        <w:rPr>
          <w:rFonts w:hint="default" w:ascii="宋体" w:hAnsi="宋体" w:eastAsia="宋体" w:cs="宋体"/>
          <w:i w:val="0"/>
          <w:iCs w:val="0"/>
          <w:caps w:val="0"/>
          <w:color w:val="000000"/>
          <w:spacing w:val="0"/>
          <w:sz w:val="21"/>
          <w:szCs w:val="21"/>
          <w:shd w:val="clear" w:fill="FFFFFF"/>
          <w:vertAlign w:val="baseline"/>
          <w:lang w:val="en-US" w:eastAsia="zh-CN"/>
        </w:rPr>
        <w:t>0</w:t>
      </w:r>
      <w:r>
        <w:rPr>
          <w:rFonts w:hint="eastAsia" w:ascii="宋体" w:hAnsi="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12</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00</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1</w:t>
      </w:r>
      <w:r>
        <w:rPr>
          <w:rFonts w:hint="eastAsia" w:ascii="宋体" w:hAnsi="宋体" w:cs="宋体"/>
          <w:i w:val="0"/>
          <w:iCs w:val="0"/>
          <w:caps w:val="0"/>
          <w:color w:val="000000"/>
          <w:spacing w:val="0"/>
          <w:sz w:val="21"/>
          <w:szCs w:val="21"/>
          <w:shd w:val="clear" w:fill="FFFFFF"/>
          <w:vertAlign w:val="baseline"/>
          <w:lang w:val="en-US" w:eastAsia="zh-CN"/>
        </w:rPr>
        <w:t>4</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eastAsia" w:ascii="宋体" w:hAnsi="宋体" w:cs="宋体"/>
          <w:i w:val="0"/>
          <w:iCs w:val="0"/>
          <w:caps w:val="0"/>
          <w:color w:val="000000"/>
          <w:spacing w:val="0"/>
          <w:sz w:val="21"/>
          <w:szCs w:val="21"/>
          <w:shd w:val="clear" w:fill="FFFFFF"/>
          <w:vertAlign w:val="baseline"/>
          <w:lang w:val="en-US" w:eastAsia="zh-CN"/>
        </w:rPr>
        <w:t>3</w:t>
      </w:r>
      <w:r>
        <w:rPr>
          <w:rFonts w:hint="default" w:ascii="宋体" w:hAnsi="宋体" w:eastAsia="宋体" w:cs="宋体"/>
          <w:i w:val="0"/>
          <w:iCs w:val="0"/>
          <w:caps w:val="0"/>
          <w:color w:val="000000"/>
          <w:spacing w:val="0"/>
          <w:sz w:val="21"/>
          <w:szCs w:val="21"/>
          <w:shd w:val="clear" w:fill="FFFFFF"/>
          <w:vertAlign w:val="baseline"/>
          <w:lang w:val="en-US" w:eastAsia="zh-CN"/>
        </w:rPr>
        <w:t>0~17</w:t>
      </w:r>
      <w:r>
        <w:rPr>
          <w:rFonts w:hint="eastAsia" w:ascii="宋体" w:hAnsi="宋体" w:eastAsia="宋体" w:cs="宋体"/>
          <w:i w:val="0"/>
          <w:iCs w:val="0"/>
          <w:caps w:val="0"/>
          <w:color w:val="000000"/>
          <w:spacing w:val="0"/>
          <w:sz w:val="21"/>
          <w:szCs w:val="21"/>
          <w:shd w:val="clear" w:fill="FFFFFF"/>
          <w:vertAlign w:val="baseline"/>
          <w:lang w:val="en-US" w:eastAsia="zh-CN"/>
        </w:rPr>
        <w:t>：</w:t>
      </w:r>
      <w:r>
        <w:rPr>
          <w:rFonts w:hint="default" w:ascii="宋体" w:hAnsi="宋体" w:eastAsia="宋体" w:cs="宋体"/>
          <w:i w:val="0"/>
          <w:iCs w:val="0"/>
          <w:caps w:val="0"/>
          <w:color w:val="000000"/>
          <w:spacing w:val="0"/>
          <w:sz w:val="21"/>
          <w:szCs w:val="21"/>
          <w:shd w:val="clear" w:fill="FFFFFF"/>
          <w:vertAlign w:val="baseline"/>
          <w:lang w:val="en-US" w:eastAsia="zh-CN"/>
        </w:rPr>
        <w:t>30</w:t>
      </w:r>
      <w:r>
        <w:rPr>
          <w:rFonts w:hint="eastAsia" w:ascii="宋体" w:hAnsi="宋体" w:eastAsia="宋体" w:cs="宋体"/>
          <w:i w:val="0"/>
          <w:iCs w:val="0"/>
          <w:caps w:val="0"/>
          <w:color w:val="000000"/>
          <w:spacing w:val="0"/>
          <w:sz w:val="21"/>
          <w:szCs w:val="21"/>
          <w:shd w:val="clear" w:fill="FFFFFF"/>
          <w:vertAlign w:val="baseline"/>
          <w:lang w:val="en-US" w:eastAsia="zh-CN"/>
        </w:rPr>
        <w:t>（北京时间，法定节假日除外）。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eastAsia" w:ascii="宋体" w:hAnsi="宋体" w:cs="宋体"/>
          <w:i w:val="0"/>
          <w:iCs w:val="0"/>
          <w:caps w:val="0"/>
          <w:color w:val="000000"/>
          <w:spacing w:val="0"/>
          <w:sz w:val="21"/>
          <w:szCs w:val="21"/>
          <w:shd w:val="clear" w:fill="FFFFFF"/>
          <w:vertAlign w:val="baseline"/>
          <w:lang w:eastAsia="zh-CN"/>
        </w:rPr>
        <w:t>（</w:t>
      </w:r>
      <w:r>
        <w:rPr>
          <w:rFonts w:hint="eastAsia" w:ascii="宋体" w:hAnsi="宋体" w:eastAsia="宋体" w:cs="宋体"/>
          <w:i w:val="0"/>
          <w:iCs w:val="0"/>
          <w:caps w:val="0"/>
          <w:color w:val="000000"/>
          <w:spacing w:val="0"/>
          <w:sz w:val="21"/>
          <w:szCs w:val="21"/>
          <w:shd w:val="clear" w:fill="FFFFFF"/>
          <w:vertAlign w:val="baseline"/>
          <w:lang w:val="en-US" w:eastAsia="zh-CN"/>
        </w:rPr>
        <w:t>3</w:t>
      </w:r>
      <w:r>
        <w:rPr>
          <w:rFonts w:hint="eastAsia" w:ascii="宋体" w:hAnsi="宋体" w:eastAsia="宋体" w:cs="宋体"/>
          <w:i w:val="0"/>
          <w:iCs w:val="0"/>
          <w:caps w:val="0"/>
          <w:color w:val="000000"/>
          <w:spacing w:val="0"/>
          <w:sz w:val="21"/>
          <w:szCs w:val="21"/>
          <w:shd w:val="clear" w:fill="FFFFFF"/>
          <w:vertAlign w:val="baseline"/>
          <w:lang w:eastAsia="zh-CN"/>
        </w:rPr>
        <w:t>）</w:t>
      </w:r>
      <w:r>
        <w:rPr>
          <w:rFonts w:hint="default" w:ascii="宋体" w:hAnsi="宋体" w:eastAsia="宋体" w:cs="宋体"/>
          <w:i w:val="0"/>
          <w:iCs w:val="0"/>
          <w:caps w:val="0"/>
          <w:color w:val="000000"/>
          <w:spacing w:val="0"/>
          <w:sz w:val="21"/>
          <w:szCs w:val="21"/>
          <w:shd w:val="clear" w:fill="FFFFFF"/>
          <w:vertAlign w:val="baseline"/>
        </w:rPr>
        <w:t>工程造价咨询企业资质证书复印件；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w:t>
      </w:r>
      <w:r>
        <w:rPr>
          <w:rFonts w:hint="eastAsia" w:ascii="宋体" w:hAnsi="宋体" w:cs="宋体"/>
          <w:i w:val="0"/>
          <w:iCs w:val="0"/>
          <w:caps w:val="0"/>
          <w:color w:val="000000"/>
          <w:spacing w:val="0"/>
          <w:sz w:val="21"/>
          <w:szCs w:val="21"/>
          <w:shd w:val="clear" w:fill="FFFFFF"/>
          <w:vertAlign w:val="baseline"/>
          <w:lang w:val="en-US" w:eastAsia="zh-CN"/>
        </w:rPr>
        <w:t>4</w:t>
      </w:r>
      <w:r>
        <w:rPr>
          <w:rFonts w:hint="default" w:ascii="宋体" w:hAnsi="宋体" w:eastAsia="宋体" w:cs="宋体"/>
          <w:i w:val="0"/>
          <w:iCs w:val="0"/>
          <w:caps w:val="0"/>
          <w:color w:val="000000"/>
          <w:spacing w:val="0"/>
          <w:sz w:val="21"/>
          <w:szCs w:val="21"/>
          <w:shd w:val="clear" w:fill="FFFFFF"/>
          <w:vertAlign w:val="baseline"/>
        </w:rPr>
        <w:t>）投标人法定代表人证明书及法定代表人身份证复印件；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w:t>
      </w:r>
      <w:r>
        <w:rPr>
          <w:rFonts w:hint="eastAsia" w:ascii="宋体" w:hAnsi="宋体" w:cs="宋体"/>
          <w:i w:val="0"/>
          <w:iCs w:val="0"/>
          <w:caps w:val="0"/>
          <w:color w:val="000000"/>
          <w:spacing w:val="0"/>
          <w:sz w:val="21"/>
          <w:szCs w:val="21"/>
          <w:shd w:val="clear" w:fill="FFFFFF"/>
          <w:vertAlign w:val="baseline"/>
          <w:lang w:val="en-US" w:eastAsia="zh-CN"/>
        </w:rPr>
        <w:t>5</w:t>
      </w:r>
      <w:r>
        <w:rPr>
          <w:rFonts w:hint="default" w:ascii="宋体" w:hAnsi="宋体" w:eastAsia="宋体" w:cs="宋体"/>
          <w:i w:val="0"/>
          <w:iCs w:val="0"/>
          <w:caps w:val="0"/>
          <w:color w:val="000000"/>
          <w:spacing w:val="0"/>
          <w:sz w:val="21"/>
          <w:szCs w:val="21"/>
          <w:shd w:val="clear" w:fill="FFFFFF"/>
          <w:vertAlign w:val="baseline"/>
        </w:rPr>
        <w:t>）投标人法定代表人授权委托书及授权代表身份证复印件（法定代表人为投标人代表并亲自签署投标文件的可不提交）。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0" w:name="_Toc3407"/>
      <w:bookmarkStart w:id="11" w:name="_Toc25490"/>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3"/>
          <w:rFonts w:hint="default" w:ascii="宋体" w:hAnsi="宋体" w:eastAsia="宋体" w:cs="宋体"/>
          <w:b/>
          <w:bCs/>
          <w:i w:val="0"/>
          <w:iCs w:val="0"/>
          <w:caps w:val="0"/>
          <w:color w:val="000000"/>
          <w:spacing w:val="0"/>
          <w:sz w:val="21"/>
          <w:szCs w:val="21"/>
          <w:shd w:val="clear" w:fill="FFFFFF"/>
          <w:vertAlign w:val="baseline"/>
        </w:rPr>
        <w:t>、招标文件的获取：</w:t>
      </w:r>
      <w:bookmarkEnd w:id="10"/>
      <w:bookmarkEnd w:id="11"/>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2" w:name="_Toc3099"/>
      <w:bookmarkStart w:id="13" w:name="_Toc32286"/>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3"/>
          <w:rFonts w:hint="default" w:ascii="宋体" w:hAnsi="宋体" w:eastAsia="宋体" w:cs="宋体"/>
          <w:b/>
          <w:bCs/>
          <w:i w:val="0"/>
          <w:iCs w:val="0"/>
          <w:caps w:val="0"/>
          <w:color w:val="000000"/>
          <w:spacing w:val="0"/>
          <w:sz w:val="21"/>
          <w:szCs w:val="21"/>
          <w:shd w:val="clear" w:fill="FFFFFF"/>
          <w:vertAlign w:val="baseline"/>
        </w:rPr>
        <w:t>、投标保证金：</w:t>
      </w:r>
      <w:bookmarkEnd w:id="12"/>
      <w:bookmarkEnd w:id="13"/>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4" w:name="_Toc29001"/>
      <w:bookmarkStart w:id="15" w:name="_Toc29157"/>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3"/>
          <w:rFonts w:hint="default" w:ascii="宋体" w:hAnsi="宋体" w:eastAsia="宋体" w:cs="宋体"/>
          <w:b/>
          <w:bCs/>
          <w:i w:val="0"/>
          <w:iCs w:val="0"/>
          <w:caps w:val="0"/>
          <w:color w:val="000000"/>
          <w:spacing w:val="0"/>
          <w:sz w:val="21"/>
          <w:szCs w:val="21"/>
          <w:shd w:val="clear" w:fill="FFFFFF"/>
          <w:vertAlign w:val="baseline"/>
        </w:rPr>
        <w:t>、投标文件提交地点及截止时间：</w:t>
      </w:r>
      <w:bookmarkEnd w:id="14"/>
      <w:bookmarkEnd w:id="15"/>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1.投标地址：</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rPr>
        <w:t>6楼招标采购办公室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2.投标时间：2021年</w:t>
      </w:r>
      <w:r>
        <w:rPr>
          <w:rFonts w:hint="eastAsia" w:ascii="宋体" w:hAnsi="宋体" w:cs="宋体"/>
          <w:i w:val="0"/>
          <w:iCs w:val="0"/>
          <w:caps w:val="0"/>
          <w:color w:val="000000"/>
          <w:spacing w:val="0"/>
          <w:sz w:val="21"/>
          <w:szCs w:val="21"/>
          <w:shd w:val="clear" w:fill="FFFFFF"/>
          <w:vertAlign w:val="baseline"/>
          <w:lang w:val="en-US" w:eastAsia="zh-CN"/>
        </w:rPr>
        <w:t>12</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31</w:t>
      </w:r>
      <w:r>
        <w:rPr>
          <w:rFonts w:hint="default" w:ascii="宋体" w:hAnsi="宋体" w:eastAsia="宋体" w:cs="宋体"/>
          <w:i w:val="0"/>
          <w:iCs w:val="0"/>
          <w:caps w:val="0"/>
          <w:color w:val="000000"/>
          <w:spacing w:val="0"/>
          <w:sz w:val="21"/>
          <w:szCs w:val="21"/>
          <w:shd w:val="clear" w:fill="FFFFFF"/>
          <w:vertAlign w:val="baseline"/>
        </w:rPr>
        <w:t>日</w:t>
      </w:r>
      <w:r>
        <w:rPr>
          <w:rFonts w:hint="eastAsia" w:ascii="宋体" w:hAnsi="宋体" w:cs="宋体"/>
          <w:i w:val="0"/>
          <w:iCs w:val="0"/>
          <w:caps w:val="0"/>
          <w:color w:val="000000"/>
          <w:spacing w:val="0"/>
          <w:sz w:val="21"/>
          <w:szCs w:val="21"/>
          <w:shd w:val="clear" w:fill="FFFFFF"/>
          <w:vertAlign w:val="baseline"/>
          <w:lang w:val="en-US" w:eastAsia="zh-CN"/>
        </w:rPr>
        <w:t>8</w:t>
      </w:r>
      <w:r>
        <w:rPr>
          <w:rFonts w:hint="default" w:ascii="宋体" w:hAnsi="宋体" w:eastAsia="宋体" w:cs="宋体"/>
          <w:i w:val="0"/>
          <w:iCs w:val="0"/>
          <w:caps w:val="0"/>
          <w:color w:val="000000"/>
          <w:spacing w:val="0"/>
          <w:sz w:val="21"/>
          <w:szCs w:val="21"/>
          <w:shd w:val="clear" w:fill="FFFFFF"/>
          <w:vertAlign w:val="baseline"/>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3.投标截止时间：2021年</w:t>
      </w:r>
      <w:r>
        <w:rPr>
          <w:rFonts w:hint="eastAsia" w:ascii="宋体" w:hAnsi="宋体" w:cs="宋体"/>
          <w:i w:val="0"/>
          <w:iCs w:val="0"/>
          <w:caps w:val="0"/>
          <w:color w:val="000000"/>
          <w:spacing w:val="0"/>
          <w:sz w:val="21"/>
          <w:szCs w:val="21"/>
          <w:shd w:val="clear" w:fill="FFFFFF"/>
          <w:vertAlign w:val="baseline"/>
          <w:lang w:val="en-US" w:eastAsia="zh-CN"/>
        </w:rPr>
        <w:t>12</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31</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4.开标时间：2021年</w:t>
      </w:r>
      <w:r>
        <w:rPr>
          <w:rFonts w:hint="eastAsia" w:ascii="宋体" w:hAnsi="宋体" w:cs="宋体"/>
          <w:i w:val="0"/>
          <w:iCs w:val="0"/>
          <w:caps w:val="0"/>
          <w:color w:val="000000"/>
          <w:spacing w:val="0"/>
          <w:sz w:val="21"/>
          <w:szCs w:val="21"/>
          <w:shd w:val="clear" w:fill="FFFFFF"/>
          <w:vertAlign w:val="baseline"/>
          <w:lang w:val="en-US" w:eastAsia="zh-CN"/>
        </w:rPr>
        <w:t>12</w:t>
      </w:r>
      <w:r>
        <w:rPr>
          <w:rFonts w:hint="default" w:ascii="宋体" w:hAnsi="宋体" w:eastAsia="宋体" w:cs="宋体"/>
          <w:i w:val="0"/>
          <w:iCs w:val="0"/>
          <w:caps w:val="0"/>
          <w:color w:val="000000"/>
          <w:spacing w:val="0"/>
          <w:sz w:val="21"/>
          <w:szCs w:val="21"/>
          <w:shd w:val="clear" w:fill="FFFFFF"/>
          <w:vertAlign w:val="baseline"/>
        </w:rPr>
        <w:t>月</w:t>
      </w:r>
      <w:r>
        <w:rPr>
          <w:rFonts w:hint="eastAsia" w:ascii="宋体" w:hAnsi="宋体" w:cs="宋体"/>
          <w:i w:val="0"/>
          <w:iCs w:val="0"/>
          <w:caps w:val="0"/>
          <w:color w:val="000000"/>
          <w:spacing w:val="0"/>
          <w:sz w:val="21"/>
          <w:szCs w:val="21"/>
          <w:shd w:val="clear" w:fill="FFFFFF"/>
          <w:vertAlign w:val="baseline"/>
          <w:lang w:val="en-US" w:eastAsia="zh-CN"/>
        </w:rPr>
        <w:t>31</w:t>
      </w:r>
      <w:r>
        <w:rPr>
          <w:rFonts w:hint="default" w:ascii="宋体" w:hAnsi="宋体" w:eastAsia="宋体" w:cs="宋体"/>
          <w:i w:val="0"/>
          <w:iCs w:val="0"/>
          <w:caps w:val="0"/>
          <w:color w:val="000000"/>
          <w:spacing w:val="0"/>
          <w:sz w:val="21"/>
          <w:szCs w:val="21"/>
          <w:shd w:val="clear" w:fill="FFFFFF"/>
          <w:vertAlign w:val="baseline"/>
        </w:rPr>
        <w:t>日15时00分（北京时间）</w:t>
      </w:r>
      <w:r>
        <w:rPr>
          <w:rFonts w:hint="eastAsia" w:ascii="宋体" w:hAnsi="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6" w:name="_Toc31867"/>
      <w:bookmarkStart w:id="17" w:name="_Toc22459"/>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3"/>
          <w:rFonts w:hint="default" w:ascii="宋体" w:hAnsi="宋体" w:eastAsia="宋体" w:cs="宋体"/>
          <w:b/>
          <w:bCs/>
          <w:i w:val="0"/>
          <w:iCs w:val="0"/>
          <w:caps w:val="0"/>
          <w:color w:val="000000"/>
          <w:spacing w:val="0"/>
          <w:sz w:val="21"/>
          <w:szCs w:val="21"/>
          <w:shd w:val="clear" w:fill="FFFFFF"/>
          <w:vertAlign w:val="baseline"/>
        </w:rPr>
        <w:t>、公告发布媒介：</w:t>
      </w:r>
      <w:bookmarkEnd w:id="16"/>
      <w:bookmarkEnd w:id="17"/>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信息公告栏上发布，本公告的修改、补充及在各媒体发布的文本如有不同之处，以上述网站发布的文本为准。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both"/>
        <w:textAlignment w:val="baseline"/>
        <w:outlineLvl w:val="0"/>
        <w:rPr>
          <w:rStyle w:val="23"/>
          <w:rFonts w:hint="default" w:ascii="宋体" w:hAnsi="宋体" w:eastAsia="宋体" w:cs="宋体"/>
          <w:b/>
          <w:bCs/>
          <w:i w:val="0"/>
          <w:iCs w:val="0"/>
          <w:caps w:val="0"/>
          <w:color w:val="000000"/>
          <w:spacing w:val="0"/>
          <w:sz w:val="21"/>
          <w:szCs w:val="21"/>
          <w:shd w:val="clear" w:fill="FFFFFF"/>
          <w:vertAlign w:val="baseline"/>
        </w:rPr>
      </w:pPr>
      <w:bookmarkStart w:id="18" w:name="_Toc101"/>
      <w:bookmarkStart w:id="19" w:name="_Toc19552"/>
      <w:r>
        <w:rPr>
          <w:rStyle w:val="23"/>
          <w:rFonts w:hint="eastAsia" w:cs="宋体"/>
          <w:b/>
          <w:bCs/>
          <w:i w:val="0"/>
          <w:iCs w:val="0"/>
          <w:caps w:val="0"/>
          <w:color w:val="000000"/>
          <w:spacing w:val="0"/>
          <w:sz w:val="21"/>
          <w:szCs w:val="21"/>
          <w:shd w:val="clear" w:fill="FFFFFF"/>
          <w:vertAlign w:val="baseline"/>
          <w:lang w:val="en-US" w:eastAsia="zh-CN"/>
        </w:rPr>
        <w:t>八</w:t>
      </w:r>
      <w:r>
        <w:rPr>
          <w:rStyle w:val="23"/>
          <w:rFonts w:hint="default" w:ascii="宋体" w:hAnsi="宋体" w:eastAsia="宋体" w:cs="宋体"/>
          <w:b/>
          <w:bCs/>
          <w:i w:val="0"/>
          <w:iCs w:val="0"/>
          <w:caps w:val="0"/>
          <w:color w:val="000000"/>
          <w:spacing w:val="0"/>
          <w:sz w:val="21"/>
          <w:szCs w:val="21"/>
          <w:shd w:val="clear" w:fill="FFFFFF"/>
          <w:vertAlign w:val="baseline"/>
        </w:rPr>
        <w:t>、</w:t>
      </w:r>
      <w:r>
        <w:rPr>
          <w:rStyle w:val="23"/>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3"/>
          <w:rFonts w:hint="default" w:ascii="宋体" w:hAnsi="宋体" w:eastAsia="宋体" w:cs="宋体"/>
          <w:b/>
          <w:bCs/>
          <w:i w:val="0"/>
          <w:iCs w:val="0"/>
          <w:caps w:val="0"/>
          <w:color w:val="000000"/>
          <w:spacing w:val="0"/>
          <w:sz w:val="21"/>
          <w:szCs w:val="21"/>
          <w:shd w:val="clear" w:fill="FFFFFF"/>
          <w:vertAlign w:val="baseline"/>
        </w:rPr>
        <w:t>：</w:t>
      </w:r>
      <w:bookmarkEnd w:id="18"/>
      <w:bookmarkEnd w:id="19"/>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bookmarkStart w:id="139" w:name="_GoBack"/>
      <w:bookmarkEnd w:id="139"/>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360" w:lineRule="auto"/>
        <w:jc w:val="right"/>
        <w:rPr>
          <w:rFonts w:hint="eastAsia" w:ascii="宋体"/>
          <w:sz w:val="21"/>
          <w:szCs w:val="21"/>
        </w:rPr>
      </w:pPr>
      <w:r>
        <w:rPr>
          <w:rFonts w:hint="eastAsia" w:ascii="宋体"/>
          <w:sz w:val="21"/>
          <w:szCs w:val="21"/>
        </w:rPr>
        <w:t>汕头大学医学院第一附属医院</w:t>
      </w:r>
    </w:p>
    <w:p>
      <w:pPr>
        <w:wordWrap w:val="0"/>
        <w:spacing w:line="360" w:lineRule="auto"/>
        <w:jc w:val="right"/>
        <w:rPr>
          <w:rFonts w:hint="default" w:ascii="宋体" w:eastAsia="宋体"/>
          <w:sz w:val="21"/>
          <w:szCs w:val="21"/>
          <w:lang w:val="en-US" w:eastAsia="zh-CN"/>
        </w:rPr>
      </w:pPr>
      <w:r>
        <w:rPr>
          <w:rFonts w:hint="eastAsia" w:ascii="宋体"/>
          <w:sz w:val="21"/>
          <w:szCs w:val="21"/>
        </w:rPr>
        <w:t>  2021-</w:t>
      </w:r>
      <w:r>
        <w:rPr>
          <w:rFonts w:hint="eastAsia" w:ascii="宋体"/>
          <w:sz w:val="21"/>
          <w:szCs w:val="21"/>
          <w:lang w:val="en-US" w:eastAsia="zh-CN"/>
        </w:rPr>
        <w:t>12</w:t>
      </w:r>
      <w:r>
        <w:rPr>
          <w:rFonts w:hint="eastAsia" w:ascii="宋体"/>
          <w:sz w:val="21"/>
          <w:szCs w:val="21"/>
        </w:rPr>
        <w:t xml:space="preserve"> </w:t>
      </w:r>
      <w:r>
        <w:rPr>
          <w:rFonts w:hint="eastAsia" w:ascii="宋体"/>
          <w:sz w:val="21"/>
          <w:szCs w:val="21"/>
          <w:lang w:val="en-US" w:eastAsia="zh-CN"/>
        </w:rPr>
        <w:t>-10</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20" w:name="_Toc25396"/>
      <w:bookmarkStart w:id="21" w:name="_Toc24272"/>
      <w:r>
        <w:rPr>
          <w:rFonts w:hint="eastAsia" w:eastAsia="黑体"/>
          <w:b/>
          <w:sz w:val="44"/>
        </w:rPr>
        <w:t>用 户 需 求 书</w:t>
      </w:r>
      <w:bookmarkEnd w:id="20"/>
      <w:bookmarkEnd w:id="21"/>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line="276" w:lineRule="auto"/>
        <w:ind w:left="420"/>
        <w:rPr>
          <w:rFonts w:ascii="宋体" w:hAnsi="宋体" w:eastAsia="宋体"/>
        </w:rPr>
      </w:pPr>
      <w:r>
        <w:rPr>
          <w:sz w:val="24"/>
          <w:szCs w:val="24"/>
        </w:rPr>
        <w:br w:type="page"/>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2" w:name="_Toc17797"/>
      <w:bookmarkStart w:id="23" w:name="_Toc14946"/>
      <w:r>
        <w:rPr>
          <w:rFonts w:hint="eastAsia" w:ascii="宋体" w:hAnsi="宋体"/>
          <w:b/>
          <w:bCs/>
          <w:sz w:val="24"/>
          <w:szCs w:val="28"/>
          <w:lang w:val="en-US" w:eastAsia="zh-CN"/>
        </w:rPr>
        <w:t>总体要求</w:t>
      </w:r>
      <w:bookmarkEnd w:id="22"/>
      <w:bookmarkEnd w:id="23"/>
    </w:p>
    <w:p>
      <w:pPr>
        <w:snapToGrid w:val="0"/>
        <w:spacing w:line="360" w:lineRule="auto"/>
        <w:ind w:firstLine="420" w:firstLineChars="200"/>
        <w:jc w:val="left"/>
        <w:rPr>
          <w:rFonts w:hint="eastAsia" w:ascii="宋体" w:hAnsi="宋体" w:eastAsia="宋体"/>
        </w:rPr>
      </w:pPr>
      <w:r>
        <w:rPr>
          <w:rFonts w:hint="eastAsia" w:ascii="宋体" w:hAnsi="宋体" w:eastAsia="宋体"/>
        </w:rPr>
        <w:t>1</w:t>
      </w:r>
      <w:r>
        <w:rPr>
          <w:rFonts w:hint="eastAsia" w:ascii="宋体" w:hAnsi="宋体" w:eastAsia="宋体"/>
          <w:lang w:val="en-US" w:eastAsia="zh-CN"/>
        </w:rPr>
        <w:t>.</w:t>
      </w:r>
      <w:r>
        <w:rPr>
          <w:rFonts w:hint="eastAsia" w:ascii="宋体" w:hAnsi="宋体" w:eastAsia="宋体"/>
        </w:rPr>
        <w:t>投标单位应熟悉并严格执行国家、省、市有关部门关于建设工程项目造价管理方面的法律、法规及相关政策，本着为项目建设工程节约投资的原则，科学、客观、公正地开展审核工作，要合理体现业主控制项目投资的要求。健全内部控制制度，按时按质提供评审报告，对报告的真实性、准确性、有效性负责，并负有保密责任。</w:t>
      </w:r>
    </w:p>
    <w:p>
      <w:pPr>
        <w:snapToGrid w:val="0"/>
        <w:spacing w:line="360" w:lineRule="auto"/>
        <w:ind w:firstLine="420" w:firstLineChars="200"/>
        <w:jc w:val="left"/>
        <w:rPr>
          <w:rFonts w:hint="eastAsia" w:ascii="宋体" w:hAnsi="宋体" w:eastAsia="宋体"/>
        </w:rPr>
      </w:pPr>
      <w:r>
        <w:rPr>
          <w:rFonts w:hint="eastAsia" w:ascii="宋体" w:hAnsi="宋体" w:eastAsia="宋体"/>
        </w:rPr>
        <w:t>2</w:t>
      </w:r>
      <w:r>
        <w:rPr>
          <w:rFonts w:hint="eastAsia" w:ascii="宋体" w:hAnsi="宋体" w:eastAsia="宋体"/>
          <w:lang w:val="en-US" w:eastAsia="zh-CN"/>
        </w:rPr>
        <w:t>.</w:t>
      </w:r>
      <w:r>
        <w:rPr>
          <w:rFonts w:hint="eastAsia" w:ascii="宋体" w:hAnsi="宋体" w:eastAsia="宋体"/>
        </w:rPr>
        <w:t>为保证按时按质按量完成受委托的业务，中标单位须提供充裕的人力、物力及相应的软件、硬件支持，不能以上述原因为理由延误工程的委托任务。若业主对所完成的委托服务项目的质量及时间不满意，则有权发出警告信给受委托方，并停止委托，中标单位须指定专人负责联系委托事宜。需在接到委托书后1个工作日内与业主联系。</w:t>
      </w:r>
    </w:p>
    <w:p>
      <w:pPr>
        <w:snapToGrid w:val="0"/>
        <w:spacing w:line="360" w:lineRule="auto"/>
        <w:ind w:firstLine="420" w:firstLineChars="200"/>
        <w:jc w:val="left"/>
        <w:rPr>
          <w:rFonts w:hint="eastAsia" w:ascii="宋体" w:hAnsi="宋体" w:eastAsia="宋体"/>
        </w:rPr>
      </w:pPr>
      <w:r>
        <w:rPr>
          <w:rFonts w:hint="eastAsia" w:ascii="宋体" w:hAnsi="宋体" w:eastAsia="宋体"/>
        </w:rPr>
        <w:t>3</w:t>
      </w:r>
      <w:r>
        <w:rPr>
          <w:rFonts w:hint="eastAsia" w:ascii="宋体" w:hAnsi="宋体" w:eastAsia="宋体"/>
          <w:lang w:val="en-US" w:eastAsia="zh-CN"/>
        </w:rPr>
        <w:t>.</w:t>
      </w:r>
      <w:r>
        <w:rPr>
          <w:rFonts w:hint="eastAsia" w:ascii="宋体" w:hAnsi="宋体" w:eastAsia="宋体"/>
        </w:rPr>
        <w:t>中标单位须遵守业主提出的各项规章制度和廉政纪律要求。</w:t>
      </w:r>
    </w:p>
    <w:p>
      <w:pPr>
        <w:snapToGrid w:val="0"/>
        <w:spacing w:line="360" w:lineRule="auto"/>
        <w:ind w:firstLine="420" w:firstLineChars="200"/>
        <w:jc w:val="left"/>
        <w:rPr>
          <w:rFonts w:hint="eastAsia" w:ascii="宋体" w:hAnsi="宋体" w:eastAsia="宋体"/>
        </w:rPr>
      </w:pPr>
      <w:r>
        <w:rPr>
          <w:rFonts w:hint="eastAsia" w:ascii="宋体" w:hAnsi="宋体" w:eastAsia="宋体"/>
        </w:rPr>
        <w:t>4</w:t>
      </w:r>
      <w:r>
        <w:rPr>
          <w:rFonts w:hint="eastAsia" w:ascii="宋体" w:hAnsi="宋体" w:eastAsia="宋体"/>
          <w:lang w:val="en-US" w:eastAsia="zh-CN"/>
        </w:rPr>
        <w:t>.</w:t>
      </w:r>
      <w:r>
        <w:rPr>
          <w:rFonts w:hint="eastAsia" w:ascii="宋体" w:hAnsi="宋体" w:eastAsia="宋体"/>
        </w:rPr>
        <w:t>中标单位不得再接受除业主外的其他委托人对所审同一项目的服务委托，即不能就同一项目既接受业主的委托，又接受项目投标供应商、承包单位等相对利益关系人的委托。</w:t>
      </w:r>
    </w:p>
    <w:p>
      <w:pPr>
        <w:snapToGrid w:val="0"/>
        <w:spacing w:line="360" w:lineRule="auto"/>
        <w:ind w:firstLine="420" w:firstLineChars="200"/>
        <w:jc w:val="left"/>
        <w:rPr>
          <w:rFonts w:hint="eastAsia" w:ascii="宋体" w:hAnsi="宋体" w:eastAsia="宋体"/>
        </w:rPr>
      </w:pPr>
      <w:r>
        <w:rPr>
          <w:rFonts w:hint="eastAsia" w:ascii="宋体" w:hAnsi="宋体" w:eastAsia="宋体"/>
        </w:rPr>
        <w:t>5</w:t>
      </w:r>
      <w:r>
        <w:rPr>
          <w:rFonts w:hint="eastAsia" w:ascii="宋体" w:hAnsi="宋体" w:eastAsia="宋体"/>
          <w:lang w:val="en-US" w:eastAsia="zh-CN"/>
        </w:rPr>
        <w:t>.</w:t>
      </w:r>
      <w:r>
        <w:rPr>
          <w:rFonts w:hint="eastAsia" w:ascii="宋体" w:hAnsi="宋体" w:eastAsia="宋体"/>
        </w:rPr>
        <w:t>中标人应有健全的组织机构的内部管理制度，有完善的质量保证体系和技术经济档案管理制度，有良好的服务态度的较好的社会信誉。应提出保证项目服务质量和进度的措施。</w:t>
      </w:r>
    </w:p>
    <w:p>
      <w:pPr>
        <w:snapToGrid w:val="0"/>
        <w:spacing w:line="360" w:lineRule="auto"/>
        <w:ind w:firstLine="420" w:firstLineChars="200"/>
        <w:jc w:val="left"/>
        <w:rPr>
          <w:rFonts w:hint="eastAsia" w:ascii="宋体" w:hAnsi="宋体" w:eastAsia="宋体"/>
        </w:rPr>
      </w:pPr>
      <w:r>
        <w:rPr>
          <w:rFonts w:hint="eastAsia" w:ascii="宋体" w:hAnsi="宋体" w:eastAsia="宋体"/>
        </w:rPr>
        <w:t>6</w:t>
      </w:r>
      <w:r>
        <w:rPr>
          <w:rFonts w:hint="eastAsia" w:ascii="宋体" w:hAnsi="宋体" w:eastAsia="宋体"/>
          <w:lang w:val="en-US" w:eastAsia="zh-CN"/>
        </w:rPr>
        <w:t>.</w:t>
      </w:r>
      <w:r>
        <w:rPr>
          <w:rFonts w:hint="eastAsia" w:ascii="宋体" w:hAnsi="宋体" w:eastAsia="宋体"/>
        </w:rPr>
        <w:t>中标人明确拟派人员必须有相当经验，熟悉财政、财务、工程造价管理政策，能充分胜任从事工程项目的造价咨询服务工作，中标后未经业主同意，不得随意更换人员。如中标单位派出工作人员不能胜任工作，业主保留更换人员的权利。实际投入本项目咨询人员配备标准不得低于投标文件承诺配备人员标准。</w:t>
      </w:r>
    </w:p>
    <w:p>
      <w:pPr>
        <w:snapToGrid w:val="0"/>
        <w:spacing w:line="360" w:lineRule="auto"/>
        <w:ind w:firstLine="420" w:firstLineChars="200"/>
        <w:jc w:val="left"/>
        <w:rPr>
          <w:rFonts w:hint="eastAsia" w:ascii="宋体" w:hAnsi="宋体" w:eastAsia="宋体"/>
        </w:rPr>
      </w:pPr>
      <w:r>
        <w:rPr>
          <w:rFonts w:hint="eastAsia" w:ascii="宋体" w:hAnsi="宋体"/>
          <w:lang w:val="en-US" w:eastAsia="zh-CN"/>
        </w:rPr>
        <w:t>7.</w:t>
      </w:r>
      <w:r>
        <w:rPr>
          <w:rFonts w:hint="eastAsia" w:ascii="宋体" w:hAnsi="宋体" w:eastAsia="宋体"/>
        </w:rPr>
        <w:t>中标方在审核过程中如确需增补资料的，应一次性告知招标方，中标方在必要时需到项目现场进行工程量勘察校对（产生的费用由中标方承担）。</w:t>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4" w:name="_Toc10745"/>
      <w:bookmarkStart w:id="25" w:name="_Toc5193"/>
      <w:r>
        <w:rPr>
          <w:rFonts w:hint="eastAsia" w:ascii="宋体" w:hAnsi="宋体"/>
          <w:b/>
          <w:bCs/>
          <w:sz w:val="24"/>
          <w:szCs w:val="28"/>
          <w:lang w:val="en-US" w:eastAsia="zh-CN"/>
        </w:rPr>
        <w:t>服务</w:t>
      </w:r>
      <w:r>
        <w:rPr>
          <w:rFonts w:hint="eastAsia" w:ascii="宋体" w:hAnsi="宋体" w:eastAsia="宋体"/>
          <w:b/>
          <w:bCs/>
          <w:sz w:val="24"/>
          <w:szCs w:val="28"/>
        </w:rPr>
        <w:t>内容</w:t>
      </w:r>
      <w:bookmarkEnd w:id="24"/>
      <w:bookmarkEnd w:id="25"/>
    </w:p>
    <w:p>
      <w:pPr>
        <w:snapToGrid w:val="0"/>
        <w:spacing w:line="360" w:lineRule="auto"/>
        <w:ind w:firstLine="420" w:firstLineChars="200"/>
        <w:jc w:val="left"/>
        <w:rPr>
          <w:rFonts w:hint="default" w:ascii="宋体" w:hAnsi="宋体" w:eastAsia="宋体"/>
          <w:b/>
          <w:bCs/>
          <w:sz w:val="24"/>
          <w:szCs w:val="28"/>
          <w:lang w:val="en-US" w:eastAsia="zh-CN"/>
        </w:rPr>
      </w:pPr>
      <w:r>
        <w:rPr>
          <w:rFonts w:hint="eastAsia" w:ascii="宋体" w:hAnsi="宋体" w:eastAsia="宋体"/>
        </w:rPr>
        <w:t xml:space="preserve">按照国家法律法规规定，为我院（含科教楼）视频监控系统升级改造项目（送审金额约为249.10万元）提供相关的竣工结算审核咨询服务，工程竣工结算审核包括合同及变更部分。 </w:t>
      </w:r>
    </w:p>
    <w:p>
      <w:pPr>
        <w:pStyle w:val="40"/>
        <w:numPr>
          <w:ilvl w:val="0"/>
          <w:numId w:val="1"/>
        </w:numPr>
        <w:adjustRightInd w:val="0"/>
        <w:spacing w:line="276" w:lineRule="auto"/>
        <w:ind w:left="482" w:hanging="482" w:firstLineChars="0"/>
        <w:outlineLvl w:val="0"/>
        <w:rPr>
          <w:rFonts w:ascii="宋体" w:hAnsi="宋体" w:eastAsia="宋体"/>
          <w:b/>
          <w:bCs/>
          <w:sz w:val="24"/>
          <w:szCs w:val="28"/>
        </w:rPr>
      </w:pPr>
      <w:bookmarkStart w:id="26" w:name="_Toc6039"/>
      <w:bookmarkStart w:id="27" w:name="_Toc4333"/>
      <w:r>
        <w:rPr>
          <w:rFonts w:hint="eastAsia" w:ascii="宋体" w:hAnsi="宋体" w:eastAsia="宋体"/>
          <w:b/>
          <w:bCs/>
          <w:sz w:val="24"/>
          <w:szCs w:val="28"/>
        </w:rPr>
        <w:t>付款方式</w:t>
      </w:r>
      <w:bookmarkEnd w:id="26"/>
      <w:bookmarkEnd w:id="27"/>
    </w:p>
    <w:p>
      <w:pPr>
        <w:snapToGrid w:val="0"/>
        <w:spacing w:line="360" w:lineRule="auto"/>
        <w:ind w:firstLine="420" w:firstLineChars="200"/>
        <w:jc w:val="left"/>
        <w:rPr>
          <w:rFonts w:hint="eastAsia" w:ascii="宋体" w:hAnsi="宋体" w:eastAsia="宋体"/>
        </w:rPr>
      </w:pPr>
      <w:r>
        <w:rPr>
          <w:rFonts w:hint="eastAsia" w:ascii="宋体" w:hAnsi="宋体" w:eastAsia="宋体"/>
        </w:rPr>
        <w:t>本项目</w:t>
      </w:r>
      <w:r>
        <w:rPr>
          <w:rFonts w:hint="eastAsia" w:ascii="宋体" w:hAnsi="宋体" w:eastAsia="宋体"/>
          <w:lang w:val="en-US" w:eastAsia="zh-CN"/>
        </w:rPr>
        <w:t>服务费</w:t>
      </w:r>
      <w:r>
        <w:rPr>
          <w:rFonts w:hint="eastAsia" w:ascii="宋体" w:hAnsi="宋体" w:eastAsia="宋体"/>
        </w:rPr>
        <w:t>根据广东省物价局粤价函[2011]742号《广东省建设工程造价咨询服务收费项目和收费标准》和中标降点率进行计算。咨询服务费用在项目完成后三个月内支付，以银行转帐方式一次性付款。</w:t>
      </w:r>
    </w:p>
    <w:p>
      <w:pPr>
        <w:snapToGrid w:val="0"/>
        <w:spacing w:line="360" w:lineRule="auto"/>
        <w:ind w:firstLine="420" w:firstLineChars="200"/>
        <w:jc w:val="left"/>
        <w:rPr>
          <w:rFonts w:hint="eastAsia" w:ascii="宋体" w:hAnsi="宋体" w:eastAsia="宋体"/>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outlineLvl w:val="0"/>
        <w:rPr>
          <w:rFonts w:hint="eastAsia"/>
          <w:b/>
          <w:sz w:val="44"/>
        </w:rPr>
      </w:pPr>
      <w:bookmarkStart w:id="28" w:name="_Toc16871"/>
      <w:bookmarkStart w:id="29" w:name="_Toc4027"/>
      <w:r>
        <w:rPr>
          <w:rFonts w:hint="eastAsia" w:eastAsia="黑体"/>
          <w:b/>
          <w:sz w:val="44"/>
        </w:rPr>
        <w:t>投 标 人 须 知</w:t>
      </w:r>
      <w:bookmarkEnd w:id="28"/>
      <w:bookmarkEnd w:id="29"/>
    </w:p>
    <w:p>
      <w:pPr>
        <w:spacing w:line="480" w:lineRule="exact"/>
        <w:jc w:val="center"/>
        <w:rPr>
          <w:rFonts w:hint="eastAsia"/>
          <w:b/>
          <w:sz w:val="32"/>
          <w:szCs w:val="32"/>
        </w:rPr>
      </w:pPr>
      <w:r>
        <w:rPr>
          <w:sz w:val="24"/>
        </w:rPr>
        <w:br w:type="page"/>
      </w:r>
    </w:p>
    <w:p>
      <w:pPr>
        <w:pStyle w:val="12"/>
        <w:adjustRightInd w:val="0"/>
        <w:snapToGrid w:val="0"/>
        <w:spacing w:line="360" w:lineRule="auto"/>
        <w:ind w:left="420" w:hanging="420"/>
        <w:outlineLvl w:val="0"/>
        <w:rPr>
          <w:rFonts w:hint="eastAsia" w:ascii="Times New Roman" w:hAnsi="Times New Roman"/>
          <w:b/>
          <w:sz w:val="21"/>
          <w:szCs w:val="21"/>
        </w:rPr>
      </w:pPr>
      <w:bookmarkStart w:id="30" w:name="_Toc10360"/>
      <w:bookmarkStart w:id="31" w:name="_Toc402856406"/>
      <w:bookmarkStart w:id="32" w:name="_Toc28297"/>
      <w:bookmarkStart w:id="33" w:name="_Toc102300271"/>
      <w:bookmarkStart w:id="34" w:name="_Toc402856407"/>
      <w:bookmarkStart w:id="35" w:name="_Toc262242490"/>
      <w:r>
        <w:rPr>
          <w:rFonts w:hint="eastAsia" w:ascii="Times New Roman" w:hAnsi="Times New Roman"/>
          <w:b/>
          <w:sz w:val="21"/>
          <w:szCs w:val="21"/>
        </w:rPr>
        <w:t>一、  说明</w:t>
      </w:r>
      <w:bookmarkEnd w:id="30"/>
      <w:bookmarkEnd w:id="31"/>
      <w:bookmarkEnd w:id="32"/>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3"/>
      <w:bookmarkEnd w:id="34"/>
      <w:bookmarkEnd w:id="35"/>
      <w:bookmarkStart w:id="36" w:name="_Hlt98175198"/>
      <w:bookmarkEnd w:id="36"/>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36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36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360" w:lineRule="auto"/>
        <w:ind w:left="420" w:hanging="420"/>
        <w:outlineLvl w:val="0"/>
        <w:rPr>
          <w:rFonts w:hint="eastAsia" w:ascii="Times New Roman" w:hAnsi="Times New Roman"/>
          <w:b/>
          <w:sz w:val="21"/>
          <w:szCs w:val="21"/>
        </w:rPr>
      </w:pPr>
      <w:bookmarkStart w:id="37" w:name="_Toc7650"/>
      <w:bookmarkStart w:id="38" w:name="_Toc32184"/>
      <w:r>
        <w:rPr>
          <w:rFonts w:hint="eastAsia" w:ascii="Times New Roman" w:hAnsi="Times New Roman"/>
          <w:b/>
          <w:sz w:val="21"/>
          <w:szCs w:val="21"/>
        </w:rPr>
        <w:t>二、招标文件</w:t>
      </w:r>
      <w:bookmarkEnd w:id="37"/>
      <w:bookmarkEnd w:id="38"/>
    </w:p>
    <w:p>
      <w:pPr>
        <w:pStyle w:val="12"/>
        <w:adjustRightInd w:val="0"/>
        <w:snapToGrid w:val="0"/>
        <w:spacing w:line="360" w:lineRule="auto"/>
        <w:ind w:firstLine="420" w:firstLineChars="200"/>
        <w:outlineLvl w:val="0"/>
        <w:rPr>
          <w:rFonts w:hint="eastAsia" w:hAnsi="宋体"/>
          <w:sz w:val="21"/>
          <w:szCs w:val="21"/>
        </w:rPr>
      </w:pPr>
      <w:bookmarkStart w:id="39" w:name="_Toc17100"/>
      <w:bookmarkStart w:id="40" w:name="_Toc2108"/>
      <w:r>
        <w:rPr>
          <w:rFonts w:hint="eastAsia" w:hAnsi="宋体"/>
          <w:sz w:val="21"/>
          <w:szCs w:val="21"/>
          <w:lang w:val="en-US" w:eastAsia="zh-CN"/>
        </w:rPr>
        <w:t>1.</w:t>
      </w:r>
      <w:r>
        <w:rPr>
          <w:rFonts w:hint="eastAsia" w:hAnsi="宋体"/>
          <w:sz w:val="21"/>
          <w:szCs w:val="21"/>
        </w:rPr>
        <w:t>招标文件的构成</w:t>
      </w:r>
      <w:bookmarkEnd w:id="39"/>
      <w:bookmarkEnd w:id="40"/>
    </w:p>
    <w:p>
      <w:pPr>
        <w:pStyle w:val="12"/>
        <w:adjustRightInd w:val="0"/>
        <w:snapToGrid w:val="0"/>
        <w:spacing w:line="36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招标文件由下列文件以及在招标过程中发出的修正和补充文件组成：</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360" w:lineRule="auto"/>
        <w:ind w:firstLine="569" w:firstLineChars="271"/>
        <w:rPr>
          <w:rFonts w:hint="eastAsia" w:hAnsi="宋体"/>
          <w:sz w:val="21"/>
          <w:szCs w:val="21"/>
        </w:rPr>
      </w:pPr>
      <w:r>
        <w:rPr>
          <w:rFonts w:hint="eastAsia" w:hAnsi="宋体"/>
          <w:sz w:val="21"/>
          <w:szCs w:val="21"/>
        </w:rPr>
        <w:t>7) 在招标过程中发出的修正和补充文件等</w:t>
      </w:r>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36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360" w:lineRule="auto"/>
        <w:ind w:firstLine="420" w:firstLineChars="200"/>
        <w:outlineLvl w:val="0"/>
        <w:rPr>
          <w:rFonts w:hint="eastAsia" w:hAnsi="宋体"/>
          <w:sz w:val="21"/>
          <w:szCs w:val="21"/>
        </w:rPr>
      </w:pPr>
      <w:bookmarkStart w:id="41" w:name="_Toc17925"/>
      <w:bookmarkStart w:id="42" w:name="_Toc3307"/>
      <w:r>
        <w:rPr>
          <w:rFonts w:hint="eastAsia" w:hAnsi="宋体"/>
          <w:sz w:val="21"/>
          <w:szCs w:val="21"/>
          <w:lang w:val="en-US" w:eastAsia="zh-CN"/>
        </w:rPr>
        <w:t>2.</w:t>
      </w:r>
      <w:r>
        <w:rPr>
          <w:rFonts w:hint="eastAsia" w:hAnsi="宋体"/>
          <w:sz w:val="21"/>
          <w:szCs w:val="21"/>
        </w:rPr>
        <w:t>对招标文件的澄清问题</w:t>
      </w:r>
      <w:bookmarkEnd w:id="41"/>
      <w:bookmarkEnd w:id="42"/>
    </w:p>
    <w:p>
      <w:pPr>
        <w:pStyle w:val="12"/>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36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hAnsi="宋体"/>
          <w:sz w:val="21"/>
          <w:szCs w:val="21"/>
          <w:lang w:val="en-US" w:eastAsia="zh-CN"/>
        </w:rPr>
        <w:t>招标采购办公室</w:t>
      </w:r>
      <w:r>
        <w:rPr>
          <w:rFonts w:hint="eastAsia" w:hAnsi="宋体"/>
          <w:sz w:val="21"/>
          <w:szCs w:val="21"/>
        </w:rPr>
        <w:t>对投</w:t>
      </w:r>
      <w:r>
        <w:rPr>
          <w:rFonts w:hint="eastAsia" w:ascii="Times New Roman" w:hAnsi="Times New Roman"/>
          <w:sz w:val="21"/>
          <w:szCs w:val="21"/>
        </w:rPr>
        <w:t>标人的澄清问题进行书面形式答复（答复中不包括问题的来源），答复方式为招标文件的澄清与修改。必要时，将组织召开答疑会。</w:t>
      </w:r>
    </w:p>
    <w:p>
      <w:pPr>
        <w:pStyle w:val="12"/>
        <w:numPr>
          <w:ilvl w:val="0"/>
          <w:numId w:val="2"/>
        </w:numPr>
        <w:tabs>
          <w:tab w:val="left" w:pos="540"/>
        </w:tabs>
        <w:adjustRightInd w:val="0"/>
        <w:snapToGrid w:val="0"/>
        <w:spacing w:line="360" w:lineRule="auto"/>
        <w:ind w:left="420" w:leftChars="200" w:firstLine="57" w:firstLineChars="29"/>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36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360" w:lineRule="auto"/>
        <w:ind w:firstLine="420" w:firstLineChars="200"/>
        <w:outlineLvl w:val="0"/>
        <w:rPr>
          <w:rFonts w:hint="eastAsia" w:hAnsi="宋体"/>
          <w:sz w:val="21"/>
          <w:szCs w:val="21"/>
        </w:rPr>
      </w:pPr>
      <w:bookmarkStart w:id="43" w:name="_Toc8745"/>
      <w:bookmarkStart w:id="44" w:name="_Toc27864"/>
      <w:r>
        <w:rPr>
          <w:rFonts w:hint="eastAsia" w:hAnsi="宋体"/>
          <w:sz w:val="21"/>
          <w:szCs w:val="21"/>
          <w:lang w:val="en-US" w:eastAsia="zh-CN"/>
        </w:rPr>
        <w:t>3.</w:t>
      </w:r>
      <w:r>
        <w:rPr>
          <w:rFonts w:hint="eastAsia" w:hAnsi="宋体"/>
          <w:sz w:val="21"/>
          <w:szCs w:val="21"/>
        </w:rPr>
        <w:t>招标文件的澄清与修改</w:t>
      </w:r>
      <w:bookmarkEnd w:id="43"/>
      <w:bookmarkEnd w:id="44"/>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36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36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36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36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360" w:lineRule="auto"/>
        <w:ind w:leftChars="229"/>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36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360" w:lineRule="auto"/>
        <w:outlineLvl w:val="0"/>
        <w:rPr>
          <w:rFonts w:hint="eastAsia" w:ascii="Times New Roman" w:hAnsi="Times New Roman" w:eastAsia="宋体"/>
          <w:b/>
          <w:sz w:val="21"/>
          <w:szCs w:val="21"/>
          <w:lang w:eastAsia="zh-CN"/>
        </w:rPr>
      </w:pPr>
      <w:bookmarkStart w:id="45" w:name="_Toc1215"/>
      <w:bookmarkStart w:id="46" w:name="_Toc6034"/>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bookmarkEnd w:id="45"/>
      <w:bookmarkEnd w:id="46"/>
    </w:p>
    <w:p>
      <w:pPr>
        <w:pStyle w:val="12"/>
        <w:adjustRightInd w:val="0"/>
        <w:snapToGrid w:val="0"/>
        <w:spacing w:line="360" w:lineRule="auto"/>
        <w:ind w:firstLine="420" w:firstLineChars="200"/>
        <w:outlineLvl w:val="0"/>
        <w:rPr>
          <w:rFonts w:hint="eastAsia" w:hAnsi="宋体"/>
          <w:sz w:val="21"/>
          <w:szCs w:val="21"/>
        </w:rPr>
      </w:pPr>
      <w:bookmarkStart w:id="47" w:name="_Toc14993"/>
      <w:bookmarkStart w:id="48" w:name="_Toc16041"/>
      <w:r>
        <w:rPr>
          <w:rFonts w:hint="eastAsia" w:hAnsi="宋体"/>
          <w:sz w:val="21"/>
          <w:szCs w:val="21"/>
          <w:lang w:val="en-US" w:eastAsia="zh-CN"/>
        </w:rPr>
        <w:t>1</w:t>
      </w:r>
      <w:r>
        <w:rPr>
          <w:rFonts w:hint="eastAsia" w:hAnsi="宋体"/>
          <w:sz w:val="21"/>
          <w:szCs w:val="21"/>
        </w:rPr>
        <w:t>．投标的语言</w:t>
      </w:r>
      <w:bookmarkEnd w:id="47"/>
      <w:bookmarkEnd w:id="48"/>
    </w:p>
    <w:p>
      <w:pPr>
        <w:spacing w:line="36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．投标文件的构成</w:t>
      </w:r>
    </w:p>
    <w:p>
      <w:pPr>
        <w:spacing w:line="360" w:lineRule="auto"/>
        <w:ind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投标文件的构成应符合法律法规及招标文件的要求。</w:t>
      </w:r>
    </w:p>
    <w:p>
      <w:pPr>
        <w:spacing w:line="360" w:lineRule="auto"/>
        <w:ind w:left="420" w:leftChars="200"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36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hint="eastAsia" w:ascii="宋体"/>
          <w:szCs w:val="21"/>
        </w:rPr>
      </w:pPr>
      <w:bookmarkStart w:id="49" w:name="_Toc22493"/>
      <w:bookmarkStart w:id="50" w:name="_Toc8188"/>
      <w:r>
        <w:rPr>
          <w:rFonts w:hint="eastAsia" w:ascii="宋体"/>
          <w:szCs w:val="21"/>
        </w:rPr>
        <w:t>1）按本须知的规定填写的投标函、投标报价表；</w:t>
      </w:r>
      <w:bookmarkEnd w:id="49"/>
      <w:bookmarkEnd w:id="50"/>
    </w:p>
    <w:p>
      <w:pPr>
        <w:spacing w:line="36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outlineLvl w:val="0"/>
        <w:rPr>
          <w:rFonts w:hint="eastAsia" w:ascii="宋体"/>
          <w:szCs w:val="21"/>
        </w:rPr>
      </w:pPr>
      <w:bookmarkStart w:id="51" w:name="_Toc13212"/>
      <w:bookmarkStart w:id="52" w:name="_Toc7346"/>
      <w:r>
        <w:rPr>
          <w:rFonts w:hint="eastAsia" w:ascii="宋体"/>
          <w:szCs w:val="21"/>
          <w:lang w:val="en-US" w:eastAsia="zh-CN"/>
        </w:rPr>
        <w:t>3</w:t>
      </w:r>
      <w:r>
        <w:rPr>
          <w:rFonts w:hint="eastAsia" w:ascii="宋体"/>
          <w:szCs w:val="21"/>
        </w:rPr>
        <w:t>）对招标文件第二部分作出的书面响应，包括但不限于技术建议书、技术规格、技术参数、</w:t>
      </w:r>
      <w:bookmarkEnd w:id="51"/>
      <w:bookmarkEnd w:id="52"/>
    </w:p>
    <w:p>
      <w:pPr>
        <w:spacing w:line="36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360" w:lineRule="auto"/>
        <w:ind w:firstLine="420" w:firstLineChars="200"/>
        <w:outlineLvl w:val="0"/>
        <w:rPr>
          <w:rFonts w:hint="eastAsia" w:hAnsi="宋体"/>
          <w:sz w:val="21"/>
          <w:szCs w:val="21"/>
        </w:rPr>
      </w:pPr>
      <w:bookmarkStart w:id="53" w:name="_Toc30140"/>
      <w:bookmarkStart w:id="54" w:name="_Toc5916"/>
      <w:r>
        <w:rPr>
          <w:rFonts w:hint="eastAsia" w:hAnsi="宋体"/>
          <w:sz w:val="21"/>
          <w:szCs w:val="21"/>
          <w:lang w:val="en-US" w:eastAsia="zh-CN"/>
        </w:rPr>
        <w:t>3</w:t>
      </w:r>
      <w:r>
        <w:rPr>
          <w:rFonts w:hint="eastAsia" w:hAnsi="宋体"/>
          <w:sz w:val="21"/>
          <w:szCs w:val="21"/>
        </w:rPr>
        <w:t>. 投标文件编制</w:t>
      </w:r>
      <w:bookmarkEnd w:id="53"/>
      <w:bookmarkEnd w:id="54"/>
    </w:p>
    <w:p>
      <w:pPr>
        <w:pStyle w:val="12"/>
        <w:adjustRightInd w:val="0"/>
        <w:snapToGrid w:val="0"/>
        <w:spacing w:line="360" w:lineRule="auto"/>
        <w:ind w:firstLine="420" w:firstLineChars="200"/>
        <w:outlineLvl w:val="0"/>
        <w:rPr>
          <w:rFonts w:hint="eastAsia" w:ascii="宋体" w:hAnsi="宋体"/>
          <w:szCs w:val="21"/>
        </w:rPr>
      </w:pPr>
      <w:bookmarkStart w:id="55" w:name="_Toc3320"/>
      <w:bookmarkStart w:id="56" w:name="_Toc12269"/>
      <w:r>
        <w:rPr>
          <w:rFonts w:hint="eastAsia" w:hAnsi="宋体"/>
          <w:sz w:val="21"/>
          <w:szCs w:val="21"/>
          <w:lang w:val="en-US" w:eastAsia="zh-CN"/>
        </w:rPr>
        <w:t>（1）</w:t>
      </w:r>
      <w:r>
        <w:rPr>
          <w:rFonts w:hint="eastAsia" w:ascii="宋体" w:hAnsi="宋体"/>
          <w:szCs w:val="21"/>
        </w:rPr>
        <w:t>投标人应完整、真实、准确的填写招标文件中规定的所有内容。</w:t>
      </w:r>
      <w:bookmarkEnd w:id="55"/>
      <w:bookmarkEnd w:id="56"/>
    </w:p>
    <w:p>
      <w:pPr>
        <w:pStyle w:val="12"/>
        <w:adjustRightInd w:val="0"/>
        <w:snapToGrid w:val="0"/>
        <w:spacing w:line="36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36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adjustRightInd w:val="0"/>
        <w:snapToGrid w:val="0"/>
        <w:spacing w:line="360" w:lineRule="auto"/>
        <w:ind w:leftChars="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360" w:lineRule="auto"/>
        <w:ind w:firstLine="420" w:firstLineChars="200"/>
        <w:outlineLvl w:val="0"/>
        <w:rPr>
          <w:rFonts w:hint="eastAsia" w:hAnsi="宋体"/>
          <w:sz w:val="21"/>
          <w:szCs w:val="21"/>
        </w:rPr>
      </w:pPr>
      <w:bookmarkStart w:id="57" w:name="_Toc21854"/>
      <w:bookmarkStart w:id="58" w:name="_Toc59"/>
      <w:r>
        <w:rPr>
          <w:rFonts w:hint="eastAsia" w:hAnsi="宋体"/>
          <w:sz w:val="21"/>
          <w:szCs w:val="21"/>
          <w:lang w:val="en-US" w:eastAsia="zh-CN"/>
        </w:rPr>
        <w:t>4</w:t>
      </w:r>
      <w:r>
        <w:rPr>
          <w:rFonts w:hint="eastAsia" w:hAnsi="宋体"/>
          <w:sz w:val="21"/>
          <w:szCs w:val="21"/>
        </w:rPr>
        <w:t>. 投标报价</w:t>
      </w:r>
      <w:bookmarkEnd w:id="57"/>
      <w:bookmarkEnd w:id="58"/>
    </w:p>
    <w:p>
      <w:pPr>
        <w:autoSpaceDE w:val="0"/>
        <w:autoSpaceDN w:val="0"/>
        <w:adjustRightInd w:val="0"/>
        <w:snapToGrid w:val="0"/>
        <w:spacing w:line="36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360" w:lineRule="auto"/>
        <w:ind w:right="-148"/>
        <w:rPr>
          <w:rFonts w:hint="eastAsia" w:ascii="宋体" w:hAnsi="宋体"/>
          <w:szCs w:val="21"/>
        </w:rPr>
      </w:pPr>
      <w:r>
        <w:rPr>
          <w:rFonts w:hint="eastAsia" w:ascii="宋体" w:hAnsi="宋体"/>
          <w:szCs w:val="21"/>
        </w:rPr>
        <w:t>报价为准。</w:t>
      </w:r>
    </w:p>
    <w:p>
      <w:pPr>
        <w:pStyle w:val="12"/>
        <w:numPr>
          <w:ilvl w:val="0"/>
          <w:numId w:val="3"/>
        </w:numPr>
        <w:adjustRightInd w:val="0"/>
        <w:snapToGrid w:val="0"/>
        <w:spacing w:line="36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360" w:lineRule="auto"/>
        <w:rPr>
          <w:rFonts w:hint="eastAsia" w:hAnsi="宋体"/>
          <w:sz w:val="21"/>
          <w:szCs w:val="21"/>
        </w:rPr>
      </w:pPr>
      <w:r>
        <w:rPr>
          <w:rFonts w:hint="eastAsia" w:hAnsi="宋体"/>
          <w:sz w:val="21"/>
          <w:szCs w:val="21"/>
        </w:rPr>
        <w:t>并按《投标报价表》确定的格式报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360" w:lineRule="auto"/>
        <w:ind w:firstLine="420" w:firstLineChars="200"/>
        <w:outlineLvl w:val="0"/>
        <w:rPr>
          <w:rFonts w:hint="eastAsia" w:hAnsi="宋体"/>
          <w:color w:val="000000" w:themeColor="text1"/>
          <w:sz w:val="21"/>
          <w:szCs w:val="21"/>
          <w14:textFill>
            <w14:solidFill>
              <w14:schemeClr w14:val="tx1"/>
            </w14:solidFill>
          </w14:textFill>
        </w:rPr>
      </w:pPr>
      <w:bookmarkStart w:id="59" w:name="_Toc26177"/>
      <w:bookmarkStart w:id="60" w:name="_Toc7441"/>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bookmarkEnd w:id="59"/>
      <w:bookmarkEnd w:id="60"/>
    </w:p>
    <w:p>
      <w:pPr>
        <w:autoSpaceDE w:val="0"/>
        <w:autoSpaceDN w:val="0"/>
        <w:adjustRightInd w:val="0"/>
        <w:snapToGrid w:val="0"/>
        <w:spacing w:line="360" w:lineRule="auto"/>
        <w:ind w:left="420" w:leftChars="200" w:right="32"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36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36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360" w:lineRule="auto"/>
        <w:ind w:firstLine="420" w:firstLineChars="200"/>
        <w:outlineLvl w:val="0"/>
        <w:rPr>
          <w:rFonts w:hint="eastAsia" w:hAnsi="宋体"/>
          <w:sz w:val="21"/>
          <w:szCs w:val="21"/>
        </w:rPr>
      </w:pPr>
      <w:bookmarkStart w:id="61" w:name="_Toc31183"/>
      <w:bookmarkStart w:id="62" w:name="_Toc16824"/>
      <w:r>
        <w:rPr>
          <w:rFonts w:hint="eastAsia" w:hAnsi="宋体"/>
          <w:sz w:val="21"/>
          <w:szCs w:val="21"/>
          <w:lang w:val="en-US" w:eastAsia="zh-CN"/>
        </w:rPr>
        <w:t>6</w:t>
      </w:r>
      <w:r>
        <w:rPr>
          <w:rFonts w:hint="eastAsia" w:hAnsi="宋体"/>
          <w:sz w:val="21"/>
          <w:szCs w:val="21"/>
        </w:rPr>
        <w:t>. 证明投标标的的合格性和符合招标文件规定的文件：</w:t>
      </w:r>
      <w:bookmarkEnd w:id="61"/>
      <w:bookmarkEnd w:id="62"/>
    </w:p>
    <w:p>
      <w:pPr>
        <w:pStyle w:val="12"/>
        <w:adjustRightInd w:val="0"/>
        <w:snapToGrid w:val="0"/>
        <w:spacing w:line="36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36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360" w:lineRule="auto"/>
        <w:ind w:left="420" w:leftChars="200" w:right="32" w:firstLine="0" w:firstLineChars="0"/>
        <w:outlineLvl w:val="0"/>
        <w:rPr>
          <w:rFonts w:hint="eastAsia" w:ascii="宋体" w:hAnsi="宋体"/>
          <w:szCs w:val="21"/>
        </w:rPr>
      </w:pPr>
      <w:bookmarkStart w:id="63" w:name="_Toc20212"/>
      <w:bookmarkStart w:id="64" w:name="_Toc1325"/>
      <w:r>
        <w:rPr>
          <w:rFonts w:hint="eastAsia" w:ascii="宋体" w:hAnsi="宋体"/>
          <w:szCs w:val="21"/>
          <w:lang w:val="en-US" w:eastAsia="zh-CN"/>
        </w:rPr>
        <w:t>7</w:t>
      </w:r>
      <w:r>
        <w:rPr>
          <w:rFonts w:hint="eastAsia" w:ascii="宋体" w:hAnsi="宋体"/>
          <w:szCs w:val="21"/>
        </w:rPr>
        <w:t>. 投标的截止期、投标有效期</w:t>
      </w:r>
      <w:bookmarkEnd w:id="63"/>
      <w:bookmarkEnd w:id="64"/>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36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所有投标文件应在规定的投标时间,由投标法定代表人或其授权代表亲自送达投标地点，</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任何迟于投标截止时间的投标将被视为无效投标。邮寄、电报、电话、电子邮件、传真等方式投标视为无效投标。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36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360" w:lineRule="auto"/>
        <w:outlineLvl w:val="0"/>
        <w:rPr>
          <w:rFonts w:hint="eastAsia" w:ascii="Times New Roman" w:hAnsi="Times New Roman"/>
          <w:b/>
          <w:sz w:val="21"/>
          <w:szCs w:val="21"/>
        </w:rPr>
      </w:pPr>
      <w:bookmarkStart w:id="65" w:name="_Toc15880"/>
      <w:bookmarkStart w:id="66" w:name="_Toc30843"/>
      <w:r>
        <w:rPr>
          <w:rFonts w:hint="eastAsia" w:ascii="Times New Roman" w:hAnsi="Times New Roman"/>
          <w:b/>
          <w:sz w:val="21"/>
          <w:szCs w:val="21"/>
          <w:lang w:val="en-US" w:eastAsia="zh-CN"/>
        </w:rPr>
        <w:t>四</w:t>
      </w:r>
      <w:r>
        <w:rPr>
          <w:rFonts w:hint="eastAsia" w:ascii="Times New Roman" w:hAnsi="Times New Roman"/>
          <w:b/>
          <w:sz w:val="21"/>
          <w:szCs w:val="21"/>
        </w:rPr>
        <w:t>、开标、评标定标</w:t>
      </w:r>
      <w:bookmarkEnd w:id="65"/>
      <w:bookmarkEnd w:id="66"/>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开标、评标和授标</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（1）招标采购办公室</w:t>
      </w:r>
      <w:r>
        <w:rPr>
          <w:rFonts w:hint="eastAsia" w:ascii="宋体" w:hAnsi="宋体"/>
          <w:szCs w:val="21"/>
        </w:rPr>
        <w:t>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》的规定组织开标、评标和授标。</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（2）</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（4）</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（6）</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招标结果在网上公告后，由</w:t>
      </w:r>
      <w:r>
        <w:rPr>
          <w:rFonts w:hint="eastAsia" w:ascii="宋体" w:hAnsi="宋体"/>
          <w:szCs w:val="21"/>
          <w:lang w:val="en-US" w:eastAsia="zh-CN"/>
        </w:rPr>
        <w:t>招标采购办公室</w:t>
      </w:r>
      <w:r>
        <w:rPr>
          <w:rFonts w:hint="eastAsia" w:ascii="宋体" w:hAnsi="宋体"/>
          <w:szCs w:val="21"/>
        </w:rPr>
        <w:t>向中标人发出中标通知书。中标人应依时与</w:t>
      </w:r>
    </w:p>
    <w:p>
      <w:pPr>
        <w:tabs>
          <w:tab w:val="left" w:pos="8280"/>
        </w:tabs>
        <w:autoSpaceDE w:val="0"/>
        <w:autoSpaceDN w:val="0"/>
        <w:adjustRightInd w:val="0"/>
        <w:snapToGrid w:val="0"/>
        <w:spacing w:line="360" w:lineRule="auto"/>
        <w:ind w:right="32"/>
        <w:rPr>
          <w:rFonts w:hint="eastAsia" w:ascii="宋体" w:hAnsi="宋体"/>
          <w:szCs w:val="21"/>
        </w:rPr>
      </w:pPr>
      <w:r>
        <w:rPr>
          <w:rFonts w:hint="eastAsia" w:ascii="宋体" w:hAnsi="宋体"/>
          <w:szCs w:val="21"/>
        </w:rPr>
        <w:t>采购人签约。</w:t>
      </w:r>
    </w:p>
    <w:p>
      <w:pPr>
        <w:tabs>
          <w:tab w:val="left" w:pos="8280"/>
        </w:tabs>
        <w:autoSpaceDE w:val="0"/>
        <w:autoSpaceDN w:val="0"/>
        <w:adjustRightInd w:val="0"/>
        <w:snapToGrid w:val="0"/>
        <w:spacing w:line="360" w:lineRule="auto"/>
        <w:ind w:right="32"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采购人与</w:t>
      </w:r>
      <w:r>
        <w:rPr>
          <w:rFonts w:hint="eastAsia" w:ascii="宋体" w:hAnsi="宋体"/>
          <w:szCs w:val="21"/>
          <w:lang w:val="en-US" w:eastAsia="zh-CN"/>
        </w:rPr>
        <w:t>招标采购办公室</w:t>
      </w:r>
      <w:r>
        <w:rPr>
          <w:rFonts w:hint="eastAsia" w:ascii="宋体" w:hAnsi="宋体"/>
          <w:szCs w:val="21"/>
        </w:rPr>
        <w:t>没有义务向未中标的投标人解释不中标的理由。</w:t>
      </w:r>
    </w:p>
    <w:p>
      <w:pPr>
        <w:pStyle w:val="12"/>
        <w:adjustRightInd w:val="0"/>
        <w:snapToGrid w:val="0"/>
        <w:spacing w:line="360" w:lineRule="auto"/>
        <w:outlineLvl w:val="0"/>
        <w:rPr>
          <w:rFonts w:hint="eastAsia" w:hAnsi="宋体"/>
          <w:b/>
          <w:sz w:val="21"/>
          <w:szCs w:val="21"/>
        </w:rPr>
      </w:pPr>
      <w:bookmarkStart w:id="67" w:name="_Toc2929"/>
      <w:bookmarkStart w:id="68" w:name="_Toc12220"/>
      <w:r>
        <w:rPr>
          <w:rFonts w:hint="eastAsia" w:hAnsi="宋体"/>
          <w:b/>
          <w:sz w:val="21"/>
          <w:szCs w:val="21"/>
          <w:lang w:val="en-US" w:eastAsia="zh-CN"/>
        </w:rPr>
        <w:t>五</w:t>
      </w:r>
      <w:r>
        <w:rPr>
          <w:rFonts w:hint="eastAsia" w:hAnsi="宋体"/>
          <w:b/>
          <w:sz w:val="21"/>
          <w:szCs w:val="21"/>
        </w:rPr>
        <w:t>、合同的订立</w:t>
      </w:r>
      <w:bookmarkEnd w:id="67"/>
      <w:bookmarkEnd w:id="68"/>
    </w:p>
    <w:p>
      <w:pPr>
        <w:autoSpaceDE w:val="0"/>
        <w:autoSpaceDN w:val="0"/>
        <w:adjustRightInd w:val="0"/>
        <w:snapToGrid w:val="0"/>
        <w:spacing w:line="360" w:lineRule="auto"/>
        <w:ind w:right="32" w:firstLine="420" w:firstLineChars="200"/>
        <w:outlineLvl w:val="0"/>
        <w:rPr>
          <w:rFonts w:hint="eastAsia" w:ascii="宋体" w:hAnsi="宋体"/>
          <w:szCs w:val="21"/>
        </w:rPr>
      </w:pPr>
      <w:bookmarkStart w:id="69" w:name="_Toc24760"/>
      <w:bookmarkStart w:id="70" w:name="_Toc14317"/>
      <w:r>
        <w:rPr>
          <w:rFonts w:hint="eastAsia" w:ascii="宋体" w:hAnsi="宋体"/>
          <w:szCs w:val="21"/>
          <w:lang w:val="en-US" w:eastAsia="zh-CN"/>
        </w:rPr>
        <w:t>1.</w:t>
      </w:r>
      <w:r>
        <w:rPr>
          <w:rFonts w:hint="eastAsia" w:ascii="宋体" w:hAnsi="宋体"/>
          <w:szCs w:val="21"/>
        </w:rPr>
        <w:t xml:space="preserve"> 合同的订立</w:t>
      </w:r>
      <w:bookmarkEnd w:id="69"/>
      <w:bookmarkEnd w:id="70"/>
    </w:p>
    <w:p>
      <w:pPr>
        <w:autoSpaceDE w:val="0"/>
        <w:autoSpaceDN w:val="0"/>
        <w:adjustRightInd w:val="0"/>
        <w:snapToGrid w:val="0"/>
        <w:spacing w:line="36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36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outlineLvl w:val="0"/>
        <w:rPr>
          <w:rFonts w:eastAsia="黑体"/>
          <w:b/>
          <w:sz w:val="44"/>
        </w:rPr>
      </w:pPr>
      <w:bookmarkStart w:id="71" w:name="_Toc12592"/>
      <w:bookmarkStart w:id="72" w:name="_Toc16398"/>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bookmarkEnd w:id="71"/>
      <w:bookmarkEnd w:id="72"/>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outlineLvl w:val="0"/>
        <w:rPr>
          <w:rFonts w:hint="eastAsia" w:ascii="宋体" w:hAnsi="宋体"/>
          <w:b/>
          <w:bCs/>
          <w:szCs w:val="21"/>
          <w:lang w:val="en-US" w:eastAsia="zh-CN"/>
        </w:rPr>
      </w:pPr>
      <w:bookmarkStart w:id="73" w:name="_Toc31956"/>
      <w:bookmarkStart w:id="74" w:name="_Toc32127"/>
      <w:r>
        <w:rPr>
          <w:rFonts w:hint="eastAsia" w:ascii="宋体" w:hAnsi="宋体"/>
          <w:b/>
          <w:bCs/>
          <w:szCs w:val="21"/>
          <w:lang w:val="en-US" w:eastAsia="zh-CN"/>
        </w:rPr>
        <w:t>一、概述</w:t>
      </w:r>
      <w:bookmarkEnd w:id="73"/>
      <w:bookmarkEnd w:id="74"/>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outlineLvl w:val="0"/>
        <w:rPr>
          <w:rFonts w:hint="eastAsia" w:ascii="宋体" w:hAnsi="宋体"/>
          <w:b/>
          <w:bCs/>
          <w:i w:val="0"/>
          <w:iCs w:val="0"/>
          <w:szCs w:val="21"/>
          <w:lang w:val="en-US" w:eastAsia="zh-CN"/>
        </w:rPr>
      </w:pPr>
      <w:bookmarkStart w:id="75" w:name="_Toc27859"/>
      <w:bookmarkStart w:id="76" w:name="_Toc2050"/>
      <w:r>
        <w:rPr>
          <w:rFonts w:hint="eastAsia" w:ascii="宋体" w:hAnsi="宋体"/>
          <w:b/>
          <w:bCs/>
          <w:i w:val="0"/>
          <w:iCs w:val="0"/>
          <w:szCs w:val="21"/>
          <w:lang w:val="en-US" w:eastAsia="zh-CN"/>
        </w:rPr>
        <w:t>二、评标流程及步骤</w:t>
      </w:r>
      <w:bookmarkEnd w:id="75"/>
      <w:bookmarkEnd w:id="76"/>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210" w:firstLineChars="100"/>
              <w:jc w:val="center"/>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具备《政府采购法》第二十二条规定的条件(投标人缴纳的2021年以来任意1个月的税款证明材料（如税务局征收税款后打印的税票或完税凭证等。依法免税的投标人应提供相应免税证明文件；投标人缴纳自2021年以来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投标人具有工程造价咨询企业乙级（含）以上资质证书。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本项目不接受联合投标体投标。</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续评审。若有效投标人不足三家，则该项目按废标处理。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rPr>
          <w:rFonts w:hint="eastAsia" w:ascii="宋体" w:hAnsi="宋体"/>
          <w:szCs w:val="21"/>
          <w:lang w:val="en-US" w:eastAsia="zh-CN"/>
        </w:rPr>
      </w:pPr>
    </w:p>
    <w:tbl>
      <w:tblPr>
        <w:tblStyle w:val="2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1）对本项目的全部内容进行投标报价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color w:val="0000FF"/>
                <w:szCs w:val="21"/>
                <w:lang w:val="en-US" w:eastAsia="zh-CN"/>
              </w:rPr>
            </w:pPr>
            <w:r>
              <w:rPr>
                <w:rFonts w:hint="eastAsia" w:ascii="宋体" w:hAnsi="宋体"/>
                <w:szCs w:val="21"/>
                <w:lang w:val="en-US" w:eastAsia="zh-CN"/>
              </w:rPr>
              <w:t>2）投标报价是唯一确定的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（1）商务技术评审满分为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。各评委在评分表打分并计算出本人对各投标的商务技术评分总和。在评审过程中对投标文件的内容有疑问时，可要求投标人澄清，但这种澄清不能改变投标文件的实质性内容。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jc w:val="center"/>
        <w:rPr>
          <w:rFonts w:hint="eastAsia" w:ascii="宋体" w:hAnsi="宋体"/>
          <w:b/>
          <w:bCs/>
          <w:szCs w:val="21"/>
          <w:lang w:val="en-US" w:eastAsia="zh-CN"/>
        </w:rPr>
      </w:pPr>
      <w:r>
        <w:rPr>
          <w:rFonts w:hint="eastAsia" w:ascii="宋体" w:hAnsi="宋体"/>
          <w:b/>
          <w:bCs/>
          <w:szCs w:val="21"/>
          <w:lang w:val="en-US" w:eastAsia="zh-CN"/>
        </w:rPr>
        <w:t>商务技术评分表</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53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公司业绩</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default" w:ascii="宋体" w:hAnsi="宋体"/>
                <w:szCs w:val="21"/>
                <w:lang w:val="en-US" w:eastAsia="zh-CN"/>
              </w:rPr>
            </w:pPr>
            <w:r>
              <w:rPr>
                <w:rFonts w:hint="default" w:ascii="宋体" w:hAnsi="宋体"/>
                <w:szCs w:val="21"/>
                <w:lang w:val="en-US" w:eastAsia="zh-CN"/>
              </w:rPr>
              <w:t>经业主或委托方确认的造价咨询成果条件等证明资料</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人员配备</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完成项目拟配备人员齐全，分工明确</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对重点和难点分析</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能结合本工程项目特点，对重要节点、薄弱环节的审计要点进行阐述，提出独立见解及审计建议</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工作计划和实施方案</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针对本项目的工作计划和实施方案情况及质量控制措施</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56"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审计服务承诺</w:t>
            </w:r>
          </w:p>
        </w:tc>
        <w:tc>
          <w:tcPr>
            <w:tcW w:w="535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rPr>
                <w:rFonts w:hint="eastAsia" w:ascii="宋体" w:hAnsi="宋体"/>
                <w:szCs w:val="21"/>
                <w:lang w:val="en-US" w:eastAsia="zh-CN"/>
              </w:rPr>
            </w:pPr>
            <w:r>
              <w:rPr>
                <w:rFonts w:hint="eastAsia" w:ascii="宋体" w:hAnsi="宋体"/>
                <w:szCs w:val="21"/>
                <w:lang w:val="en-US" w:eastAsia="zh-CN"/>
              </w:rPr>
              <w:t>服务承诺切实可行</w:t>
            </w:r>
          </w:p>
        </w:tc>
        <w:tc>
          <w:tcPr>
            <w:tcW w:w="992"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40分</w:t>
      </w:r>
      <w:r>
        <w:rPr>
          <w:rFonts w:hint="eastAsia" w:ascii="宋体" w:hAnsi="宋体"/>
          <w:szCs w:val="21"/>
          <w:lang w:val="en-US" w:eastAsia="zh-CN"/>
        </w:rPr>
        <w:t>。</w:t>
      </w:r>
      <w:r>
        <w:rPr>
          <w:rFonts w:hint="eastAsia" w:ascii="宋体" w:hAnsi="宋体" w:eastAsia="宋体"/>
        </w:rPr>
        <w:t>根据广东省物价局粤价函[2011]742号《广东省建设工程造价咨询服务收费项目和收费标准》和中标降点率进行计算</w:t>
      </w:r>
      <w:r>
        <w:rPr>
          <w:rFonts w:hint="eastAsia" w:ascii="宋体" w:hAnsi="宋体"/>
          <w:lang w:eastAsia="zh-CN"/>
        </w:rPr>
        <w:t>，投标报价下浮率最高的得40分，每上浮1%的扣1分，最多扣40分。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以投标总价作为评审的依据，金额的中文大写与阿拉伯数字不一致时，以中文大写为准。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1）商务技术得分：在全体评委的商务评分（各商务技术细项评分总和），取其算术平均值。</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2）价格得分：价格评审的客观计算得分。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3）综合总得分＝商务技术服务得分＋价格得分。</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pStyle w:val="2"/>
        <w:rPr>
          <w:rFonts w:hint="eastAsia"/>
          <w:lang w:val="en-US" w:eastAsia="zh-CN"/>
        </w:rPr>
      </w:pPr>
    </w:p>
    <w:p>
      <w:pPr>
        <w:tabs>
          <w:tab w:val="left" w:pos="8280"/>
        </w:tabs>
        <w:autoSpaceDE w:val="0"/>
        <w:autoSpaceDN w:val="0"/>
        <w:adjustRightInd w:val="0"/>
        <w:snapToGrid w:val="0"/>
        <w:spacing w:line="360" w:lineRule="auto"/>
        <w:ind w:right="32"/>
        <w:outlineLvl w:val="0"/>
        <w:rPr>
          <w:rFonts w:hint="eastAsia" w:ascii="宋体" w:hAnsi="宋体"/>
          <w:b/>
          <w:bCs/>
          <w:szCs w:val="21"/>
          <w:lang w:val="en-US" w:eastAsia="zh-CN"/>
        </w:rPr>
      </w:pPr>
      <w:bookmarkStart w:id="77" w:name="_Toc30853"/>
      <w:bookmarkStart w:id="78" w:name="_Toc24679"/>
      <w:r>
        <w:rPr>
          <w:rFonts w:hint="eastAsia" w:ascii="宋体" w:hAnsi="宋体"/>
          <w:b/>
          <w:bCs/>
          <w:szCs w:val="21"/>
          <w:lang w:val="en-US" w:eastAsia="zh-CN"/>
        </w:rPr>
        <w:t>三、定标和授标</w:t>
      </w:r>
      <w:bookmarkEnd w:id="77"/>
      <w:bookmarkEnd w:id="78"/>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1.评标小组将满足条件的供应商按综合得分最高的投标人为中标候选人。推荐第一名投标人为第一中标候选人，第二名投标人为第二中标候选人。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3.招标采购办公室将评标结果报送医院审批。</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4.中标结果将在汕头大学医学院官网主页(www.med.stu.edu.cn)、汕头大学医学院第一附属医院官网主页（www.stuh.com.cn）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36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outlineLvl w:val="0"/>
        <w:rPr>
          <w:rFonts w:hint="eastAsia" w:eastAsia="黑体"/>
          <w:b/>
          <w:sz w:val="44"/>
        </w:rPr>
      </w:pPr>
      <w:bookmarkStart w:id="79" w:name="_Toc1291"/>
      <w:bookmarkStart w:id="80" w:name="_Toc28184"/>
      <w:r>
        <w:rPr>
          <w:rFonts w:hint="eastAsia" w:eastAsia="黑体"/>
          <w:b/>
          <w:sz w:val="44"/>
        </w:rPr>
        <w:t>合 同 书 格 式</w:t>
      </w:r>
      <w:bookmarkEnd w:id="79"/>
      <w:bookmarkEnd w:id="80"/>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outlineLvl w:val="0"/>
        <w:rPr>
          <w:rFonts w:ascii="宋体" w:hAnsi="宋体"/>
          <w:sz w:val="72"/>
          <w:szCs w:val="72"/>
        </w:rPr>
      </w:pPr>
      <w:r>
        <w:rPr>
          <w:rFonts w:ascii="宋体" w:hAnsi="宋体"/>
          <w:sz w:val="72"/>
          <w:szCs w:val="72"/>
          <w:u w:val="single"/>
        </w:rPr>
        <w:t xml:space="preserve">        </w:t>
      </w:r>
      <w:bookmarkStart w:id="81" w:name="_Toc18578"/>
      <w:bookmarkStart w:id="82" w:name="_Toc17495"/>
      <w:r>
        <w:rPr>
          <w:rFonts w:ascii="宋体" w:hAnsi="宋体"/>
          <w:sz w:val="72"/>
          <w:szCs w:val="72"/>
        </w:rPr>
        <w:t>合同</w:t>
      </w:r>
      <w:bookmarkEnd w:id="81"/>
      <w:bookmarkEnd w:id="82"/>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outlineLvl w:val="0"/>
        <w:rPr>
          <w:rFonts w:ascii="宋体" w:hAnsi="宋体"/>
          <w:b/>
          <w:sz w:val="32"/>
          <w:szCs w:val="32"/>
        </w:rPr>
      </w:pPr>
      <w:bookmarkStart w:id="83" w:name="_Toc6886"/>
      <w:bookmarkStart w:id="84" w:name="_Toc14300"/>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bookmarkEnd w:id="83"/>
      <w:bookmarkEnd w:id="84"/>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5"/>
        </w:numPr>
        <w:snapToGrid w:val="0"/>
        <w:spacing w:line="360" w:lineRule="auto"/>
        <w:rPr>
          <w:rFonts w:hint="eastAsia" w:ascii="宋体" w:hAnsi="宋体" w:eastAsia="宋体"/>
        </w:rPr>
      </w:pPr>
      <w:r>
        <w:rPr>
          <w:rFonts w:hint="eastAsia" w:ascii="宋体" w:hAnsi="宋体" w:cs="宋体"/>
          <w:b w:val="0"/>
          <w:bCs/>
          <w:sz w:val="24"/>
          <w:szCs w:val="24"/>
          <w:lang w:val="en-US" w:eastAsia="zh-CN"/>
        </w:rPr>
        <w:t>服务事项</w:t>
      </w:r>
    </w:p>
    <w:p>
      <w:pPr>
        <w:numPr>
          <w:ilvl w:val="0"/>
          <w:numId w:val="0"/>
        </w:numPr>
        <w:snapToGrid w:val="0"/>
        <w:spacing w:line="360" w:lineRule="auto"/>
        <w:rPr>
          <w:rFonts w:hint="eastAsia" w:ascii="宋体" w:hAnsi="宋体" w:eastAsia="宋体"/>
        </w:rPr>
      </w:pPr>
      <w:r>
        <w:rPr>
          <w:rFonts w:hint="eastAsia" w:ascii="宋体" w:hAnsi="宋体" w:cs="宋体"/>
          <w:lang w:val="en-US" w:eastAsia="zh-CN"/>
        </w:rPr>
        <w:t>1.1甲方委托乙方提供</w:t>
      </w:r>
      <w:r>
        <w:rPr>
          <w:rFonts w:hint="eastAsia" w:ascii="宋体" w:hAnsi="宋体" w:eastAsia="宋体" w:cs="宋体"/>
          <w:i w:val="0"/>
          <w:iCs w:val="0"/>
          <w:caps w:val="0"/>
          <w:color w:val="000000"/>
          <w:spacing w:val="0"/>
          <w:sz w:val="21"/>
          <w:szCs w:val="21"/>
          <w:shd w:val="clear" w:fill="FFFFFF"/>
          <w:vertAlign w:val="baseline"/>
          <w:lang w:val="en-US" w:eastAsia="zh-CN"/>
        </w:rPr>
        <w:t>（含科教楼）视频监控系统升级改造工程竣工结算审核</w:t>
      </w:r>
      <w:r>
        <w:rPr>
          <w:rFonts w:hint="eastAsia" w:ascii="宋体" w:hAnsi="宋体" w:cs="宋体"/>
          <w:lang w:val="en-US" w:eastAsia="zh-CN"/>
        </w:rPr>
        <w:t>服务</w:t>
      </w:r>
      <w:r>
        <w:rPr>
          <w:rFonts w:hint="eastAsia" w:ascii="宋体" w:hAnsi="宋体" w:eastAsia="宋体"/>
        </w:rPr>
        <w:t>。</w:t>
      </w:r>
    </w:p>
    <w:p>
      <w:pPr>
        <w:spacing w:line="276" w:lineRule="auto"/>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eastAsia" w:ascii="宋体" w:hAnsi="宋体" w:cs="宋体"/>
          <w:lang w:val="en-US" w:eastAsia="zh-CN"/>
        </w:rPr>
        <w:t xml:space="preserve">1.2 </w:t>
      </w:r>
      <w:r>
        <w:rPr>
          <w:rFonts w:hint="eastAsia" w:ascii="宋体" w:hAnsi="宋体" w:eastAsia="宋体" w:cs="宋体"/>
          <w:i w:val="0"/>
          <w:iCs w:val="0"/>
          <w:caps w:val="0"/>
          <w:color w:val="000000"/>
          <w:spacing w:val="0"/>
          <w:sz w:val="21"/>
          <w:szCs w:val="21"/>
          <w:shd w:val="clear" w:fill="FFFFFF"/>
          <w:vertAlign w:val="baseline"/>
        </w:rPr>
        <w:t>中标方在接到项目资料起，于30天内完成审核工作并出具竣工结算审核报告书</w:t>
      </w:r>
      <w:r>
        <w:rPr>
          <w:rFonts w:hint="eastAsia" w:ascii="宋体" w:hAnsi="宋体" w:eastAsia="宋体" w:cs="宋体"/>
          <w:i w:val="0"/>
          <w:iCs w:val="0"/>
          <w:caps w:val="0"/>
          <w:color w:val="000000"/>
          <w:spacing w:val="0"/>
          <w:sz w:val="21"/>
          <w:szCs w:val="21"/>
          <w:shd w:val="clear" w:fill="FFFFFF"/>
          <w:vertAlign w:val="baseline"/>
          <w:lang w:val="en-US" w:eastAsia="zh-CN"/>
        </w:rPr>
        <w:t>。</w:t>
      </w:r>
    </w:p>
    <w:p>
      <w:pPr>
        <w:snapToGrid w:val="0"/>
        <w:spacing w:line="360" w:lineRule="auto"/>
        <w:rPr>
          <w:rFonts w:ascii="宋体" w:hAnsi="宋体"/>
          <w:b w:val="0"/>
          <w:bCs/>
          <w:sz w:val="24"/>
          <w:szCs w:val="24"/>
        </w:rPr>
      </w:pPr>
      <w:r>
        <w:rPr>
          <w:rFonts w:ascii="宋体" w:hAnsi="宋体"/>
          <w:b w:val="0"/>
          <w:bCs/>
          <w:sz w:val="24"/>
          <w:szCs w:val="24"/>
        </w:rPr>
        <w:t>2</w:t>
      </w:r>
      <w:r>
        <w:rPr>
          <w:rFonts w:hint="eastAsia" w:ascii="宋体" w:hAnsi="宋体" w:cs="宋体"/>
          <w:b w:val="0"/>
          <w:bCs/>
          <w:sz w:val="24"/>
          <w:szCs w:val="24"/>
        </w:rPr>
        <w:t>、合同总价和支付方式</w:t>
      </w:r>
    </w:p>
    <w:p>
      <w:pPr>
        <w:snapToGrid w:val="0"/>
        <w:spacing w:line="360" w:lineRule="auto"/>
        <w:ind w:left="420" w:hanging="420"/>
        <w:rPr>
          <w:rFonts w:ascii="宋体" w:hAnsi="宋体"/>
        </w:rPr>
      </w:pPr>
      <w:r>
        <w:rPr>
          <w:rFonts w:ascii="宋体" w:hAnsi="宋体"/>
        </w:rPr>
        <w:t xml:space="preserve">2.1 </w:t>
      </w:r>
      <w:r>
        <w:rPr>
          <w:rFonts w:hint="eastAsia" w:ascii="宋体" w:hAnsi="宋体" w:eastAsia="宋体"/>
        </w:rPr>
        <w:t>本项目</w:t>
      </w:r>
      <w:r>
        <w:rPr>
          <w:rFonts w:hint="eastAsia" w:ascii="宋体" w:hAnsi="宋体" w:eastAsia="宋体"/>
          <w:lang w:val="en-US" w:eastAsia="zh-CN"/>
        </w:rPr>
        <w:t>服务费</w:t>
      </w:r>
      <w:r>
        <w:rPr>
          <w:rFonts w:hint="eastAsia" w:ascii="宋体" w:hAnsi="宋体" w:eastAsia="宋体"/>
        </w:rPr>
        <w:t>根据广东省物价局粤价函[2011]742号《广东省建设工程造价咨询服务收费项目和收费标准》和中标降点率进行计算。</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w:t>
      </w:r>
      <w:r>
        <w:rPr>
          <w:rFonts w:hint="eastAsia" w:ascii="宋体" w:hAnsi="宋体" w:cs="宋体"/>
          <w:lang w:val="en-US" w:eastAsia="zh-CN"/>
        </w:rPr>
        <w:t>已包含</w:t>
      </w:r>
      <w:r>
        <w:rPr>
          <w:rFonts w:hint="eastAsia" w:ascii="宋体" w:hAnsi="宋体" w:cs="宋体"/>
        </w:rPr>
        <w:t>税费及一切服务费用。</w:t>
      </w:r>
    </w:p>
    <w:p>
      <w:pPr>
        <w:snapToGrid w:val="0"/>
        <w:spacing w:line="360" w:lineRule="auto"/>
        <w:ind w:left="420" w:hanging="420"/>
        <w:rPr>
          <w:rFonts w:ascii="宋体" w:hAnsi="宋体"/>
        </w:rPr>
      </w:pPr>
      <w:r>
        <w:rPr>
          <w:rFonts w:ascii="宋体" w:hAnsi="宋体"/>
        </w:rPr>
        <w:t xml:space="preserve">2.2 </w:t>
      </w:r>
      <w:r>
        <w:rPr>
          <w:rFonts w:hint="eastAsia" w:ascii="宋体" w:hAnsi="宋体" w:cs="宋体"/>
        </w:rPr>
        <w:t>支付方式：</w:t>
      </w:r>
      <w:r>
        <w:rPr>
          <w:rFonts w:hint="eastAsia" w:ascii="宋体" w:hAnsi="宋体" w:eastAsia="宋体"/>
        </w:rPr>
        <w:t>在</w:t>
      </w:r>
      <w:r>
        <w:rPr>
          <w:rFonts w:ascii="宋体" w:hAnsi="宋体" w:eastAsia="宋体"/>
        </w:rPr>
        <w:t>项目合同签订后</w:t>
      </w:r>
      <w:r>
        <w:rPr>
          <w:rFonts w:hint="eastAsia" w:ascii="宋体" w:hAnsi="宋体" w:eastAsia="宋体"/>
        </w:rPr>
        <w:t>，咨询服务费用在项目完成后三个月内支付，以银行转帐方式一次性付款。</w:t>
      </w:r>
    </w:p>
    <w:p>
      <w:pPr>
        <w:snapToGrid w:val="0"/>
        <w:spacing w:line="360" w:lineRule="auto"/>
        <w:ind w:left="420" w:hanging="420"/>
        <w:rPr>
          <w:rFonts w:ascii="宋体" w:hAnsi="宋体"/>
        </w:rPr>
      </w:pPr>
      <w:r>
        <w:rPr>
          <w:rFonts w:ascii="宋体" w:hAnsi="宋体"/>
        </w:rPr>
        <w:t xml:space="preserve">2.3 </w:t>
      </w:r>
      <w:r>
        <w:rPr>
          <w:rFonts w:hint="eastAsia" w:ascii="宋体" w:hAnsi="宋体" w:cs="宋体"/>
        </w:rPr>
        <w:t>乙方</w:t>
      </w:r>
      <w:r>
        <w:rPr>
          <w:rFonts w:hint="eastAsia" w:ascii="宋体" w:hAnsi="宋体"/>
          <w:lang w:val="en-US" w:eastAsia="zh-CN"/>
        </w:rPr>
        <w:t>账户：</w:t>
      </w:r>
      <w:r>
        <w:rPr>
          <w:rFonts w:ascii="宋体" w:hAnsi="宋体"/>
          <w:u w:val="single"/>
        </w:rPr>
        <w:t xml:space="preserve">                       </w:t>
      </w:r>
      <w:r>
        <w:rPr>
          <w:rFonts w:ascii="宋体" w:hAnsi="宋体"/>
        </w:rPr>
        <w:t xml:space="preserve">  </w:t>
      </w:r>
      <w:r>
        <w:rPr>
          <w:rFonts w:hint="eastAsia" w:ascii="宋体" w:hAnsi="宋体" w:cs="宋体"/>
        </w:rPr>
        <w:t>；乙方开户银行：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360" w:lineRule="auto"/>
        <w:ind w:left="420" w:hanging="420"/>
        <w:rPr>
          <w:rFonts w:hint="eastAsia" w:ascii="宋体" w:hAnsi="宋体" w:cs="宋体"/>
        </w:rPr>
      </w:pPr>
      <w:r>
        <w:rPr>
          <w:rFonts w:hint="eastAsia" w:ascii="宋体" w:hAnsi="宋体" w:cs="宋体"/>
          <w:lang w:val="en-US" w:eastAsia="zh-CN"/>
        </w:rPr>
        <w:t>3、</w:t>
      </w:r>
      <w:r>
        <w:rPr>
          <w:rFonts w:hint="eastAsia" w:ascii="宋体" w:hAnsi="宋体" w:cs="宋体"/>
        </w:rPr>
        <w:t>甲方派出联络员，负责与乙方的沟通，对乙方实施审核的情况进行监督，检查乙方工作进度、质量及遵守审核工作纪律的情况。对于乙方在审计过程中存在的违法违规和违纪行为，甲方有权解除委托，并追究乙方违约责任。</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4、</w:t>
      </w:r>
      <w:r>
        <w:rPr>
          <w:rFonts w:hint="eastAsia" w:ascii="宋体" w:hAnsi="宋体" w:eastAsia="宋体"/>
        </w:rPr>
        <w:t>乙方在审核过程中如确需增补资料的，应一次性告知</w:t>
      </w:r>
      <w:r>
        <w:rPr>
          <w:rFonts w:hint="eastAsia" w:ascii="宋体" w:hAnsi="宋体" w:eastAsia="宋体"/>
          <w:lang w:val="en-US" w:eastAsia="zh-CN"/>
        </w:rPr>
        <w:t>甲</w:t>
      </w:r>
      <w:r>
        <w:rPr>
          <w:rFonts w:hint="eastAsia" w:ascii="宋体" w:hAnsi="宋体" w:eastAsia="宋体"/>
        </w:rPr>
        <w:t>方，</w:t>
      </w:r>
      <w:r>
        <w:rPr>
          <w:rFonts w:hint="eastAsia" w:ascii="宋体" w:hAnsi="宋体" w:eastAsia="宋体"/>
          <w:lang w:val="en-US" w:eastAsia="zh-CN"/>
        </w:rPr>
        <w:t>乙</w:t>
      </w:r>
      <w:r>
        <w:rPr>
          <w:rFonts w:hint="eastAsia" w:ascii="宋体" w:hAnsi="宋体" w:eastAsia="宋体"/>
        </w:rPr>
        <w:t>方在必要时需到各项目现场进行工程量校对（产生的费用由乙方承担）。</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5、</w:t>
      </w:r>
      <w:r>
        <w:rPr>
          <w:rFonts w:hint="eastAsia" w:ascii="宋体" w:hAnsi="宋体" w:eastAsia="宋体"/>
        </w:rPr>
        <w:t>乙方负责派出审计组组织实施审计工作。乙方应亲自完成审计工作，不得转委托他人。</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6、</w:t>
      </w:r>
      <w:r>
        <w:rPr>
          <w:rFonts w:hint="eastAsia" w:ascii="宋体" w:hAnsi="宋体" w:eastAsia="宋体"/>
        </w:rPr>
        <w:t>由于不能预见的原因导致审计事项不能如期完成或需要提前完成，甲乙双方可要求变更约定事项，但应及时通知对方，并经协商解决。</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7、</w:t>
      </w:r>
      <w:r>
        <w:rPr>
          <w:rFonts w:hint="eastAsia" w:ascii="宋体" w:hAnsi="宋体" w:eastAsia="宋体"/>
        </w:rPr>
        <w:t>由于不能预见的原因导致审计事项无法或无必要继续进行的，则双方可解除本合同，乙方应将所有相关资料移交甲方，双方互不追究法律责任。</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8、</w:t>
      </w:r>
      <w:r>
        <w:rPr>
          <w:rFonts w:hint="eastAsia" w:ascii="宋体" w:hAnsi="宋体" w:eastAsia="宋体"/>
        </w:rPr>
        <w:t>乙方在履行合同期间或合同规定期限内，不得泄露与本合同规定业务活动有关的保密资料。</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9、</w:t>
      </w:r>
      <w:r>
        <w:rPr>
          <w:rFonts w:hint="eastAsia" w:ascii="宋体" w:hAnsi="宋体" w:eastAsia="宋体"/>
        </w:rPr>
        <w:t>乙方应及时向甲方报告委托事项的处理情况。</w:t>
      </w:r>
    </w:p>
    <w:p>
      <w:pPr>
        <w:snapToGrid w:val="0"/>
        <w:spacing w:line="360" w:lineRule="auto"/>
        <w:ind w:left="420" w:hanging="420"/>
        <w:rPr>
          <w:rFonts w:hint="eastAsia" w:ascii="宋体" w:hAnsi="宋体" w:eastAsia="宋体"/>
        </w:rPr>
      </w:pPr>
      <w:r>
        <w:rPr>
          <w:rFonts w:hint="eastAsia" w:ascii="宋体" w:hAnsi="宋体" w:eastAsia="宋体"/>
          <w:lang w:val="en-US" w:eastAsia="zh-CN"/>
        </w:rPr>
        <w:t>10、</w:t>
      </w:r>
      <w:r>
        <w:rPr>
          <w:rFonts w:hint="eastAsia" w:ascii="宋体" w:hAnsi="宋体" w:eastAsia="宋体"/>
        </w:rPr>
        <w:t>因乙方在审计过程中存在以下违法违规违纪行为，甲方有权即时解除合同，并要求乙方承担相当于合同标的金额一倍的赔偿责任。</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10.1</w:t>
      </w:r>
      <w:r>
        <w:rPr>
          <w:rFonts w:hint="eastAsia" w:ascii="宋体" w:hAnsi="宋体" w:eastAsia="宋体"/>
        </w:rPr>
        <w:t>故意出具虚假的审计业务文书</w:t>
      </w:r>
      <w:r>
        <w:rPr>
          <w:rFonts w:hint="eastAsia" w:ascii="宋体" w:hAnsi="宋体"/>
          <w:lang w:eastAsia="zh-CN"/>
        </w:rPr>
        <w:t>。</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10.2</w:t>
      </w:r>
      <w:r>
        <w:rPr>
          <w:rFonts w:hint="eastAsia" w:ascii="宋体" w:hAnsi="宋体" w:eastAsia="宋体"/>
        </w:rPr>
        <w:t>过失导致审计报告内容与事实有重大出入或有重大纰漏，后果严重的</w:t>
      </w:r>
      <w:r>
        <w:rPr>
          <w:rFonts w:hint="eastAsia" w:ascii="宋体" w:hAnsi="宋体"/>
          <w:lang w:eastAsia="zh-CN"/>
        </w:rPr>
        <w:t>。</w:t>
      </w:r>
    </w:p>
    <w:p>
      <w:pPr>
        <w:snapToGrid w:val="0"/>
        <w:spacing w:line="360" w:lineRule="auto"/>
        <w:ind w:left="420" w:hanging="420"/>
        <w:rPr>
          <w:rFonts w:hint="eastAsia" w:ascii="宋体" w:hAnsi="宋体" w:eastAsia="宋体"/>
          <w:lang w:eastAsia="zh-CN"/>
        </w:rPr>
      </w:pPr>
      <w:r>
        <w:rPr>
          <w:rFonts w:hint="eastAsia" w:ascii="宋体" w:hAnsi="宋体"/>
          <w:lang w:val="en-US" w:eastAsia="zh-CN"/>
        </w:rPr>
        <w:t>10.3</w:t>
      </w:r>
      <w:r>
        <w:rPr>
          <w:rFonts w:hint="eastAsia" w:ascii="宋体" w:hAnsi="宋体" w:eastAsia="宋体"/>
        </w:rPr>
        <w:t>违反法定程序，后果严重的</w:t>
      </w:r>
      <w:r>
        <w:rPr>
          <w:rFonts w:hint="eastAsia" w:ascii="宋体" w:hAnsi="宋体"/>
          <w:lang w:eastAsia="zh-CN"/>
        </w:rPr>
        <w:t>。</w:t>
      </w:r>
    </w:p>
    <w:p>
      <w:pPr>
        <w:snapToGrid w:val="0"/>
        <w:spacing w:line="360" w:lineRule="auto"/>
        <w:ind w:left="420" w:hanging="420"/>
        <w:rPr>
          <w:rFonts w:hint="eastAsia" w:ascii="宋体" w:hAnsi="宋体" w:eastAsia="宋体"/>
        </w:rPr>
      </w:pPr>
      <w:r>
        <w:rPr>
          <w:rFonts w:hint="eastAsia" w:ascii="宋体" w:hAnsi="宋体"/>
          <w:lang w:val="en-US" w:eastAsia="zh-CN"/>
        </w:rPr>
        <w:t>10.4</w:t>
      </w:r>
      <w:r>
        <w:rPr>
          <w:rFonts w:hint="eastAsia" w:ascii="宋体" w:hAnsi="宋体" w:eastAsia="宋体"/>
        </w:rPr>
        <w:t>其它违法违规违纪行为造成严重后果的。</w:t>
      </w:r>
    </w:p>
    <w:p>
      <w:pPr>
        <w:spacing w:line="360" w:lineRule="auto"/>
        <w:ind w:left="420" w:hanging="420" w:hangingChars="200"/>
        <w:rPr>
          <w:rFonts w:hint="eastAsia" w:ascii="宋体" w:hAnsi="宋体"/>
          <w:szCs w:val="21"/>
        </w:rPr>
      </w:pPr>
      <w:r>
        <w:rPr>
          <w:rFonts w:hint="eastAsia" w:ascii="宋体" w:hAnsi="宋体"/>
          <w:szCs w:val="21"/>
          <w:lang w:val="en-US" w:eastAsia="zh-CN"/>
        </w:rPr>
        <w:t>11、</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hint="eastAsia" w:ascii="宋体" w:hAnsi="宋体"/>
          <w:szCs w:val="21"/>
        </w:rPr>
      </w:pPr>
      <w:r>
        <w:rPr>
          <w:rFonts w:hint="eastAsia" w:ascii="宋体" w:hAnsi="宋体"/>
          <w:szCs w:val="21"/>
          <w:lang w:val="en-US" w:eastAsia="zh-CN"/>
        </w:rPr>
        <w:t>12、</w:t>
      </w:r>
      <w:r>
        <w:rPr>
          <w:rFonts w:hint="eastAsia" w:ascii="宋体" w:hAnsi="宋体"/>
          <w:szCs w:val="21"/>
        </w:rPr>
        <w:t xml:space="preserve">如一方地址、电话、传真号码有变更，应在变更当日内书面通知对方，否则，应承担相应责任。 </w:t>
      </w:r>
    </w:p>
    <w:p>
      <w:pPr>
        <w:spacing w:line="360" w:lineRule="auto"/>
        <w:jc w:val="left"/>
        <w:rPr>
          <w:rFonts w:hint="eastAsia" w:ascii="仿宋_GB2312" w:hAnsi="宋体" w:eastAsia="仿宋_GB2312"/>
          <w:sz w:val="28"/>
          <w:szCs w:val="28"/>
        </w:rPr>
      </w:pPr>
      <w:r>
        <w:rPr>
          <w:rFonts w:hint="eastAsia" w:ascii="宋体" w:hAnsi="宋体"/>
          <w:lang w:val="en-US" w:eastAsia="zh-CN"/>
        </w:rPr>
        <w:t>13</w:t>
      </w:r>
      <w:r>
        <w:rPr>
          <w:rFonts w:hint="eastAsia" w:ascii="宋体" w:hAnsi="宋体" w:eastAsia="宋体"/>
          <w:lang w:val="en-US" w:eastAsia="zh-CN"/>
        </w:rPr>
        <w:t>、</w:t>
      </w:r>
      <w:r>
        <w:rPr>
          <w:rFonts w:hint="eastAsia" w:ascii="宋体" w:hAnsi="宋体" w:eastAsia="宋体"/>
        </w:rPr>
        <w:t>本合同未尽事宜，由双方协商处理。</w:t>
      </w:r>
    </w:p>
    <w:p>
      <w:pPr>
        <w:spacing w:line="360" w:lineRule="auto"/>
        <w:jc w:val="left"/>
        <w:rPr>
          <w:rFonts w:hint="eastAsia" w:ascii="宋体" w:hAnsi="宋体" w:eastAsia="宋体"/>
        </w:rPr>
      </w:pPr>
      <w:r>
        <w:rPr>
          <w:rFonts w:hint="eastAsia" w:ascii="宋体" w:hAnsi="宋体" w:eastAsia="宋体"/>
          <w:lang w:val="en-US" w:eastAsia="zh-CN"/>
        </w:rPr>
        <w:t>14</w:t>
      </w:r>
      <w:r>
        <w:rPr>
          <w:rFonts w:hint="eastAsia" w:ascii="宋体" w:hAnsi="宋体" w:eastAsia="宋体"/>
        </w:rPr>
        <w:t>、合同生效：</w:t>
      </w:r>
    </w:p>
    <w:p>
      <w:pPr>
        <w:spacing w:line="360" w:lineRule="auto"/>
        <w:rPr>
          <w:rFonts w:hint="eastAsia" w:ascii="宋体" w:hAnsi="宋体"/>
          <w:szCs w:val="21"/>
        </w:rPr>
      </w:pPr>
      <w:r>
        <w:rPr>
          <w:rFonts w:hint="eastAsia" w:ascii="宋体" w:hAnsi="宋体"/>
          <w:szCs w:val="21"/>
          <w:lang w:val="en-US" w:eastAsia="zh-CN"/>
        </w:rPr>
        <w:t>14.1</w:t>
      </w:r>
      <w:r>
        <w:rPr>
          <w:rFonts w:hint="eastAsia" w:ascii="宋体" w:hAnsi="宋体"/>
          <w:szCs w:val="21"/>
        </w:rPr>
        <w:t>本合同在甲乙双方法人代表或其授权代表签字盖章后生效。</w:t>
      </w:r>
    </w:p>
    <w:p>
      <w:pPr>
        <w:spacing w:line="360" w:lineRule="auto"/>
        <w:rPr>
          <w:rFonts w:hint="eastAsia" w:ascii="宋体" w:hAnsi="宋体"/>
          <w:szCs w:val="21"/>
        </w:rPr>
      </w:pPr>
      <w:r>
        <w:rPr>
          <w:rFonts w:hint="eastAsia" w:ascii="宋体" w:hAnsi="宋体"/>
          <w:szCs w:val="21"/>
          <w:lang w:val="en-US" w:eastAsia="zh-CN"/>
        </w:rPr>
        <w:t>14.2本</w:t>
      </w:r>
      <w:r>
        <w:rPr>
          <w:rFonts w:hint="eastAsia" w:ascii="宋体" w:hAnsi="宋体"/>
          <w:szCs w:val="21"/>
        </w:rPr>
        <w:t>合同一式</w:t>
      </w:r>
      <w:r>
        <w:rPr>
          <w:rFonts w:hint="eastAsia" w:ascii="宋体" w:hAnsi="宋体"/>
          <w:szCs w:val="21"/>
          <w:u w:val="single"/>
        </w:rPr>
        <w:t xml:space="preserve"> </w:t>
      </w:r>
      <w:r>
        <w:rPr>
          <w:rFonts w:hint="eastAsia" w:ascii="宋体" w:hAnsi="宋体"/>
          <w:szCs w:val="21"/>
          <w:u w:val="single"/>
          <w:lang w:val="en-US" w:eastAsia="zh-CN"/>
        </w:rPr>
        <w:t>五</w:t>
      </w:r>
      <w:r>
        <w:rPr>
          <w:rFonts w:hint="eastAsia" w:ascii="宋体" w:hAnsi="宋体"/>
          <w:szCs w:val="21"/>
          <w:u w:val="single"/>
        </w:rPr>
        <w:t xml:space="preserve"> </w:t>
      </w:r>
      <w:r>
        <w:rPr>
          <w:rFonts w:hint="eastAsia" w:ascii="宋体" w:hAnsi="宋体"/>
          <w:szCs w:val="21"/>
        </w:rPr>
        <w:t>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w:t>
      </w:r>
      <w:r>
        <w:rPr>
          <w:rFonts w:hint="eastAsia" w:ascii="宋体" w:hAnsi="宋体"/>
          <w:szCs w:val="21"/>
          <w:lang w:val="en-US" w:eastAsia="zh-CN"/>
        </w:rPr>
        <w:t>一</w:t>
      </w:r>
      <w:r>
        <w:rPr>
          <w:rFonts w:hint="eastAsia" w:ascii="宋体" w:hAnsi="宋体"/>
          <w:szCs w:val="21"/>
        </w:rPr>
        <w:t>份，</w:t>
      </w:r>
      <w:r>
        <w:rPr>
          <w:rFonts w:hint="eastAsia" w:ascii="宋体" w:hAnsi="宋体" w:cs="宋体"/>
        </w:rPr>
        <w:t>合同自签字之日起即时生效。</w:t>
      </w:r>
    </w:p>
    <w:p>
      <w:pPr>
        <w:snapToGrid w:val="0"/>
        <w:spacing w:line="360" w:lineRule="auto"/>
        <w:ind w:left="420" w:hanging="420"/>
        <w:rPr>
          <w:rFonts w:ascii="宋体" w:hAnsi="宋体"/>
        </w:rPr>
      </w:pPr>
    </w:p>
    <w:p>
      <w:pPr>
        <w:snapToGrid w:val="0"/>
        <w:spacing w:line="480" w:lineRule="auto"/>
        <w:rPr>
          <w:rFonts w:ascii="宋体" w:hAnsi="宋体"/>
        </w:rPr>
      </w:pPr>
      <w:r>
        <w:rPr>
          <w:rFonts w:hint="eastAsia" w:ascii="宋体" w:hAnsi="宋体" w:cs="宋体"/>
        </w:rPr>
        <w:t>甲方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r>
        <w:rPr>
          <w:rFonts w:ascii="宋体" w:hAnsi="宋体"/>
        </w:rPr>
        <w:t xml:space="preserve">                                  </w:t>
      </w:r>
      <w:r>
        <w:rPr>
          <w:rFonts w:hint="eastAsia" w:ascii="宋体" w:hAnsi="宋体" w:cs="宋体"/>
        </w:rPr>
        <w:t>乙方</w:t>
      </w:r>
      <w:r>
        <w:rPr>
          <w:rFonts w:hint="eastAsia" w:ascii="宋体" w:hAnsi="宋体" w:cs="宋体"/>
          <w:lang w:eastAsia="zh-CN"/>
        </w:rPr>
        <w:t>（</w:t>
      </w:r>
      <w:r>
        <w:rPr>
          <w:rFonts w:hint="eastAsia" w:ascii="宋体" w:hAnsi="宋体" w:cs="宋体"/>
          <w:lang w:val="en-US" w:eastAsia="zh-CN"/>
        </w:rPr>
        <w:t>盖章</w:t>
      </w:r>
      <w:r>
        <w:rPr>
          <w:rFonts w:hint="eastAsia" w:ascii="宋体" w:hAnsi="宋体" w:cs="宋体"/>
          <w:lang w:eastAsia="zh-CN"/>
        </w:rPr>
        <w:t>）</w:t>
      </w:r>
      <w:r>
        <w:rPr>
          <w:rFonts w:hint="eastAsia" w:ascii="宋体" w:hAnsi="宋体" w:cs="宋体"/>
        </w:rPr>
        <w:t>：</w:t>
      </w:r>
    </w:p>
    <w:p>
      <w:pPr>
        <w:snapToGrid w:val="0"/>
        <w:spacing w:line="480" w:lineRule="auto"/>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cs="宋体"/>
          <w:u w:val="single"/>
        </w:rPr>
        <w:t>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snapToGrid w:val="0"/>
        <w:spacing w:line="480" w:lineRule="auto"/>
        <w:rPr>
          <w:rFonts w:ascii="宋体" w:hAnsi="宋体"/>
        </w:rPr>
      </w:pPr>
      <w:r>
        <w:rPr>
          <w:rFonts w:hint="eastAsia" w:ascii="宋体" w:hAnsi="宋体" w:cs="宋体"/>
        </w:rPr>
        <w:t>代表：</w:t>
      </w:r>
      <w:r>
        <w:rPr>
          <w:rFonts w:ascii="宋体" w:hAnsi="宋体"/>
        </w:rPr>
        <w:t xml:space="preserve">                                     </w:t>
      </w:r>
      <w:r>
        <w:rPr>
          <w:rFonts w:hint="eastAsia" w:ascii="宋体" w:hAnsi="宋体"/>
          <w:lang w:val="en-US" w:eastAsia="zh-CN"/>
        </w:rPr>
        <w:t xml:space="preserve">    </w:t>
      </w:r>
      <w:r>
        <w:rPr>
          <w:rFonts w:hint="eastAsia" w:ascii="宋体" w:hAnsi="宋体" w:cs="宋体"/>
        </w:rPr>
        <w:t>代表：</w:t>
      </w:r>
    </w:p>
    <w:p>
      <w:pPr>
        <w:snapToGrid w:val="0"/>
        <w:spacing w:line="48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48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48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color w:val="000000" w:themeColor="text1"/>
          <w:sz w:val="28"/>
          <w:szCs w:val="30"/>
          <w14:textFill>
            <w14:solidFill>
              <w14:schemeClr w14:val="tx1"/>
            </w14:solidFill>
          </w14:textFill>
        </w:rPr>
      </w:pPr>
    </w:p>
    <w:p>
      <w:pPr>
        <w:spacing w:line="30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28"/>
          <w:szCs w:val="30"/>
          <w14:textFill>
            <w14:solidFill>
              <w14:schemeClr w14:val="tx1"/>
            </w14:solidFill>
          </w14:textFill>
        </w:rPr>
        <w:t>医疗卫生机构医药产品廉洁购销合同</w:t>
      </w:r>
    </w:p>
    <w:p>
      <w:pPr>
        <w:spacing w:line="300" w:lineRule="auto"/>
        <w:rPr>
          <w:rFonts w:ascii="宋体" w:hAnsi="宋体"/>
          <w:b/>
          <w:sz w:val="24"/>
        </w:rPr>
      </w:pPr>
    </w:p>
    <w:p>
      <w:pPr>
        <w:spacing w:line="30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0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00" w:lineRule="auto"/>
        <w:rPr>
          <w:rFonts w:ascii="宋体" w:hAnsi="宋体"/>
          <w:szCs w:val="21"/>
        </w:rPr>
      </w:pPr>
    </w:p>
    <w:p>
      <w:pPr>
        <w:spacing w:line="30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00" w:lineRule="auto"/>
        <w:ind w:firstLine="420" w:firstLineChars="200"/>
        <w:rPr>
          <w:rFonts w:ascii="宋体" w:hAnsi="宋体"/>
          <w:szCs w:val="21"/>
        </w:rPr>
      </w:pPr>
      <w:r>
        <w:rPr>
          <w:rFonts w:hint="eastAsia" w:ascii="宋体" w:hAnsi="宋体"/>
          <w:szCs w:val="21"/>
        </w:rPr>
        <w:t>一、甲乙双方按照《</w:t>
      </w:r>
      <w:r>
        <w:rPr>
          <w:rFonts w:hint="eastAsia" w:ascii="宋体" w:hAnsi="宋体"/>
          <w:szCs w:val="21"/>
          <w:lang w:val="en-US" w:eastAsia="zh-CN"/>
        </w:rPr>
        <w:t>民</w:t>
      </w:r>
      <w:r>
        <w:rPr>
          <w:rFonts w:hint="eastAsia" w:ascii="宋体" w:hAnsi="宋体"/>
          <w:szCs w:val="21"/>
        </w:rPr>
        <w:t>法</w:t>
      </w:r>
      <w:r>
        <w:rPr>
          <w:rFonts w:hint="eastAsia" w:ascii="宋体" w:hAnsi="宋体"/>
          <w:szCs w:val="21"/>
          <w:lang w:val="en-US" w:eastAsia="zh-CN"/>
        </w:rPr>
        <w:t>典</w:t>
      </w:r>
      <w:r>
        <w:rPr>
          <w:rFonts w:hint="eastAsia" w:ascii="宋体" w:hAnsi="宋体"/>
          <w:szCs w:val="21"/>
        </w:rPr>
        <w:t>》及医药产品购销合同约定购销药品、医用设备、医用耗材等医药产品。</w:t>
      </w:r>
    </w:p>
    <w:p>
      <w:pPr>
        <w:spacing w:line="30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0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0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0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0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0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0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0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00" w:lineRule="auto"/>
        <w:ind w:firstLine="315" w:firstLineChars="150"/>
        <w:rPr>
          <w:rFonts w:ascii="宋体" w:hAnsi="宋体"/>
          <w:szCs w:val="21"/>
        </w:rPr>
      </w:pPr>
      <w:r>
        <w:rPr>
          <w:rFonts w:hint="eastAsia" w:ascii="宋体" w:hAnsi="宋体"/>
          <w:szCs w:val="21"/>
        </w:rPr>
        <w:t>十、本合同一式</w:t>
      </w:r>
      <w:r>
        <w:rPr>
          <w:rFonts w:hint="eastAsia" w:ascii="宋体" w:hAnsi="宋体"/>
          <w:szCs w:val="21"/>
          <w:lang w:val="en-US" w:eastAsia="zh-CN"/>
        </w:rPr>
        <w:t>五</w:t>
      </w:r>
      <w:r>
        <w:rPr>
          <w:rFonts w:hint="eastAsia" w:ascii="宋体" w:hAnsi="宋体"/>
          <w:szCs w:val="21"/>
        </w:rPr>
        <w:t>份，甲</w:t>
      </w:r>
      <w:r>
        <w:rPr>
          <w:rFonts w:hint="eastAsia" w:ascii="宋体" w:hAnsi="宋体"/>
          <w:szCs w:val="21"/>
          <w:lang w:val="en-US" w:eastAsia="zh-CN"/>
        </w:rPr>
        <w:t>方执四份</w:t>
      </w:r>
      <w:r>
        <w:rPr>
          <w:rFonts w:hint="eastAsia" w:ascii="宋体" w:hAnsi="宋体"/>
          <w:szCs w:val="21"/>
        </w:rPr>
        <w:t>、乙方执一份，从签订之日起生效。</w:t>
      </w:r>
    </w:p>
    <w:p>
      <w:pPr>
        <w:spacing w:line="300" w:lineRule="auto"/>
        <w:rPr>
          <w:rFonts w:ascii="宋体" w:hAnsi="宋体"/>
          <w:szCs w:val="21"/>
        </w:rPr>
      </w:pP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360" w:lineRule="auto"/>
        <w:ind w:firstLine="420" w:firstLineChars="200"/>
        <w:rPr>
          <w:rFonts w:hint="eastAsia" w:ascii="宋体" w:hAnsi="宋体"/>
          <w:b/>
          <w:szCs w:val="21"/>
        </w:rPr>
      </w:pPr>
      <w:r>
        <w:rPr>
          <w:rFonts w:hint="eastAsia" w:ascii="宋体" w:hAnsi="宋体"/>
          <w:b/>
          <w:szCs w:val="21"/>
        </w:rPr>
        <w:t xml:space="preserve">年   月   日                               </w:t>
      </w:r>
      <w:r>
        <w:rPr>
          <w:rFonts w:hint="eastAsia" w:ascii="宋体" w:hAnsi="宋体"/>
          <w:b/>
          <w:szCs w:val="21"/>
          <w:lang w:val="en-US" w:eastAsia="zh-CN"/>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年   月  日</w:t>
      </w:r>
    </w:p>
    <w:p>
      <w:pPr>
        <w:pageBreakBefore/>
        <w:spacing w:line="480" w:lineRule="exact"/>
        <w:jc w:val="center"/>
        <w:outlineLvl w:val="9"/>
        <w:rPr>
          <w:rFonts w:hint="eastAsia" w:eastAsia="黑体"/>
          <w:b/>
          <w:sz w:val="44"/>
        </w:rPr>
      </w:pPr>
    </w:p>
    <w:p>
      <w:pPr>
        <w:spacing w:line="480" w:lineRule="exact"/>
        <w:jc w:val="center"/>
        <w:outlineLvl w:val="9"/>
        <w:rPr>
          <w:rFonts w:hint="eastAsia" w:eastAsia="黑体"/>
          <w:b/>
          <w:sz w:val="44"/>
        </w:rPr>
      </w:pPr>
    </w:p>
    <w:p>
      <w:pPr>
        <w:spacing w:line="480" w:lineRule="exact"/>
        <w:jc w:val="center"/>
        <w:outlineLvl w:val="9"/>
        <w:rPr>
          <w:rFonts w:hint="eastAsia" w:eastAsia="黑体"/>
          <w:b/>
          <w:sz w:val="44"/>
        </w:rPr>
      </w:pPr>
    </w:p>
    <w:p>
      <w:pPr>
        <w:pStyle w:val="3"/>
        <w:spacing w:line="0" w:lineRule="atLeast"/>
        <w:ind w:right="47"/>
        <w:jc w:val="center"/>
        <w:outlineLvl w:val="9"/>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w:t>
      </w:r>
    </w:p>
    <w:p>
      <w:pPr>
        <w:pStyle w:val="2"/>
        <w:rPr>
          <w:rFonts w:hint="eastAsia"/>
        </w:rPr>
      </w:pPr>
    </w:p>
    <w:p>
      <w:pPr>
        <w:spacing w:line="480" w:lineRule="exact"/>
        <w:jc w:val="center"/>
        <w:outlineLvl w:val="0"/>
        <w:rPr>
          <w:rFonts w:hint="eastAsia" w:eastAsia="黑体"/>
          <w:b/>
          <w:sz w:val="44"/>
        </w:rPr>
      </w:pPr>
      <w:bookmarkStart w:id="85" w:name="_Toc1189"/>
      <w:r>
        <w:rPr>
          <w:rFonts w:hint="eastAsia" w:eastAsia="黑体"/>
          <w:b/>
          <w:sz w:val="44"/>
        </w:rPr>
        <w:t>投标文件格式</w:t>
      </w:r>
      <w:bookmarkEnd w:id="85"/>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outlineLvl w:val="0"/>
        <w:rPr>
          <w:rFonts w:hint="eastAsia" w:ascii="宋体" w:hAnsi="宋体"/>
          <w:sz w:val="28"/>
          <w:szCs w:val="28"/>
        </w:rPr>
      </w:pPr>
      <w:bookmarkStart w:id="86" w:name="_Toc16102"/>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bookmarkEnd w:id="86"/>
    </w:p>
    <w:p>
      <w:pPr>
        <w:spacing w:line="0" w:lineRule="atLeast"/>
        <w:ind w:left="2520" w:leftChars="1200"/>
        <w:jc w:val="left"/>
        <w:outlineLvl w:val="0"/>
        <w:rPr>
          <w:rFonts w:ascii="宋体" w:hAnsi="宋体"/>
          <w:sz w:val="28"/>
          <w:szCs w:val="28"/>
        </w:rPr>
      </w:pPr>
      <w:bookmarkStart w:id="87" w:name="_Toc7314"/>
      <w:r>
        <w:rPr>
          <w:rFonts w:hint="eastAsia" w:ascii="宋体" w:hAnsi="宋体"/>
          <w:sz w:val="28"/>
          <w:szCs w:val="28"/>
        </w:rPr>
        <w:t>二、  投标资格文件</w:t>
      </w:r>
      <w:bookmarkEnd w:id="87"/>
    </w:p>
    <w:p>
      <w:pPr>
        <w:spacing w:line="0" w:lineRule="atLeast"/>
        <w:ind w:left="2520" w:leftChars="1200"/>
        <w:jc w:val="left"/>
        <w:outlineLvl w:val="0"/>
        <w:rPr>
          <w:rFonts w:ascii="宋体" w:hAnsi="宋体"/>
          <w:sz w:val="28"/>
          <w:szCs w:val="28"/>
        </w:rPr>
      </w:pPr>
      <w:bookmarkStart w:id="88" w:name="_Toc17775"/>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bookmarkEnd w:id="88"/>
    </w:p>
    <w:p>
      <w:pPr>
        <w:spacing w:line="0" w:lineRule="atLeast"/>
        <w:ind w:left="2520" w:leftChars="1200"/>
        <w:jc w:val="left"/>
        <w:outlineLvl w:val="0"/>
        <w:rPr>
          <w:rFonts w:ascii="宋体" w:hAnsi="宋体"/>
          <w:sz w:val="28"/>
          <w:szCs w:val="28"/>
        </w:rPr>
      </w:pPr>
      <w:bookmarkStart w:id="89" w:name="_Toc4010"/>
      <w:r>
        <w:rPr>
          <w:rFonts w:hint="eastAsia" w:ascii="宋体" w:hAnsi="宋体"/>
          <w:sz w:val="28"/>
          <w:szCs w:val="28"/>
        </w:rPr>
        <w:t>四、  商务响应文件</w:t>
      </w:r>
      <w:bookmarkEnd w:id="89"/>
    </w:p>
    <w:p>
      <w:pPr>
        <w:spacing w:line="0" w:lineRule="atLeast"/>
        <w:ind w:left="2520" w:leftChars="1200"/>
        <w:jc w:val="left"/>
        <w:outlineLvl w:val="0"/>
        <w:rPr>
          <w:rFonts w:ascii="宋体" w:hAnsi="宋体"/>
          <w:sz w:val="28"/>
          <w:szCs w:val="28"/>
        </w:rPr>
      </w:pPr>
      <w:bookmarkStart w:id="90" w:name="_Toc822"/>
      <w:r>
        <w:rPr>
          <w:rFonts w:hint="eastAsia" w:ascii="宋体" w:hAnsi="宋体"/>
          <w:sz w:val="28"/>
          <w:szCs w:val="28"/>
        </w:rPr>
        <w:t>五、  技术服务响应文件</w:t>
      </w:r>
      <w:bookmarkEnd w:id="90"/>
    </w:p>
    <w:p>
      <w:pPr>
        <w:spacing w:line="0" w:lineRule="atLeast"/>
        <w:ind w:left="2520" w:leftChars="1200"/>
        <w:jc w:val="left"/>
        <w:outlineLvl w:val="0"/>
        <w:rPr>
          <w:rFonts w:ascii="宋体" w:hAnsi="宋体"/>
          <w:sz w:val="28"/>
          <w:szCs w:val="28"/>
        </w:rPr>
      </w:pPr>
      <w:bookmarkStart w:id="91" w:name="_Toc4039"/>
      <w:r>
        <w:rPr>
          <w:rFonts w:hint="eastAsia" w:ascii="宋体" w:hAnsi="宋体"/>
          <w:sz w:val="28"/>
          <w:szCs w:val="28"/>
        </w:rPr>
        <w:t>六、  投标报价文件</w:t>
      </w:r>
      <w:bookmarkEnd w:id="91"/>
    </w:p>
    <w:p>
      <w:pPr>
        <w:spacing w:line="0" w:lineRule="atLeast"/>
        <w:ind w:left="2520" w:leftChars="1200"/>
        <w:jc w:val="left"/>
        <w:outlineLvl w:val="0"/>
        <w:rPr>
          <w:rFonts w:ascii="宋体" w:hAnsi="宋体"/>
          <w:sz w:val="28"/>
          <w:szCs w:val="28"/>
        </w:rPr>
      </w:pPr>
      <w:bookmarkStart w:id="92" w:name="_Toc23210"/>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bookmarkEnd w:id="92"/>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outlineLvl w:val="0"/>
        <w:rPr>
          <w:rFonts w:ascii="宋体" w:hAnsi="宋体"/>
          <w:b/>
          <w:sz w:val="84"/>
          <w:szCs w:val="84"/>
        </w:rPr>
      </w:pPr>
      <w:bookmarkStart w:id="93" w:name="_Toc30131"/>
      <w:r>
        <w:rPr>
          <w:rFonts w:hint="eastAsia" w:ascii="宋体" w:hAnsi="宋体"/>
          <w:b/>
          <w:sz w:val="84"/>
          <w:szCs w:val="84"/>
        </w:rPr>
        <w:t>投标文件</w:t>
      </w:r>
      <w:bookmarkEnd w:id="93"/>
    </w:p>
    <w:p>
      <w:pPr>
        <w:spacing w:line="0" w:lineRule="atLeast"/>
        <w:jc w:val="center"/>
        <w:outlineLvl w:val="0"/>
        <w:rPr>
          <w:rFonts w:ascii="宋体" w:hAnsi="宋体"/>
          <w:sz w:val="47"/>
        </w:rPr>
      </w:pPr>
      <w:bookmarkStart w:id="94" w:name="_Toc2353"/>
      <w:r>
        <w:rPr>
          <w:rFonts w:hint="eastAsia" w:ascii="宋体" w:hAnsi="宋体"/>
          <w:sz w:val="47"/>
        </w:rPr>
        <w:t>（正本/副本）</w:t>
      </w:r>
      <w:bookmarkEnd w:id="94"/>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jc w:val="center"/>
        <w:outlineLvl w:val="0"/>
        <w:rPr>
          <w:rFonts w:hint="eastAsia" w:ascii="宋体" w:hAnsi="宋体"/>
          <w:sz w:val="36"/>
          <w:lang w:val="en-US" w:eastAsia="zh-CN"/>
        </w:rPr>
      </w:pPr>
      <w:bookmarkStart w:id="95" w:name="_Toc23001"/>
      <w:r>
        <w:rPr>
          <w:rFonts w:hint="eastAsia" w:ascii="宋体" w:hAnsi="宋体"/>
          <w:sz w:val="36"/>
        </w:rPr>
        <w:t>项目名称：</w:t>
      </w:r>
      <w:r>
        <w:rPr>
          <w:rFonts w:hint="eastAsia" w:ascii="宋体" w:hAnsi="宋体"/>
          <w:sz w:val="36"/>
          <w:lang w:val="en-US" w:eastAsia="zh-CN"/>
        </w:rPr>
        <w:t>汕头大学医学院第一附属医院（含科教楼）</w:t>
      </w:r>
      <w:bookmarkEnd w:id="95"/>
    </w:p>
    <w:p>
      <w:pPr>
        <w:spacing w:line="360" w:lineRule="auto"/>
        <w:jc w:val="center"/>
        <w:outlineLvl w:val="0"/>
        <w:rPr>
          <w:rFonts w:hint="eastAsia" w:ascii="宋体" w:hAnsi="宋体"/>
          <w:sz w:val="36"/>
          <w:lang w:val="en-US" w:eastAsia="zh-CN"/>
        </w:rPr>
      </w:pPr>
      <w:r>
        <w:rPr>
          <w:rFonts w:hint="eastAsia" w:ascii="宋体" w:hAnsi="宋体"/>
          <w:sz w:val="36"/>
          <w:lang w:val="en-US" w:eastAsia="zh-CN"/>
        </w:rPr>
        <w:t xml:space="preserve">       </w:t>
      </w:r>
      <w:bookmarkStart w:id="96" w:name="_Toc23462"/>
      <w:r>
        <w:rPr>
          <w:rFonts w:hint="eastAsia" w:ascii="宋体" w:hAnsi="宋体"/>
          <w:sz w:val="36"/>
          <w:lang w:val="en-US" w:eastAsia="zh-CN"/>
        </w:rPr>
        <w:t>视频监控系统升级改造工程竣工结算审核项目</w:t>
      </w:r>
      <w:bookmarkEnd w:id="96"/>
    </w:p>
    <w:p>
      <w:pPr>
        <w:spacing w:line="360" w:lineRule="auto"/>
        <w:jc w:val="both"/>
        <w:outlineLvl w:val="0"/>
        <w:rPr>
          <w:rFonts w:hint="default" w:ascii="宋体" w:hAnsi="宋体"/>
          <w:sz w:val="36"/>
          <w:lang w:val="en-US" w:eastAsia="zh-CN"/>
        </w:rPr>
      </w:pPr>
      <w:bookmarkStart w:id="97" w:name="_Toc31583"/>
      <w:r>
        <w:rPr>
          <w:rFonts w:hint="eastAsia" w:ascii="宋体" w:hAnsi="宋体"/>
          <w:sz w:val="36"/>
        </w:rPr>
        <w:t>招标编号：</w:t>
      </w:r>
      <w:r>
        <w:rPr>
          <w:rFonts w:hint="eastAsia" w:ascii="宋体" w:hAnsi="宋体"/>
          <w:sz w:val="36"/>
          <w:lang w:val="en-US" w:eastAsia="zh-CN"/>
        </w:rPr>
        <w:t>SDFYY-ZCB202100</w:t>
      </w:r>
      <w:bookmarkEnd w:id="97"/>
      <w:r>
        <w:rPr>
          <w:rFonts w:hint="eastAsia" w:ascii="宋体" w:hAnsi="宋体"/>
          <w:sz w:val="36"/>
          <w:lang w:val="en-US" w:eastAsia="zh-CN"/>
        </w:rPr>
        <w:t>4</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outlineLvl w:val="0"/>
        <w:rPr>
          <w:rFonts w:ascii="宋体" w:hAnsi="宋体"/>
          <w:sz w:val="36"/>
        </w:rPr>
      </w:pPr>
      <w:bookmarkStart w:id="98" w:name="_Toc27525"/>
      <w:r>
        <w:rPr>
          <w:rFonts w:hint="eastAsia" w:ascii="宋体" w:hAnsi="宋体"/>
          <w:sz w:val="36"/>
        </w:rPr>
        <w:t>投 标 人：</w:t>
      </w:r>
      <w:bookmarkEnd w:id="98"/>
      <w:r>
        <w:rPr>
          <w:rFonts w:ascii="宋体" w:hAnsi="宋体"/>
          <w:b/>
          <w:sz w:val="24"/>
          <w:u w:val="single"/>
        </w:rPr>
        <w:t xml:space="preserve">                                      </w:t>
      </w:r>
    </w:p>
    <w:p>
      <w:pPr>
        <w:tabs>
          <w:tab w:val="left" w:pos="284"/>
          <w:tab w:val="left" w:pos="851"/>
        </w:tabs>
        <w:spacing w:line="0" w:lineRule="atLeast"/>
        <w:ind w:firstLine="720" w:firstLineChars="200"/>
        <w:jc w:val="left"/>
        <w:outlineLvl w:val="0"/>
        <w:rPr>
          <w:rFonts w:hint="eastAsia" w:ascii="宋体" w:hAnsi="宋体"/>
          <w:sz w:val="36"/>
        </w:rPr>
      </w:pPr>
      <w:bookmarkStart w:id="99" w:name="_Toc12562"/>
      <w:r>
        <w:rPr>
          <w:rFonts w:hint="eastAsia" w:ascii="宋体" w:hAnsi="宋体"/>
          <w:sz w:val="36"/>
        </w:rPr>
        <w:t>投标人地址：</w:t>
      </w:r>
      <w:bookmarkEnd w:id="99"/>
      <w:r>
        <w:rPr>
          <w:rFonts w:ascii="宋体" w:hAnsi="宋体"/>
          <w:b/>
          <w:sz w:val="24"/>
          <w:u w:val="single"/>
        </w:rPr>
        <w:t xml:space="preserve">                                   </w:t>
      </w:r>
    </w:p>
    <w:p>
      <w:pPr>
        <w:tabs>
          <w:tab w:val="left" w:pos="284"/>
          <w:tab w:val="left" w:pos="851"/>
        </w:tabs>
        <w:spacing w:line="0" w:lineRule="atLeast"/>
        <w:ind w:firstLine="720" w:firstLineChars="200"/>
        <w:outlineLvl w:val="0"/>
        <w:rPr>
          <w:rFonts w:ascii="宋体" w:hAnsi="宋体"/>
          <w:sz w:val="36"/>
        </w:rPr>
      </w:pPr>
      <w:bookmarkStart w:id="100" w:name="_Toc21148"/>
      <w:r>
        <w:rPr>
          <w:rFonts w:hint="eastAsia" w:ascii="宋体" w:hAnsi="宋体"/>
          <w:sz w:val="36"/>
        </w:rPr>
        <w:t>投标地点：</w:t>
      </w:r>
      <w:bookmarkEnd w:id="100"/>
      <w:r>
        <w:rPr>
          <w:rFonts w:ascii="宋体" w:hAnsi="宋体"/>
          <w:b/>
          <w:sz w:val="24"/>
          <w:u w:val="single"/>
        </w:rPr>
        <w:t xml:space="preserve">                                      </w:t>
      </w:r>
    </w:p>
    <w:p>
      <w:pPr>
        <w:tabs>
          <w:tab w:val="left" w:pos="284"/>
          <w:tab w:val="left" w:pos="851"/>
        </w:tabs>
        <w:spacing w:line="0" w:lineRule="atLeast"/>
        <w:ind w:firstLine="720" w:firstLineChars="200"/>
        <w:outlineLvl w:val="0"/>
        <w:rPr>
          <w:rFonts w:hint="eastAsia" w:ascii="宋体" w:hAnsi="宋体"/>
          <w:b/>
          <w:sz w:val="28"/>
          <w:szCs w:val="28"/>
        </w:rPr>
      </w:pPr>
      <w:bookmarkStart w:id="101" w:name="_Toc15064"/>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bookmarkEnd w:id="101"/>
    </w:p>
    <w:p>
      <w:pPr>
        <w:spacing w:line="0" w:lineRule="atLeast"/>
        <w:outlineLvl w:val="0"/>
        <w:rPr>
          <w:rFonts w:ascii="宋体" w:hAnsi="宋体"/>
          <w:b/>
          <w:bCs/>
          <w:sz w:val="24"/>
        </w:rPr>
      </w:pPr>
      <w:bookmarkStart w:id="102" w:name="_Toc16251"/>
      <w:bookmarkStart w:id="103" w:name="_Toc24054"/>
      <w:r>
        <w:rPr>
          <w:rFonts w:hint="eastAsia" w:ascii="宋体" w:hAnsi="宋体"/>
          <w:b/>
          <w:bCs/>
          <w:sz w:val="24"/>
        </w:rPr>
        <w:t>1.1资格自查表</w:t>
      </w:r>
      <w:bookmarkEnd w:id="102"/>
      <w:bookmarkEnd w:id="103"/>
    </w:p>
    <w:tbl>
      <w:tblPr>
        <w:tblStyle w:val="20"/>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numPr>
                <w:ilvl w:val="0"/>
                <w:numId w:val="0"/>
              </w:numPr>
              <w:suppressLineNumbers w:val="0"/>
              <w:tabs>
                <w:tab w:val="left" w:pos="8280"/>
              </w:tabs>
              <w:autoSpaceDE w:val="0"/>
              <w:autoSpaceDN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1.投标人具备《政府采购法》第二十二条规定的条件(投标人缴纳的2021年以来任意1个月的税款证明材料（如税务局征收税款后打印的税票或完税凭证等。依法免税的投标人应提供相应免税证明文件；</w:t>
            </w:r>
          </w:p>
          <w:p>
            <w:pPr>
              <w:keepNext w:val="0"/>
              <w:keepLines w:val="0"/>
              <w:numPr>
                <w:ilvl w:val="0"/>
                <w:numId w:val="0"/>
              </w:numPr>
              <w:suppressLineNumbers w:val="0"/>
              <w:tabs>
                <w:tab w:val="left" w:pos="8280"/>
              </w:tabs>
              <w:autoSpaceDE w:val="0"/>
              <w:autoSpaceDN w:val="0"/>
              <w:adjustRightInd w:val="0"/>
              <w:snapToGrid w:val="0"/>
              <w:spacing w:before="0" w:beforeAutospacing="0" w:after="0" w:afterAutospacing="0" w:line="360" w:lineRule="auto"/>
              <w:ind w:left="0" w:right="32" w:rightChars="0"/>
              <w:rPr>
                <w:rFonts w:hint="eastAsia" w:ascii="宋体" w:hAnsi="宋体"/>
                <w:szCs w:val="21"/>
                <w:lang w:val="en-US" w:eastAsia="zh-CN"/>
              </w:rPr>
            </w:pPr>
            <w:r>
              <w:rPr>
                <w:rFonts w:hint="eastAsia" w:ascii="宋体" w:hAnsi="宋体"/>
                <w:szCs w:val="21"/>
                <w:lang w:val="en-US" w:eastAsia="zh-CN"/>
              </w:rPr>
              <w:t>2.投标人缴纳自2021年以来任意1个月的社会保障资金证明材料（如向社保局缴纳社会保障资金的发票或地税局代收社会保障资金的税票等证明材料。依法不需要缴纳社会保障基金的投标人应提供相应免缴证明文件）。</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4.在“信用中国”网站（www.creditchina.gov.cn）、中国政府采购网（www.ccgp.gov.cn）没有被列入失信被执行人、重大税收违法案件当事人名单、政府采购严重违法失信行为记录名单及其他不符合规定条件的供应商。</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5.投标人参加本采购项目前三年内，在经营活动中没有重大违法记录的书面声明。</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6.投标人具有工程造价咨询企业乙级（含）以上资质证书。</w:t>
            </w:r>
          </w:p>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leftChars="0" w:right="32" w:rightChars="0"/>
              <w:rPr>
                <w:rFonts w:hint="eastAsia" w:ascii="宋体" w:hAnsi="宋体" w:eastAsia="宋体" w:cs="Times New Roman"/>
                <w:kern w:val="2"/>
                <w:sz w:val="21"/>
                <w:szCs w:val="21"/>
                <w:lang w:val="en-US" w:eastAsia="zh-CN" w:bidi="ar-SA"/>
              </w:rPr>
            </w:pPr>
            <w:r>
              <w:rPr>
                <w:rFonts w:hint="eastAsia" w:ascii="宋体" w:hAnsi="宋体"/>
                <w:szCs w:val="21"/>
                <w:lang w:val="en-US" w:eastAsia="zh-CN"/>
              </w:rPr>
              <w:t>7.在招标文件规定的时间内报名并登记成功。(获取采购文件的具体方式详见本项目公告)。</w:t>
            </w:r>
          </w:p>
          <w:p>
            <w:pPr>
              <w:keepNext w:val="0"/>
              <w:keepLines w:val="0"/>
              <w:suppressLineNumbers w:val="0"/>
              <w:spacing w:before="0" w:beforeAutospacing="0" w:after="0" w:afterAutospacing="0" w:line="0" w:lineRule="atLeast"/>
              <w:ind w:left="0" w:right="0"/>
              <w:jc w:val="left"/>
              <w:rPr>
                <w:rFonts w:hint="eastAsia" w:ascii="宋体" w:hAnsi="宋体"/>
                <w:szCs w:val="21"/>
              </w:rPr>
            </w:pPr>
            <w:r>
              <w:rPr>
                <w:rFonts w:hint="eastAsia" w:ascii="宋体" w:hAnsi="宋体"/>
                <w:szCs w:val="21"/>
                <w:lang w:val="en-US" w:eastAsia="zh-CN"/>
              </w:rPr>
              <w:t>8.本项目不接受联合投标体投标。</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rPr>
      </w:pPr>
      <w:r>
        <w:rPr>
          <w:rFonts w:hint="eastAsia"/>
          <w:color w:val="auto"/>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outlineLvl w:val="0"/>
        <w:rPr>
          <w:rFonts w:ascii="宋体" w:hAnsi="宋体"/>
          <w:b/>
          <w:bCs/>
          <w:sz w:val="24"/>
        </w:rPr>
      </w:pPr>
      <w:r>
        <w:rPr>
          <w:rFonts w:ascii="宋体" w:hAnsi="宋体"/>
          <w:b/>
          <w:bCs/>
          <w:sz w:val="28"/>
        </w:rPr>
        <w:br w:type="page"/>
      </w:r>
      <w:r>
        <w:rPr>
          <w:rFonts w:hint="eastAsia" w:ascii="宋体" w:hAnsi="宋体"/>
          <w:b/>
          <w:sz w:val="32"/>
          <w:szCs w:val="32"/>
        </w:rPr>
        <w:t xml:space="preserve"> </w:t>
      </w:r>
      <w:bookmarkStart w:id="104" w:name="_Toc897"/>
      <w:bookmarkStart w:id="105" w:name="_Toc32601"/>
      <w:r>
        <w:rPr>
          <w:rFonts w:hint="eastAsia" w:ascii="宋体" w:hAnsi="宋体"/>
          <w:b/>
          <w:bCs/>
          <w:sz w:val="24"/>
        </w:rPr>
        <w:t>1.2符合性自查表</w:t>
      </w:r>
      <w:bookmarkEnd w:id="104"/>
      <w:bookmarkEnd w:id="105"/>
    </w:p>
    <w:tbl>
      <w:tblPr>
        <w:tblStyle w:val="20"/>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p>
            <w:pPr>
              <w:keepNext w:val="0"/>
              <w:keepLines w:val="0"/>
              <w:suppressLineNumbers w:val="0"/>
              <w:spacing w:before="0" w:beforeAutospacing="0" w:after="0" w:afterAutospacing="0" w:line="0" w:lineRule="atLeast"/>
              <w:ind w:left="0" w:right="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rPr>
      </w:pPr>
      <w:r>
        <w:rPr>
          <w:rFonts w:hint="eastAsia"/>
          <w:color w:val="auto"/>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outlineLvl w:val="0"/>
        <w:rPr>
          <w:rFonts w:hint="eastAsia" w:ascii="宋体" w:hAnsi="宋体"/>
          <w:b/>
          <w:sz w:val="32"/>
          <w:szCs w:val="32"/>
        </w:rPr>
      </w:pPr>
      <w:r>
        <w:rPr>
          <w:rFonts w:ascii="宋体" w:hAnsi="宋体"/>
          <w:b/>
          <w:bCs/>
          <w:sz w:val="24"/>
        </w:rPr>
        <w:br w:type="page"/>
      </w:r>
      <w:bookmarkStart w:id="106" w:name="_Toc202254105"/>
      <w:bookmarkStart w:id="107" w:name="_Toc202251700"/>
      <w:bookmarkStart w:id="108" w:name="_Toc202252034"/>
      <w:bookmarkStart w:id="109" w:name="_Toc202819878"/>
      <w:bookmarkStart w:id="110" w:name="_Toc202820351"/>
      <w:bookmarkStart w:id="111" w:name="_Toc24329"/>
      <w:bookmarkStart w:id="112" w:name="_Toc202251075"/>
      <w:bookmarkStart w:id="113" w:name="_Toc202816996"/>
      <w:bookmarkStart w:id="114" w:name="_Toc25104"/>
      <w:r>
        <w:rPr>
          <w:rFonts w:hint="eastAsia" w:ascii="宋体" w:hAnsi="宋体"/>
          <w:b/>
          <w:sz w:val="28"/>
          <w:szCs w:val="28"/>
        </w:rPr>
        <w:t>二、投标资格文件</w:t>
      </w:r>
      <w:bookmarkEnd w:id="106"/>
      <w:bookmarkEnd w:id="107"/>
      <w:bookmarkEnd w:id="108"/>
      <w:bookmarkEnd w:id="109"/>
      <w:bookmarkEnd w:id="110"/>
      <w:bookmarkEnd w:id="111"/>
      <w:bookmarkEnd w:id="112"/>
      <w:bookmarkEnd w:id="113"/>
      <w:bookmarkEnd w:id="114"/>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Cs w:val="21"/>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b/>
          <w:szCs w:val="21"/>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15" w:name="_Toc202820352"/>
      <w:bookmarkStart w:id="116" w:name="_Toc202252035"/>
      <w:bookmarkStart w:id="117" w:name="_Toc202819879"/>
      <w:bookmarkStart w:id="118" w:name="_Toc202251701"/>
      <w:bookmarkStart w:id="119" w:name="_Toc202816997"/>
      <w:bookmarkStart w:id="120" w:name="_Toc202254106"/>
      <w:bookmarkStart w:id="121" w:name="_Toc202251076"/>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outlineLvl w:val="0"/>
        <w:rPr>
          <w:rFonts w:hint="eastAsia" w:ascii="宋体" w:hAnsi="宋体"/>
          <w:b/>
          <w:sz w:val="28"/>
          <w:szCs w:val="28"/>
        </w:rPr>
      </w:pPr>
      <w:r>
        <w:rPr>
          <w:rFonts w:ascii="宋体" w:hAnsi="宋体"/>
          <w:b/>
          <w:sz w:val="28"/>
          <w:szCs w:val="28"/>
        </w:rPr>
        <w:br w:type="page"/>
      </w:r>
      <w:bookmarkStart w:id="122" w:name="_Toc14242"/>
      <w:bookmarkStart w:id="123" w:name="_Toc29506"/>
      <w:r>
        <w:rPr>
          <w:rFonts w:hint="eastAsia" w:ascii="宋体" w:hAnsi="宋体"/>
          <w:b/>
          <w:sz w:val="28"/>
          <w:szCs w:val="28"/>
        </w:rPr>
        <w:t>三、符合性文件</w:t>
      </w:r>
      <w:bookmarkEnd w:id="122"/>
      <w:bookmarkEnd w:id="123"/>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9"/>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outlineLvl w:val="0"/>
        <w:rPr>
          <w:rFonts w:hint="eastAsia" w:ascii="宋体" w:hAnsi="宋体"/>
          <w:b/>
          <w:sz w:val="28"/>
          <w:szCs w:val="28"/>
        </w:rPr>
      </w:pPr>
      <w:r>
        <w:rPr>
          <w:rFonts w:ascii="宋体" w:hAnsi="宋体"/>
          <w:b/>
          <w:sz w:val="28"/>
          <w:szCs w:val="28"/>
        </w:rPr>
        <w:br w:type="page"/>
      </w:r>
      <w:bookmarkEnd w:id="115"/>
      <w:bookmarkEnd w:id="116"/>
      <w:bookmarkEnd w:id="117"/>
      <w:bookmarkEnd w:id="118"/>
      <w:bookmarkEnd w:id="119"/>
      <w:bookmarkEnd w:id="120"/>
      <w:bookmarkEnd w:id="121"/>
      <w:bookmarkStart w:id="124" w:name="_Toc15688"/>
      <w:bookmarkStart w:id="125" w:name="_Toc2775"/>
      <w:r>
        <w:rPr>
          <w:rFonts w:hint="eastAsia" w:ascii="宋体" w:hAnsi="宋体"/>
          <w:b/>
          <w:sz w:val="28"/>
          <w:szCs w:val="28"/>
        </w:rPr>
        <w:t>四、商务</w:t>
      </w:r>
      <w:r>
        <w:rPr>
          <w:rFonts w:hint="eastAsia" w:ascii="宋体" w:hAnsi="宋体"/>
          <w:b/>
          <w:sz w:val="28"/>
          <w:szCs w:val="28"/>
          <w:lang w:val="en-US" w:eastAsia="zh-CN"/>
        </w:rPr>
        <w:t>技术</w:t>
      </w:r>
      <w:r>
        <w:rPr>
          <w:rFonts w:hint="eastAsia" w:ascii="宋体" w:hAnsi="宋体"/>
          <w:b/>
          <w:sz w:val="28"/>
          <w:szCs w:val="28"/>
        </w:rPr>
        <w:t>响应文件</w:t>
      </w:r>
      <w:bookmarkEnd w:id="124"/>
      <w:bookmarkEnd w:id="125"/>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w:t>
      </w:r>
      <w:r>
        <w:rPr>
          <w:rFonts w:hint="eastAsia" w:ascii="宋体" w:hAnsi="宋体"/>
          <w:b/>
          <w:sz w:val="24"/>
          <w:lang w:val="en-US" w:eastAsia="zh-CN"/>
        </w:rPr>
        <w:t>技术</w:t>
      </w:r>
      <w:r>
        <w:rPr>
          <w:rFonts w:hint="eastAsia" w:ascii="宋体" w:hAnsi="宋体"/>
          <w:b/>
          <w:sz w:val="24"/>
        </w:rPr>
        <w:t>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w:t>
      </w:r>
      <w:r>
        <w:rPr>
          <w:rFonts w:hint="eastAsia" w:ascii="宋体" w:hAnsi="宋体"/>
          <w:b/>
          <w:bCs/>
          <w:spacing w:val="10"/>
          <w:kern w:val="0"/>
          <w:sz w:val="24"/>
          <w:lang w:val="en-US" w:eastAsia="zh-CN"/>
        </w:rPr>
        <w:t>技术</w:t>
      </w:r>
      <w:r>
        <w:rPr>
          <w:rFonts w:hint="eastAsia" w:ascii="宋体" w:hAnsi="宋体"/>
          <w:b/>
          <w:bCs/>
          <w:spacing w:val="10"/>
          <w:kern w:val="0"/>
          <w:sz w:val="24"/>
        </w:rPr>
        <w:t>条款（“★”项）响应表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573"/>
        <w:gridCol w:w="1297"/>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57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w:t>
            </w:r>
            <w:r>
              <w:rPr>
                <w:rFonts w:hint="eastAsia" w:ascii="宋体" w:hAnsi="宋体"/>
                <w:b/>
                <w:bCs/>
                <w:szCs w:val="21"/>
                <w:lang w:val="en-US" w:eastAsia="zh-CN"/>
              </w:rPr>
              <w:t>技术</w:t>
            </w:r>
            <w:r>
              <w:rPr>
                <w:rFonts w:hint="eastAsia" w:ascii="宋体" w:hAnsi="宋体"/>
                <w:b/>
                <w:bCs/>
                <w:szCs w:val="21"/>
              </w:rPr>
              <w:t>条款要求</w:t>
            </w:r>
          </w:p>
        </w:tc>
        <w:tc>
          <w:tcPr>
            <w:tcW w:w="129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1734"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r>
              <w:rPr>
                <w:rFonts w:hint="eastAsia" w:ascii="宋体" w:hAnsi="宋体"/>
                <w:b/>
                <w:bCs/>
                <w:spacing w:val="10"/>
                <w:kern w:val="0"/>
                <w:sz w:val="24"/>
              </w:rPr>
              <w:t>★</w:t>
            </w:r>
            <w:r>
              <w:rPr>
                <w:rFonts w:hint="eastAsia" w:ascii="宋体" w:hAnsi="宋体"/>
                <w:b/>
                <w:bCs/>
                <w:sz w:val="24"/>
              </w:rPr>
              <w:t>付款方式： 以用户需求书为准</w:t>
            </w: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573"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129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734"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w:t>
      </w:r>
      <w:r>
        <w:rPr>
          <w:rFonts w:hint="eastAsia" w:ascii="宋体" w:hAnsi="宋体"/>
          <w:szCs w:val="21"/>
          <w:lang w:val="en-US" w:eastAsia="zh-CN"/>
        </w:rPr>
        <w:t>技术</w:t>
      </w:r>
      <w:r>
        <w:rPr>
          <w:rFonts w:hint="eastAsia" w:ascii="宋体" w:hAnsi="宋体"/>
          <w:szCs w:val="21"/>
          <w:lang w:val="en-GB"/>
        </w:rPr>
        <w:t>条款时，应在此表中第一行直接填写：本项目未设置“★”项商务</w:t>
      </w:r>
      <w:r>
        <w:rPr>
          <w:rFonts w:hint="eastAsia" w:ascii="宋体" w:hAnsi="宋体"/>
          <w:szCs w:val="21"/>
          <w:lang w:val="en-US" w:eastAsia="zh-CN"/>
        </w:rPr>
        <w:t>技术</w:t>
      </w:r>
      <w:r>
        <w:rPr>
          <w:rFonts w:hint="eastAsia" w:ascii="宋体" w:hAnsi="宋体"/>
          <w:szCs w:val="21"/>
          <w:lang w:val="en-GB"/>
        </w:rPr>
        <w:t>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w:t>
      </w:r>
      <w:r>
        <w:rPr>
          <w:rFonts w:hint="eastAsia" w:ascii="宋体" w:hAnsi="宋体"/>
          <w:b/>
          <w:bCs/>
          <w:spacing w:val="10"/>
          <w:kern w:val="0"/>
          <w:sz w:val="24"/>
          <w:lang w:val="en-US" w:eastAsia="zh-CN"/>
        </w:rPr>
        <w:t>技术</w:t>
      </w:r>
      <w:r>
        <w:rPr>
          <w:rFonts w:hint="eastAsia" w:ascii="宋体" w:hAnsi="宋体"/>
          <w:b/>
          <w:bCs/>
          <w:spacing w:val="10"/>
          <w:kern w:val="0"/>
          <w:sz w:val="24"/>
        </w:rPr>
        <w:t>条款响应表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106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w:t>
            </w:r>
            <w:r>
              <w:rPr>
                <w:rFonts w:hint="eastAsia" w:ascii="宋体" w:hAnsi="宋体"/>
                <w:b/>
                <w:bCs/>
                <w:szCs w:val="21"/>
                <w:lang w:val="en-US" w:eastAsia="zh-CN"/>
              </w:rPr>
              <w:t>技术</w:t>
            </w:r>
            <w:r>
              <w:rPr>
                <w:rFonts w:hint="eastAsia" w:ascii="宋体" w:hAnsi="宋体"/>
                <w:b/>
                <w:bCs/>
                <w:szCs w:val="21"/>
              </w:rPr>
              <w:t>条款要求</w:t>
            </w:r>
          </w:p>
        </w:tc>
        <w:tc>
          <w:tcPr>
            <w:tcW w:w="10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167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报价要求：完成本项目全部内容所需费用的含税价，且符合国家有关的价格规定（如有）</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106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67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0"/>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default" w:ascii="宋体" w:hAnsi="宋体" w:eastAsia="宋体"/>
          <w:b/>
          <w:sz w:val="24"/>
          <w:lang w:val="en-US" w:eastAsia="zh-CN"/>
        </w:rPr>
      </w:pPr>
      <w:r>
        <w:rPr>
          <w:rFonts w:hint="eastAsia" w:ascii="宋体" w:hAnsi="宋体"/>
          <w:b/>
          <w:sz w:val="24"/>
        </w:rPr>
        <w:t>4</w:t>
      </w:r>
      <w:r>
        <w:rPr>
          <w:rFonts w:ascii="宋体" w:hAnsi="宋体"/>
          <w:b/>
          <w:sz w:val="24"/>
        </w:rPr>
        <w:t xml:space="preserve">.3 </w:t>
      </w:r>
      <w:r>
        <w:rPr>
          <w:rFonts w:hint="eastAsia" w:ascii="宋体" w:hAnsi="宋体"/>
          <w:b/>
          <w:sz w:val="24"/>
          <w:lang w:val="en-US" w:eastAsia="zh-CN"/>
        </w:rPr>
        <w:t>投标人管理体系认证</w:t>
      </w: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2"/>
        <w:rPr>
          <w:rFonts w:ascii="宋体" w:hAnsi="宋体"/>
          <w:b/>
          <w:sz w:val="24"/>
        </w:rPr>
      </w:pPr>
      <w:r>
        <w:rPr>
          <w:rFonts w:hint="eastAsia" w:hAnsi="宋体"/>
          <w:b/>
          <w:sz w:val="24"/>
          <w:lang w:val="en-US" w:eastAsia="zh-CN"/>
        </w:rPr>
        <w:t xml:space="preserve">4.4 </w:t>
      </w:r>
      <w:bookmarkStart w:id="126" w:name="_Toc202819881"/>
      <w:bookmarkStart w:id="127" w:name="_Toc202816999"/>
      <w:bookmarkStart w:id="128" w:name="_Toc202820354"/>
      <w:r>
        <w:rPr>
          <w:rFonts w:hint="eastAsia" w:ascii="宋体" w:hAnsi="宋体"/>
          <w:b/>
          <w:sz w:val="24"/>
        </w:rPr>
        <w:t>其它要求提供的材料及需要说明的事项（请附相关证明材料，扼要说明）</w:t>
      </w: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126"/>
    <w:bookmarkEnd w:id="127"/>
    <w:bookmarkEnd w:id="128"/>
    <w:p>
      <w:pPr>
        <w:pStyle w:val="29"/>
        <w:spacing w:line="0" w:lineRule="atLeast"/>
        <w:rPr>
          <w:rFonts w:hint="eastAsia" w:ascii="宋体" w:hAnsi="宋体" w:cs="仿宋_GB2312"/>
          <w:b/>
          <w:sz w:val="28"/>
          <w:szCs w:val="28"/>
        </w:rPr>
      </w:pPr>
    </w:p>
    <w:p>
      <w:pPr>
        <w:pStyle w:val="29"/>
        <w:spacing w:line="0" w:lineRule="atLeast"/>
        <w:jc w:val="center"/>
        <w:rPr>
          <w:rFonts w:ascii="宋体" w:hAnsi="宋体" w:cs="仿宋_GB2312"/>
          <w:b/>
          <w:sz w:val="28"/>
          <w:szCs w:val="28"/>
        </w:rPr>
        <w:sectPr>
          <w:footerReference r:id="rId4" w:type="default"/>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29"/>
        <w:spacing w:line="0" w:lineRule="atLeast"/>
        <w:jc w:val="both"/>
        <w:outlineLvl w:val="0"/>
        <w:rPr>
          <w:rFonts w:hint="eastAsia" w:ascii="宋体" w:hAnsi="宋体" w:cs="仿宋_GB2312"/>
          <w:b/>
          <w:color w:val="000000" w:themeColor="text1"/>
          <w:sz w:val="28"/>
          <w:szCs w:val="28"/>
          <w14:textFill>
            <w14:solidFill>
              <w14:schemeClr w14:val="tx1"/>
            </w14:solidFill>
          </w14:textFill>
        </w:rPr>
      </w:pPr>
      <w:bookmarkStart w:id="129" w:name="_Toc23223"/>
      <w:bookmarkStart w:id="130" w:name="_Toc9802"/>
      <w:r>
        <w:rPr>
          <w:rFonts w:hint="eastAsia" w:ascii="宋体" w:hAnsi="宋体" w:cs="仿宋_GB2312"/>
          <w:b/>
          <w:sz w:val="28"/>
          <w:szCs w:val="28"/>
          <w:lang w:val="en-US" w:eastAsia="zh-CN"/>
        </w:rPr>
        <w:t>五</w:t>
      </w:r>
      <w:r>
        <w:rPr>
          <w:rFonts w:hint="eastAsia" w:ascii="宋体" w:hAnsi="宋体" w:cs="仿宋_GB2312"/>
          <w:b/>
          <w:sz w:val="28"/>
          <w:szCs w:val="28"/>
        </w:rPr>
        <w:t>、</w:t>
      </w:r>
      <w:r>
        <w:rPr>
          <w:rFonts w:hint="eastAsia" w:ascii="宋体" w:hAnsi="宋体" w:cs="仿宋_GB2312"/>
          <w:b/>
          <w:color w:val="000000" w:themeColor="text1"/>
          <w:sz w:val="28"/>
          <w:szCs w:val="28"/>
          <w14:textFill>
            <w14:solidFill>
              <w14:schemeClr w14:val="tx1"/>
            </w14:solidFill>
          </w14:textFill>
        </w:rPr>
        <w:t>投标报价文件</w:t>
      </w:r>
      <w:bookmarkEnd w:id="129"/>
      <w:bookmarkEnd w:id="130"/>
    </w:p>
    <w:p>
      <w:pPr>
        <w:spacing w:line="0" w:lineRule="atLeast"/>
        <w:rPr>
          <w:rFonts w:hint="eastAsia"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lang w:val="en-US" w:eastAsia="zh-CN"/>
          <w14:textFill>
            <w14:solidFill>
              <w14:schemeClr w14:val="tx1"/>
            </w14:solidFill>
          </w14:textFill>
        </w:rPr>
        <w:t>5</w:t>
      </w:r>
      <w:r>
        <w:rPr>
          <w:rFonts w:hint="eastAsia" w:ascii="宋体" w:hAnsi="宋体" w:cs="仿宋_GB2312"/>
          <w:b/>
          <w:color w:val="000000" w:themeColor="text1"/>
          <w:sz w:val="24"/>
          <w14:textFill>
            <w14:solidFill>
              <w14:schemeClr w14:val="tx1"/>
            </w14:solidFill>
          </w14:textFill>
        </w:rPr>
        <w:t>.1开标一览表</w:t>
      </w:r>
    </w:p>
    <w:p>
      <w:pPr>
        <w:tabs>
          <w:tab w:val="left" w:pos="284"/>
          <w:tab w:val="left" w:pos="851"/>
        </w:tabs>
        <w:spacing w:line="0" w:lineRule="atLeast"/>
        <w:jc w:val="left"/>
        <w:rPr>
          <w:rFonts w:ascii="宋体" w:hAnsi="宋体"/>
          <w:sz w:val="24"/>
        </w:rPr>
      </w:pPr>
      <w:r>
        <w:rPr>
          <w:rFonts w:hint="eastAsia" w:ascii="宋体" w:hAnsi="宋体"/>
          <w:color w:val="000000" w:themeColor="text1"/>
          <w:sz w:val="24"/>
          <w14:textFill>
            <w14:solidFill>
              <w14:schemeClr w14:val="tx1"/>
            </w14:solidFill>
          </w14:textFill>
        </w:rPr>
        <w:t>招标编号：</w:t>
      </w:r>
      <w:r>
        <w:rPr>
          <w:rFonts w:ascii="宋体" w:hAnsi="宋体"/>
          <w:color w:val="000000" w:themeColor="text1"/>
          <w:sz w:val="24"/>
          <w14:textFill>
            <w14:solidFill>
              <w14:schemeClr w14:val="tx1"/>
            </w14:solidFill>
          </w14:textFill>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货币单位：元/人民币                                                                  </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3231"/>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937"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项目名称</w:t>
            </w:r>
          </w:p>
        </w:tc>
        <w:tc>
          <w:tcPr>
            <w:tcW w:w="3231"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投标总价（</w:t>
            </w:r>
            <w:r>
              <w:rPr>
                <w:rFonts w:hint="eastAsia" w:ascii="宋体" w:hAnsi="宋体"/>
                <w:sz w:val="24"/>
                <w:lang w:val="en-US" w:eastAsia="zh-CN"/>
              </w:rPr>
              <w:t>下浮率</w:t>
            </w:r>
            <w:r>
              <w:rPr>
                <w:rFonts w:hint="eastAsia" w:ascii="宋体" w:hAnsi="宋体"/>
                <w:sz w:val="24"/>
              </w:rPr>
              <w:t>）</w:t>
            </w:r>
          </w:p>
        </w:tc>
        <w:tc>
          <w:tcPr>
            <w:tcW w:w="3392" w:type="dxa"/>
            <w:noWrap w:val="0"/>
            <w:vAlign w:val="center"/>
          </w:tcPr>
          <w:p>
            <w:pPr>
              <w:keepNext w:val="0"/>
              <w:keepLines w:val="0"/>
              <w:suppressLineNumbers w:val="0"/>
              <w:tabs>
                <w:tab w:val="left" w:pos="284"/>
                <w:tab w:val="left" w:pos="851"/>
              </w:tabs>
              <w:spacing w:before="0" w:beforeAutospacing="0" w:after="0" w:afterAutospacing="0" w:line="0" w:lineRule="atLeast"/>
              <w:ind w:left="0" w:right="0"/>
              <w:jc w:val="center"/>
              <w:rPr>
                <w:rFonts w:ascii="宋体" w:hAnsi="宋体"/>
                <w:sz w:val="24"/>
              </w:rPr>
            </w:pPr>
            <w:r>
              <w:rPr>
                <w:rFonts w:hint="eastAsia" w:ascii="宋体" w:hAnsi="宋体"/>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937" w:type="dxa"/>
            <w:noWrap w:val="0"/>
            <w:vAlign w:val="center"/>
          </w:tcPr>
          <w:p>
            <w:pPr>
              <w:keepNext w:val="0"/>
              <w:keepLines w:val="0"/>
              <w:suppressLineNumbers w:val="0"/>
              <w:tabs>
                <w:tab w:val="left" w:pos="284"/>
              </w:tabs>
              <w:spacing w:before="0" w:beforeAutospacing="0" w:after="0" w:afterAutospacing="0" w:line="0" w:lineRule="atLeast"/>
              <w:ind w:left="0" w:right="0"/>
              <w:jc w:val="center"/>
              <w:rPr>
                <w:rFonts w:ascii="宋体" w:hAnsi="宋体"/>
                <w:sz w:val="24"/>
              </w:rPr>
            </w:pPr>
          </w:p>
        </w:tc>
        <w:tc>
          <w:tcPr>
            <w:tcW w:w="3231"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大写：</w:t>
            </w:r>
          </w:p>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r>
              <w:rPr>
                <w:rFonts w:hint="eastAsia" w:ascii="宋体" w:hAnsi="宋体"/>
                <w:sz w:val="24"/>
              </w:rPr>
              <w:t>小写：</w:t>
            </w:r>
          </w:p>
        </w:tc>
        <w:tc>
          <w:tcPr>
            <w:tcW w:w="3392" w:type="dxa"/>
            <w:noWrap w:val="0"/>
            <w:vAlign w:val="center"/>
          </w:tcPr>
          <w:p>
            <w:pPr>
              <w:keepNext w:val="0"/>
              <w:keepLines w:val="0"/>
              <w:suppressLineNumbers w:val="0"/>
              <w:tabs>
                <w:tab w:val="left" w:pos="284"/>
              </w:tabs>
              <w:spacing w:before="0" w:beforeAutospacing="0" w:after="0" w:afterAutospacing="0" w:line="0" w:lineRule="atLeast"/>
              <w:ind w:left="0" w:right="0"/>
              <w:jc w:val="left"/>
              <w:rPr>
                <w:rFonts w:ascii="宋体" w:hAnsi="宋体"/>
                <w:sz w:val="24"/>
              </w:rPr>
            </w:pPr>
          </w:p>
        </w:tc>
      </w:tr>
    </w:tbl>
    <w:p>
      <w:pPr>
        <w:spacing w:line="0" w:lineRule="atLeast"/>
        <w:rPr>
          <w:rFonts w:hint="eastAsia" w:ascii="宋体" w:hAnsi="宋体" w:cs="仿宋_GB2312"/>
          <w:szCs w:val="21"/>
        </w:rPr>
      </w:pPr>
      <w:r>
        <w:rPr>
          <w:rFonts w:hint="eastAsia" w:ascii="宋体" w:hAnsi="宋体" w:cs="仿宋_GB2312"/>
          <w:szCs w:val="21"/>
        </w:rPr>
        <w:t>注：1.投标人须按要求填写所有信息，不得随意更改本表格式。</w:t>
      </w:r>
    </w:p>
    <w:p>
      <w:pPr>
        <w:spacing w:line="0" w:lineRule="atLeast"/>
        <w:ind w:firstLine="420" w:firstLineChars="200"/>
        <w:rPr>
          <w:rStyle w:val="42"/>
          <w:rFonts w:hint="eastAsia" w:ascii="宋体" w:hAnsi="宋体" w:cs="仿宋_GB2312"/>
          <w:szCs w:val="21"/>
          <w:u w:val="single"/>
        </w:rPr>
      </w:pPr>
      <w:r>
        <w:rPr>
          <w:rFonts w:hint="eastAsia" w:ascii="宋体" w:hAnsi="宋体" w:cs="仿宋_GB2312"/>
          <w:szCs w:val="21"/>
        </w:rPr>
        <w:t>2.投标人应报投标人完成本项目全部内容所需费用的含税价（包括但不限于人工、保险、伴随服务、拟投入工具及材料、各类税费以及采购合同包含的所有风险、责任等各项应有费用）。</w:t>
      </w:r>
    </w:p>
    <w:p>
      <w:pPr>
        <w:spacing w:line="0" w:lineRule="atLeast"/>
        <w:ind w:firstLine="420" w:firstLineChars="200"/>
        <w:rPr>
          <w:rFonts w:hint="eastAsia" w:ascii="宋体" w:hAnsi="宋体" w:cs="仿宋_GB2312"/>
          <w:b/>
          <w:szCs w:val="21"/>
        </w:rPr>
      </w:pPr>
      <w:r>
        <w:rPr>
          <w:rFonts w:hint="eastAsia" w:ascii="宋体" w:hAnsi="宋体" w:cs="仿宋_GB2312"/>
          <w:szCs w:val="21"/>
        </w:rPr>
        <w:t>3</w:t>
      </w:r>
      <w:r>
        <w:rPr>
          <w:rFonts w:hint="eastAsia" w:ascii="宋体" w:hAnsi="宋体" w:cs="仿宋_GB2312"/>
          <w:b/>
          <w:szCs w:val="21"/>
        </w:rPr>
        <w:t>.此表是投标文件的必要文件，是投标文件的组成部分，封装在一个信封中，作为开标之用。</w:t>
      </w:r>
    </w:p>
    <w:p>
      <w:pPr>
        <w:spacing w:line="0" w:lineRule="atLeast"/>
        <w:ind w:firstLine="420" w:firstLineChars="200"/>
        <w:rPr>
          <w:rFonts w:ascii="宋体" w:hAnsi="宋体" w:cs="仿宋_GB2312"/>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113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color w:val="000000" w:themeColor="text1"/>
          <w:sz w:val="24"/>
          <w14:textFill>
            <w14:solidFill>
              <w14:schemeClr w14:val="tx1"/>
            </w14:solidFill>
          </w14:textFill>
        </w:rPr>
      </w:pPr>
      <w:r>
        <w:rPr>
          <w:rFonts w:hint="eastAsia" w:ascii="宋体" w:hAnsi="宋体"/>
          <w:b/>
          <w:sz w:val="24"/>
          <w:lang w:val="en-US" w:eastAsia="zh-CN"/>
        </w:rPr>
        <w:t>5</w:t>
      </w:r>
      <w:r>
        <w:rPr>
          <w:rFonts w:hint="eastAsia" w:ascii="宋体" w:hAnsi="宋体"/>
          <w:b/>
          <w:color w:val="000000" w:themeColor="text1"/>
          <w:sz w:val="24"/>
          <w14:textFill>
            <w14:solidFill>
              <w14:schemeClr w14:val="tx1"/>
            </w14:solidFill>
          </w14:textFill>
        </w:rPr>
        <w:t>.2投标分项报价表</w:t>
      </w:r>
    </w:p>
    <w:p>
      <w:pPr>
        <w:spacing w:line="0" w:lineRule="atLeast"/>
        <w:ind w:firstLine="482" w:firstLineChars="200"/>
        <w:rPr>
          <w:rFonts w:ascii="宋体" w:hAnsi="宋体"/>
          <w:b/>
          <w:color w:val="000000" w:themeColor="text1"/>
          <w:sz w:val="24"/>
          <w14:textFill>
            <w14:solidFill>
              <w14:schemeClr w14:val="tx1"/>
            </w14:solidFill>
          </w14:textFill>
        </w:rPr>
      </w:pPr>
    </w:p>
    <w:p>
      <w:pPr>
        <w:spacing w:line="0" w:lineRule="atLeast"/>
        <w:ind w:firstLine="723" w:firstLineChars="200"/>
        <w:outlineLvl w:val="0"/>
        <w:rPr>
          <w:rFonts w:ascii="宋体" w:hAnsi="宋体"/>
          <w:b/>
          <w:color w:val="000000" w:themeColor="text1"/>
          <w:sz w:val="36"/>
          <w:szCs w:val="28"/>
          <w14:textFill>
            <w14:solidFill>
              <w14:schemeClr w14:val="tx1"/>
            </w14:solidFill>
          </w14:textFill>
        </w:rPr>
      </w:pPr>
      <w:bookmarkStart w:id="131" w:name="_Toc16653"/>
      <w:bookmarkStart w:id="132" w:name="_Toc8501"/>
      <w:r>
        <w:rPr>
          <w:rFonts w:hint="eastAsia" w:ascii="宋体" w:hAnsi="宋体"/>
          <w:b/>
          <w:color w:val="000000" w:themeColor="text1"/>
          <w:sz w:val="36"/>
          <w:szCs w:val="28"/>
          <w14:textFill>
            <w14:solidFill>
              <w14:schemeClr w14:val="tx1"/>
            </w14:solidFill>
          </w14:textFill>
        </w:rPr>
        <w:t>提示：为避免影响验收，请务必确保投标文件中的技术参数信息与投标信息一致！</w:t>
      </w:r>
      <w:bookmarkEnd w:id="131"/>
      <w:bookmarkEnd w:id="132"/>
    </w:p>
    <w:p>
      <w:pPr>
        <w:spacing w:line="0" w:lineRule="atLeast"/>
        <w:ind w:firstLine="562" w:firstLineChars="200"/>
        <w:rPr>
          <w:rFonts w:hint="eastAsia" w:ascii="宋体" w:hAnsi="宋体"/>
          <w:b/>
          <w:color w:val="000000" w:themeColor="text1"/>
          <w:sz w:val="28"/>
          <w:szCs w:val="28"/>
          <w14:textFill>
            <w14:solidFill>
              <w14:schemeClr w14:val="tx1"/>
            </w14:solidFill>
          </w14:textFill>
        </w:rPr>
      </w:pPr>
    </w:p>
    <w:p>
      <w:pPr>
        <w:adjustRightInd w:val="0"/>
        <w:snapToGrid w:val="0"/>
        <w:spacing w:line="0" w:lineRule="atLeast"/>
        <w:ind w:firstLine="1890" w:firstLineChars="9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项目名称: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项目编号： </w:t>
      </w:r>
    </w:p>
    <w:tbl>
      <w:tblPr>
        <w:tblStyle w:val="20"/>
        <w:tblpPr w:leftFromText="180" w:rightFromText="180" w:vertAnchor="text" w:horzAnchor="page" w:tblpX="2044" w:tblpY="239"/>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58"/>
        <w:gridCol w:w="2351"/>
        <w:gridCol w:w="2594"/>
        <w:gridCol w:w="148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14:textFill>
                  <w14:solidFill>
                    <w14:schemeClr w14:val="tx1"/>
                  </w14:solidFill>
                </w14:textFill>
              </w:rPr>
              <w:t>序号</w:t>
            </w:r>
          </w:p>
        </w:tc>
        <w:tc>
          <w:tcPr>
            <w:tcW w:w="2351"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14:textFill>
                  <w14:solidFill>
                    <w14:schemeClr w14:val="tx1"/>
                  </w14:solidFill>
                </w14:textFill>
              </w:rPr>
              <w:t>项目</w:t>
            </w:r>
          </w:p>
        </w:tc>
        <w:tc>
          <w:tcPr>
            <w:tcW w:w="2594"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b/>
                <w:bCs/>
                <w:color w:val="000000" w:themeColor="text1"/>
                <w:kern w:val="0"/>
                <w:szCs w:val="21"/>
                <w14:textFill>
                  <w14:solidFill>
                    <w14:schemeClr w14:val="tx1"/>
                  </w14:solidFill>
                </w14:textFill>
              </w:rPr>
            </w:pPr>
            <w:r>
              <w:rPr>
                <w:rFonts w:hint="eastAsia" w:ascii="宋体" w:hAnsi="宋体" w:eastAsia="宋体" w:cstheme="minorEastAsia"/>
                <w:b/>
                <w:bCs/>
                <w:color w:val="000000" w:themeColor="text1"/>
                <w:kern w:val="0"/>
                <w:szCs w:val="21"/>
                <w:lang w:val="en-US" w:eastAsia="zh-CN"/>
                <w14:textFill>
                  <w14:solidFill>
                    <w14:schemeClr w14:val="tx1"/>
                  </w14:solidFill>
                </w14:textFill>
              </w:rPr>
              <w:t>内容和标准</w:t>
            </w: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报价（元）</w:t>
            </w: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1</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2</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3</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4</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5</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ascii="宋体" w:hAnsi="宋体" w:eastAsia="宋体" w:cstheme="minorEastAsia"/>
                <w:color w:val="000000" w:themeColor="text1"/>
                <w:kern w:val="0"/>
                <w:szCs w:val="21"/>
                <w14:textFill>
                  <w14:solidFill>
                    <w14:schemeClr w14:val="tx1"/>
                  </w14:solidFill>
                </w14:textFill>
              </w:rPr>
              <w:t>6</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heme="minorEastAsia"/>
                <w:color w:val="000000" w:themeColor="text1"/>
                <w:kern w:val="0"/>
                <w:szCs w:val="21"/>
                <w14:textFill>
                  <w14:solidFill>
                    <w14:schemeClr w14:val="tx1"/>
                  </w14:solidFill>
                </w14:textFill>
              </w:rPr>
              <w:t>7</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70" w:hRule="atLeast"/>
        </w:trPr>
        <w:tc>
          <w:tcPr>
            <w:tcW w:w="65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2"/>
                <w:sz w:val="21"/>
                <w:szCs w:val="20"/>
                <w:lang w:val="en-US" w:eastAsia="zh-CN" w:bidi="ar"/>
                <w14:textFill>
                  <w14:solidFill>
                    <w14:schemeClr w14:val="tx1"/>
                  </w14:solidFill>
                </w14:textFill>
              </w:rPr>
              <w:t>……</w:t>
            </w:r>
          </w:p>
        </w:tc>
        <w:tc>
          <w:tcPr>
            <w:tcW w:w="2351"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2594" w:type="dxa"/>
            <w:shd w:val="clear" w:color="auto" w:fill="FFFFFF" w:themeFill="background1"/>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ascii="宋体" w:hAnsi="宋体" w:eastAsia="宋体" w:cstheme="minorEastAsia"/>
                <w:color w:val="000000" w:themeColor="text1"/>
                <w:kern w:val="0"/>
                <w:szCs w:val="21"/>
                <w14:textFill>
                  <w14:solidFill>
                    <w14:schemeClr w14:val="tx1"/>
                  </w14:solidFill>
                </w14:textFill>
              </w:rPr>
            </w:pPr>
          </w:p>
        </w:tc>
        <w:tc>
          <w:tcPr>
            <w:tcW w:w="1489"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c>
          <w:tcPr>
            <w:tcW w:w="1338" w:type="dxa"/>
            <w:shd w:val="clear" w:color="auto" w:fill="FFFFFF" w:themeFill="background1"/>
            <w:noWrap/>
            <w:vAlign w:val="center"/>
          </w:tcPr>
          <w:p>
            <w:pPr>
              <w:keepNext w:val="0"/>
              <w:keepLines w:val="0"/>
              <w:widowControl/>
              <w:suppressLineNumbers w:val="0"/>
              <w:adjustRightInd w:val="0"/>
              <w:snapToGrid w:val="0"/>
              <w:spacing w:before="0" w:beforeAutospacing="0" w:after="0" w:afterAutospacing="0" w:line="276" w:lineRule="auto"/>
              <w:ind w:left="0" w:right="0"/>
              <w:jc w:val="center"/>
              <w:rPr>
                <w:rFonts w:hint="eastAsia" w:ascii="宋体" w:hAnsi="宋体" w:eastAsia="宋体" w:cstheme="minorEastAsia"/>
                <w:color w:val="000000" w:themeColor="text1"/>
                <w:kern w:val="0"/>
                <w:szCs w:val="21"/>
                <w14:textFill>
                  <w14:solidFill>
                    <w14:schemeClr w14:val="tx1"/>
                  </w14:solidFill>
                </w14:textFill>
              </w:rPr>
            </w:pPr>
          </w:p>
        </w:tc>
      </w:tr>
    </w:tbl>
    <w:p>
      <w:pPr>
        <w:adjustRightInd w:val="0"/>
        <w:snapToGrid w:val="0"/>
        <w:spacing w:line="0" w:lineRule="atLeast"/>
        <w:rPr>
          <w:rFonts w:hint="eastAsia" w:ascii="宋体" w:hAnsi="宋体"/>
          <w:color w:val="000000" w:themeColor="text1"/>
          <w:szCs w:val="21"/>
          <w14:textFill>
            <w14:solidFill>
              <w14:schemeClr w14:val="tx1"/>
            </w14:solidFill>
          </w14:textFill>
        </w:rPr>
      </w:pPr>
    </w:p>
    <w:p>
      <w:pPr>
        <w:adjustRightInd w:val="0"/>
        <w:snapToGrid w:val="0"/>
        <w:spacing w:line="0" w:lineRule="atLeas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r>
        <w:rPr>
          <w:rFonts w:hint="eastAsia" w:ascii="宋体" w:hAnsi="宋体"/>
          <w:szCs w:val="21"/>
        </w:rPr>
        <w:t>注：以上内容必须与技术方案中所介绍的内容以及《开标一览表》一致。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outlineLvl w:val="0"/>
        <w:rPr>
          <w:rFonts w:ascii="宋体" w:hAnsi="宋体"/>
          <w:b/>
          <w:sz w:val="32"/>
          <w:szCs w:val="32"/>
        </w:rPr>
      </w:pPr>
      <w:bookmarkStart w:id="133" w:name="_Toc13193"/>
      <w:bookmarkStart w:id="134" w:name="_Toc11871"/>
      <w:r>
        <w:rPr>
          <w:rFonts w:hint="eastAsia" w:ascii="宋体" w:hAnsi="宋体"/>
          <w:b/>
          <w:sz w:val="28"/>
          <w:szCs w:val="28"/>
        </w:rPr>
        <w:t>附件1：</w:t>
      </w:r>
      <w:bookmarkEnd w:id="133"/>
      <w:bookmarkEnd w:id="134"/>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Times New Roman" w:hAnsi="Times New Roman"/>
          <w:b/>
          <w:sz w:val="44"/>
          <w:szCs w:val="44"/>
        </w:rPr>
      </w:pPr>
      <w:r>
        <w:rPr>
          <w:rFonts w:hint="eastAsia" w:ascii="宋体" w:hAnsi="宋体"/>
          <w:b/>
          <w:sz w:val="28"/>
          <w:szCs w:val="28"/>
        </w:rPr>
        <w:t>说明：此函用于报名时提供（请报名时同时提供盖章扫描版版本）</w:t>
      </w: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pStyle w:val="2"/>
        <w:rPr>
          <w:rFonts w:hint="eastAsia"/>
          <w:lang w:val="zh-CN" w:eastAsia="zh-CN"/>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outlineLvl w:val="0"/>
        <w:rPr>
          <w:rFonts w:ascii="宋体" w:hAnsi="宋体"/>
          <w:b/>
          <w:sz w:val="32"/>
          <w:szCs w:val="32"/>
        </w:rPr>
      </w:pPr>
      <w:bookmarkStart w:id="135" w:name="_Toc17551"/>
      <w:bookmarkStart w:id="136" w:name="_Toc24264"/>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bookmarkEnd w:id="135"/>
      <w:bookmarkEnd w:id="136"/>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outlineLvl w:val="0"/>
        <w:rPr>
          <w:rFonts w:hint="eastAsia" w:ascii="宋体" w:hAnsi="宋体"/>
          <w:b/>
          <w:sz w:val="32"/>
          <w:szCs w:val="32"/>
          <w:lang w:val="zh-CN" w:eastAsia="zh-CN"/>
        </w:rPr>
      </w:pPr>
      <w:bookmarkStart w:id="137" w:name="_Toc3370"/>
      <w:bookmarkStart w:id="138" w:name="_Toc4317"/>
      <w:r>
        <w:rPr>
          <w:rFonts w:hint="eastAsia" w:ascii="宋体" w:hAnsi="宋体"/>
          <w:b/>
          <w:sz w:val="32"/>
          <w:szCs w:val="32"/>
          <w:lang w:val="zh-CN" w:eastAsia="zh-CN"/>
        </w:rPr>
        <w:t>唱标信封</w:t>
      </w:r>
      <w:bookmarkEnd w:id="137"/>
      <w:bookmarkEnd w:id="138"/>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en-US" w:eastAsia="zh-CN"/>
        </w:rPr>
        <w:t>二</w:t>
      </w:r>
      <w:r>
        <w:rPr>
          <w:rFonts w:hint="eastAsia" w:ascii="宋体" w:hAnsi="宋体"/>
          <w:sz w:val="24"/>
          <w:lang w:val="zh-CN" w:eastAsia="zh-CN"/>
        </w:rPr>
        <w:t>、电子文件（经济、商务、技术部分文件,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9</w:t>
    </w:r>
    <w:r>
      <w:fldChar w:fldCharType="end"/>
    </w:r>
  </w:p>
  <w:p>
    <w:pPr>
      <w:pStyle w:val="14"/>
      <w:ind w:right="360"/>
    </w:pPr>
    <w:r>
      <w:rPr>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1312;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JLGbm4cAgAAIwQAAA4AAABkcnMvZTJvRG9jLnhtbK1TzY7T&#10;MBC+I/EOlu80SVvY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FnnBnR0sAP&#10;378dfvw6/PzKZkGezrqcsu4s5fn+JfRkmkjV2VuQnxwzcF0Ls1FXiNDVSpTUXhZeJidPBxwXQNbd&#10;Gyipjth6iEB9hW3QjtRghE6j2R9Ho3rPZCiZzWdpSiFJsenFWXYeZ5eI/P61RedfKWhZ2BQcafQR&#10;XexunQ/diPw+JRQzcKObJo6/MX9dUOJwo6J/xteBS2h/IOL7dT9qs4ZyT6wQBm/Rz6JNDfiFs458&#10;VXD3eStQcda8NqTMRTafByPGw/z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Sxm5u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lvl>
  </w:abstractNum>
  <w:abstractNum w:abstractNumId="1">
    <w:nsid w:val="8DE1F746"/>
    <w:multiLevelType w:val="singleLevel"/>
    <w:tmpl w:val="8DE1F746"/>
    <w:lvl w:ilvl="0" w:tentative="0">
      <w:start w:val="1"/>
      <w:numFmt w:val="decimal"/>
      <w:suff w:val="nothing"/>
      <w:lvlText w:val="%1、"/>
      <w:lvlJc w:val="left"/>
    </w:lvl>
  </w:abstractNum>
  <w:abstractNum w:abstractNumId="2">
    <w:nsid w:val="CD7AEC5A"/>
    <w:multiLevelType w:val="singleLevel"/>
    <w:tmpl w:val="CD7AEC5A"/>
    <w:lvl w:ilvl="0" w:tentative="0">
      <w:start w:val="2"/>
      <w:numFmt w:val="decimal"/>
      <w:suff w:val="nothing"/>
      <w:lvlText w:val="（%1）"/>
      <w:lvlJc w:val="left"/>
    </w:lvl>
  </w:abstractNum>
  <w:abstractNum w:abstractNumId="3">
    <w:nsid w:val="34641045"/>
    <w:multiLevelType w:val="multilevel"/>
    <w:tmpl w:val="3464104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410F1"/>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36A0"/>
    <w:rsid w:val="00545E60"/>
    <w:rsid w:val="005612B9"/>
    <w:rsid w:val="005A2DF2"/>
    <w:rsid w:val="005D4955"/>
    <w:rsid w:val="005D7202"/>
    <w:rsid w:val="005E1AE1"/>
    <w:rsid w:val="005E5FE0"/>
    <w:rsid w:val="005F395F"/>
    <w:rsid w:val="005F397C"/>
    <w:rsid w:val="005F6519"/>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0750"/>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F1530"/>
    <w:rsid w:val="021E7BF6"/>
    <w:rsid w:val="02B42BE0"/>
    <w:rsid w:val="0301396B"/>
    <w:rsid w:val="03FB660C"/>
    <w:rsid w:val="04DF7CDC"/>
    <w:rsid w:val="056C3E17"/>
    <w:rsid w:val="058762A2"/>
    <w:rsid w:val="060E0879"/>
    <w:rsid w:val="06826B71"/>
    <w:rsid w:val="06ED498F"/>
    <w:rsid w:val="071A0A86"/>
    <w:rsid w:val="075611DC"/>
    <w:rsid w:val="07BA0EE4"/>
    <w:rsid w:val="07F15F90"/>
    <w:rsid w:val="08017F69"/>
    <w:rsid w:val="081B7AD2"/>
    <w:rsid w:val="08316AA1"/>
    <w:rsid w:val="08832DAD"/>
    <w:rsid w:val="08A326C7"/>
    <w:rsid w:val="08C77405"/>
    <w:rsid w:val="08D84396"/>
    <w:rsid w:val="08F00FB1"/>
    <w:rsid w:val="09045F63"/>
    <w:rsid w:val="095011A8"/>
    <w:rsid w:val="09D14312"/>
    <w:rsid w:val="09F165F2"/>
    <w:rsid w:val="0A6A3D9C"/>
    <w:rsid w:val="0ACE33B5"/>
    <w:rsid w:val="0AD17D16"/>
    <w:rsid w:val="0BF027CF"/>
    <w:rsid w:val="0C6F58BF"/>
    <w:rsid w:val="0CB437FC"/>
    <w:rsid w:val="0CCD48BE"/>
    <w:rsid w:val="0D6B65B1"/>
    <w:rsid w:val="0D6C40D7"/>
    <w:rsid w:val="0D8853B5"/>
    <w:rsid w:val="0DBF30F1"/>
    <w:rsid w:val="0E227BFE"/>
    <w:rsid w:val="0E2F7087"/>
    <w:rsid w:val="0E320E7D"/>
    <w:rsid w:val="0E372937"/>
    <w:rsid w:val="0E3966AF"/>
    <w:rsid w:val="0E6D5011"/>
    <w:rsid w:val="0EF64AD6"/>
    <w:rsid w:val="0F101237"/>
    <w:rsid w:val="0F1F7C79"/>
    <w:rsid w:val="0F5F0DB0"/>
    <w:rsid w:val="0FA051F5"/>
    <w:rsid w:val="0FC87CEA"/>
    <w:rsid w:val="0FE95EB3"/>
    <w:rsid w:val="0FF3288D"/>
    <w:rsid w:val="100827DD"/>
    <w:rsid w:val="104A4BA3"/>
    <w:rsid w:val="1081433D"/>
    <w:rsid w:val="11395ABE"/>
    <w:rsid w:val="11836740"/>
    <w:rsid w:val="119105B0"/>
    <w:rsid w:val="11BF7F82"/>
    <w:rsid w:val="11D72467"/>
    <w:rsid w:val="12A33949"/>
    <w:rsid w:val="133525F6"/>
    <w:rsid w:val="13CE7899"/>
    <w:rsid w:val="13E254C0"/>
    <w:rsid w:val="13EC5F71"/>
    <w:rsid w:val="13FF7A53"/>
    <w:rsid w:val="14105F42"/>
    <w:rsid w:val="14280708"/>
    <w:rsid w:val="14726477"/>
    <w:rsid w:val="14764D74"/>
    <w:rsid w:val="148C4AF4"/>
    <w:rsid w:val="15604521"/>
    <w:rsid w:val="15831407"/>
    <w:rsid w:val="15CE592F"/>
    <w:rsid w:val="15E721B8"/>
    <w:rsid w:val="15F335E7"/>
    <w:rsid w:val="16810BF3"/>
    <w:rsid w:val="16AC2D8D"/>
    <w:rsid w:val="16B74615"/>
    <w:rsid w:val="16CD1684"/>
    <w:rsid w:val="178B6D3F"/>
    <w:rsid w:val="17F77636"/>
    <w:rsid w:val="183121A5"/>
    <w:rsid w:val="183D5C21"/>
    <w:rsid w:val="18B43502"/>
    <w:rsid w:val="18E23A6B"/>
    <w:rsid w:val="190653E0"/>
    <w:rsid w:val="191B532F"/>
    <w:rsid w:val="19467ED2"/>
    <w:rsid w:val="19A3296E"/>
    <w:rsid w:val="19C65D9F"/>
    <w:rsid w:val="19D454DE"/>
    <w:rsid w:val="19D47BD2"/>
    <w:rsid w:val="19F00522"/>
    <w:rsid w:val="1A554870"/>
    <w:rsid w:val="1AEA29E4"/>
    <w:rsid w:val="1C0320AA"/>
    <w:rsid w:val="1C1870D6"/>
    <w:rsid w:val="1C3F3996"/>
    <w:rsid w:val="1C9A2A0F"/>
    <w:rsid w:val="1D0165EA"/>
    <w:rsid w:val="1DB271C8"/>
    <w:rsid w:val="1DE32193"/>
    <w:rsid w:val="1E957931"/>
    <w:rsid w:val="1EBF6BEE"/>
    <w:rsid w:val="202A4A12"/>
    <w:rsid w:val="20912119"/>
    <w:rsid w:val="214C7D90"/>
    <w:rsid w:val="219739C1"/>
    <w:rsid w:val="223E4DC1"/>
    <w:rsid w:val="22BD7B2C"/>
    <w:rsid w:val="23265CE2"/>
    <w:rsid w:val="23542924"/>
    <w:rsid w:val="23A75CEC"/>
    <w:rsid w:val="23AE592B"/>
    <w:rsid w:val="23D9206E"/>
    <w:rsid w:val="244A4D1A"/>
    <w:rsid w:val="247F2548"/>
    <w:rsid w:val="249661B1"/>
    <w:rsid w:val="24A106B2"/>
    <w:rsid w:val="24D26ABE"/>
    <w:rsid w:val="24DD7FBD"/>
    <w:rsid w:val="255E5120"/>
    <w:rsid w:val="259E3553"/>
    <w:rsid w:val="259E483A"/>
    <w:rsid w:val="25AB3597"/>
    <w:rsid w:val="262B0B7B"/>
    <w:rsid w:val="266B0CB5"/>
    <w:rsid w:val="26740622"/>
    <w:rsid w:val="26C223CD"/>
    <w:rsid w:val="26F61189"/>
    <w:rsid w:val="27E10D46"/>
    <w:rsid w:val="2835447C"/>
    <w:rsid w:val="28955FC4"/>
    <w:rsid w:val="28AB7D51"/>
    <w:rsid w:val="29772BAB"/>
    <w:rsid w:val="2A1C67A5"/>
    <w:rsid w:val="2A604F7C"/>
    <w:rsid w:val="2B110340"/>
    <w:rsid w:val="2B1C0A93"/>
    <w:rsid w:val="2B65068C"/>
    <w:rsid w:val="2B721AE7"/>
    <w:rsid w:val="2BB37649"/>
    <w:rsid w:val="2C016606"/>
    <w:rsid w:val="2C386181"/>
    <w:rsid w:val="2C3B13EC"/>
    <w:rsid w:val="2C735A49"/>
    <w:rsid w:val="2C863AE7"/>
    <w:rsid w:val="2C8C0643"/>
    <w:rsid w:val="2C8E776E"/>
    <w:rsid w:val="2C994A91"/>
    <w:rsid w:val="2CB71A61"/>
    <w:rsid w:val="2D870D8D"/>
    <w:rsid w:val="2E050A65"/>
    <w:rsid w:val="2FAA48BF"/>
    <w:rsid w:val="2FC8743B"/>
    <w:rsid w:val="301B64B2"/>
    <w:rsid w:val="30383DBF"/>
    <w:rsid w:val="303A20E7"/>
    <w:rsid w:val="30564A47"/>
    <w:rsid w:val="30B5176D"/>
    <w:rsid w:val="30DF2C8E"/>
    <w:rsid w:val="30EC388A"/>
    <w:rsid w:val="31091285"/>
    <w:rsid w:val="310D4304"/>
    <w:rsid w:val="319B4E07"/>
    <w:rsid w:val="31A33CBC"/>
    <w:rsid w:val="31CD5F31"/>
    <w:rsid w:val="323B5CA2"/>
    <w:rsid w:val="325D3E6B"/>
    <w:rsid w:val="328B4C42"/>
    <w:rsid w:val="329A50BF"/>
    <w:rsid w:val="33081CE6"/>
    <w:rsid w:val="33087264"/>
    <w:rsid w:val="33233306"/>
    <w:rsid w:val="340A0022"/>
    <w:rsid w:val="34126ED7"/>
    <w:rsid w:val="34B573C6"/>
    <w:rsid w:val="34E16FD5"/>
    <w:rsid w:val="351363AE"/>
    <w:rsid w:val="35EE068B"/>
    <w:rsid w:val="36154A5C"/>
    <w:rsid w:val="361C5DEB"/>
    <w:rsid w:val="3627310D"/>
    <w:rsid w:val="363E0A3D"/>
    <w:rsid w:val="36404284"/>
    <w:rsid w:val="36484E32"/>
    <w:rsid w:val="3659786E"/>
    <w:rsid w:val="36A22794"/>
    <w:rsid w:val="36A54032"/>
    <w:rsid w:val="374231E4"/>
    <w:rsid w:val="376750EE"/>
    <w:rsid w:val="377B1D88"/>
    <w:rsid w:val="37D637DB"/>
    <w:rsid w:val="38521F98"/>
    <w:rsid w:val="38637D01"/>
    <w:rsid w:val="38B679EB"/>
    <w:rsid w:val="38C23261"/>
    <w:rsid w:val="390E4110"/>
    <w:rsid w:val="3938603F"/>
    <w:rsid w:val="397C5018"/>
    <w:rsid w:val="39CE5556"/>
    <w:rsid w:val="39F03816"/>
    <w:rsid w:val="3A090EE3"/>
    <w:rsid w:val="3A5804DA"/>
    <w:rsid w:val="3AFD268F"/>
    <w:rsid w:val="3B480B25"/>
    <w:rsid w:val="3B4A590F"/>
    <w:rsid w:val="3B5616C9"/>
    <w:rsid w:val="3B770AF7"/>
    <w:rsid w:val="3BFA4E20"/>
    <w:rsid w:val="3CDF465B"/>
    <w:rsid w:val="3D2462F2"/>
    <w:rsid w:val="3D517B36"/>
    <w:rsid w:val="3D8A3F82"/>
    <w:rsid w:val="3D913562"/>
    <w:rsid w:val="3DC56D68"/>
    <w:rsid w:val="3E014244"/>
    <w:rsid w:val="3EB92C6F"/>
    <w:rsid w:val="3EC92095"/>
    <w:rsid w:val="3EF47905"/>
    <w:rsid w:val="3F0F2990"/>
    <w:rsid w:val="3F395C5F"/>
    <w:rsid w:val="3F4717BC"/>
    <w:rsid w:val="3FB4291A"/>
    <w:rsid w:val="400949F3"/>
    <w:rsid w:val="4047732E"/>
    <w:rsid w:val="40AD2461"/>
    <w:rsid w:val="40F260C6"/>
    <w:rsid w:val="412F7A1F"/>
    <w:rsid w:val="422E63C7"/>
    <w:rsid w:val="4234096F"/>
    <w:rsid w:val="42660B19"/>
    <w:rsid w:val="42742767"/>
    <w:rsid w:val="42C01E6B"/>
    <w:rsid w:val="42D15518"/>
    <w:rsid w:val="42DB4FD0"/>
    <w:rsid w:val="42F0341C"/>
    <w:rsid w:val="42FF7133"/>
    <w:rsid w:val="43317379"/>
    <w:rsid w:val="43805C0B"/>
    <w:rsid w:val="43AC67F2"/>
    <w:rsid w:val="43FC24EA"/>
    <w:rsid w:val="45815C6A"/>
    <w:rsid w:val="45B55700"/>
    <w:rsid w:val="46656E12"/>
    <w:rsid w:val="46B207D1"/>
    <w:rsid w:val="46C91677"/>
    <w:rsid w:val="4706757D"/>
    <w:rsid w:val="473F2A8E"/>
    <w:rsid w:val="47983216"/>
    <w:rsid w:val="47FE17F4"/>
    <w:rsid w:val="482C6361"/>
    <w:rsid w:val="49122BB9"/>
    <w:rsid w:val="49240842"/>
    <w:rsid w:val="49345544"/>
    <w:rsid w:val="493D1FC9"/>
    <w:rsid w:val="4957524C"/>
    <w:rsid w:val="49724248"/>
    <w:rsid w:val="4A2C089A"/>
    <w:rsid w:val="4A51742D"/>
    <w:rsid w:val="4A772E03"/>
    <w:rsid w:val="4A875AD1"/>
    <w:rsid w:val="4AD30D16"/>
    <w:rsid w:val="4AE90539"/>
    <w:rsid w:val="4C082C41"/>
    <w:rsid w:val="4C1C5F2C"/>
    <w:rsid w:val="4C4A325A"/>
    <w:rsid w:val="4CAC7A71"/>
    <w:rsid w:val="4CCE1CAD"/>
    <w:rsid w:val="4D1D58D1"/>
    <w:rsid w:val="4D2277E0"/>
    <w:rsid w:val="4D387541"/>
    <w:rsid w:val="4D52686A"/>
    <w:rsid w:val="4DC62DB4"/>
    <w:rsid w:val="4DCA372B"/>
    <w:rsid w:val="4DEC1CDA"/>
    <w:rsid w:val="4E2F6BAB"/>
    <w:rsid w:val="4E47504E"/>
    <w:rsid w:val="4E9407BC"/>
    <w:rsid w:val="4E9940F4"/>
    <w:rsid w:val="4ED26374"/>
    <w:rsid w:val="4EE31744"/>
    <w:rsid w:val="4EF120B3"/>
    <w:rsid w:val="4EFB2405"/>
    <w:rsid w:val="4F5F738E"/>
    <w:rsid w:val="4FCA24AD"/>
    <w:rsid w:val="5016365B"/>
    <w:rsid w:val="501E2A33"/>
    <w:rsid w:val="50225A6E"/>
    <w:rsid w:val="522861C2"/>
    <w:rsid w:val="52422ABD"/>
    <w:rsid w:val="531B5950"/>
    <w:rsid w:val="53346A12"/>
    <w:rsid w:val="533F163E"/>
    <w:rsid w:val="53D06A4C"/>
    <w:rsid w:val="53FA1AFA"/>
    <w:rsid w:val="54D758A7"/>
    <w:rsid w:val="55DE2EED"/>
    <w:rsid w:val="55FD30EB"/>
    <w:rsid w:val="5603538F"/>
    <w:rsid w:val="56043D8E"/>
    <w:rsid w:val="565078CA"/>
    <w:rsid w:val="56780F3B"/>
    <w:rsid w:val="575F3181"/>
    <w:rsid w:val="57C87729"/>
    <w:rsid w:val="580C5867"/>
    <w:rsid w:val="582622EE"/>
    <w:rsid w:val="582B1003"/>
    <w:rsid w:val="584056B0"/>
    <w:rsid w:val="586F0C14"/>
    <w:rsid w:val="588E40F0"/>
    <w:rsid w:val="58F935F8"/>
    <w:rsid w:val="592310BA"/>
    <w:rsid w:val="59E06FAB"/>
    <w:rsid w:val="5A1D0200"/>
    <w:rsid w:val="5A1F5D26"/>
    <w:rsid w:val="5A843DDB"/>
    <w:rsid w:val="5A8E2EAB"/>
    <w:rsid w:val="5AAE35E9"/>
    <w:rsid w:val="5AD07876"/>
    <w:rsid w:val="5B450AC7"/>
    <w:rsid w:val="5B9503D3"/>
    <w:rsid w:val="5BB15CA3"/>
    <w:rsid w:val="5C583771"/>
    <w:rsid w:val="5D1565CE"/>
    <w:rsid w:val="5D34076D"/>
    <w:rsid w:val="5D5072FA"/>
    <w:rsid w:val="5D574DAC"/>
    <w:rsid w:val="5D5F79B2"/>
    <w:rsid w:val="5E0A18FC"/>
    <w:rsid w:val="5F223BC2"/>
    <w:rsid w:val="5F3F6522"/>
    <w:rsid w:val="5FD7077C"/>
    <w:rsid w:val="5FEB6C7E"/>
    <w:rsid w:val="5FF33056"/>
    <w:rsid w:val="60433DF0"/>
    <w:rsid w:val="60ED7350"/>
    <w:rsid w:val="613F38F1"/>
    <w:rsid w:val="61616C24"/>
    <w:rsid w:val="617526CF"/>
    <w:rsid w:val="61F835D7"/>
    <w:rsid w:val="62215847"/>
    <w:rsid w:val="625D388F"/>
    <w:rsid w:val="62670998"/>
    <w:rsid w:val="62967742"/>
    <w:rsid w:val="62F525F1"/>
    <w:rsid w:val="62FF66F4"/>
    <w:rsid w:val="631B2E02"/>
    <w:rsid w:val="63273E9D"/>
    <w:rsid w:val="63E105AB"/>
    <w:rsid w:val="64504D2E"/>
    <w:rsid w:val="6454481E"/>
    <w:rsid w:val="64E8231E"/>
    <w:rsid w:val="65EE6DB5"/>
    <w:rsid w:val="663D727E"/>
    <w:rsid w:val="66507267"/>
    <w:rsid w:val="66A82BFF"/>
    <w:rsid w:val="678E4256"/>
    <w:rsid w:val="67B2260D"/>
    <w:rsid w:val="68514279"/>
    <w:rsid w:val="68DE6DAC"/>
    <w:rsid w:val="69112A53"/>
    <w:rsid w:val="6970439A"/>
    <w:rsid w:val="69C35B5F"/>
    <w:rsid w:val="69DD23A3"/>
    <w:rsid w:val="69EC1FB1"/>
    <w:rsid w:val="6A1707C7"/>
    <w:rsid w:val="6A1B0498"/>
    <w:rsid w:val="6A85532E"/>
    <w:rsid w:val="6B146AB5"/>
    <w:rsid w:val="6B3B681F"/>
    <w:rsid w:val="6BE1571C"/>
    <w:rsid w:val="6BF07522"/>
    <w:rsid w:val="6C4433CA"/>
    <w:rsid w:val="6C91633E"/>
    <w:rsid w:val="6CBB2471"/>
    <w:rsid w:val="6D4F6835"/>
    <w:rsid w:val="6DFA6436"/>
    <w:rsid w:val="6DFB1A8E"/>
    <w:rsid w:val="6EAE7221"/>
    <w:rsid w:val="6EDA1C3E"/>
    <w:rsid w:val="6FAD74D8"/>
    <w:rsid w:val="70102902"/>
    <w:rsid w:val="7016507D"/>
    <w:rsid w:val="7054185C"/>
    <w:rsid w:val="70840239"/>
    <w:rsid w:val="71557E27"/>
    <w:rsid w:val="71B24B05"/>
    <w:rsid w:val="71BB5EDC"/>
    <w:rsid w:val="7261193D"/>
    <w:rsid w:val="7286069E"/>
    <w:rsid w:val="72C60FDD"/>
    <w:rsid w:val="730B2CC7"/>
    <w:rsid w:val="731A091D"/>
    <w:rsid w:val="74447A52"/>
    <w:rsid w:val="74582108"/>
    <w:rsid w:val="74605AC3"/>
    <w:rsid w:val="74791184"/>
    <w:rsid w:val="748C6809"/>
    <w:rsid w:val="75383CE8"/>
    <w:rsid w:val="75706FDE"/>
    <w:rsid w:val="75B3681E"/>
    <w:rsid w:val="75FE0A8D"/>
    <w:rsid w:val="761A596B"/>
    <w:rsid w:val="762C4E73"/>
    <w:rsid w:val="76821758"/>
    <w:rsid w:val="76CF5B49"/>
    <w:rsid w:val="76F105F2"/>
    <w:rsid w:val="76F812E1"/>
    <w:rsid w:val="77277298"/>
    <w:rsid w:val="772B730B"/>
    <w:rsid w:val="775D1F61"/>
    <w:rsid w:val="775D7A36"/>
    <w:rsid w:val="77894387"/>
    <w:rsid w:val="779D6084"/>
    <w:rsid w:val="77B21B30"/>
    <w:rsid w:val="77E141C3"/>
    <w:rsid w:val="77F02797"/>
    <w:rsid w:val="78061E7B"/>
    <w:rsid w:val="783C3895"/>
    <w:rsid w:val="78454752"/>
    <w:rsid w:val="78880AE2"/>
    <w:rsid w:val="78BB2C66"/>
    <w:rsid w:val="794F01B6"/>
    <w:rsid w:val="7A296C72"/>
    <w:rsid w:val="7A49604F"/>
    <w:rsid w:val="7A543372"/>
    <w:rsid w:val="7A954BD9"/>
    <w:rsid w:val="7AC83418"/>
    <w:rsid w:val="7ADC6EC3"/>
    <w:rsid w:val="7AEF4E49"/>
    <w:rsid w:val="7B222DA4"/>
    <w:rsid w:val="7B226FCC"/>
    <w:rsid w:val="7B3B0949"/>
    <w:rsid w:val="7B7C4380"/>
    <w:rsid w:val="7B8E6410"/>
    <w:rsid w:val="7BC2430B"/>
    <w:rsid w:val="7BEB5610"/>
    <w:rsid w:val="7C923CDE"/>
    <w:rsid w:val="7D252DA4"/>
    <w:rsid w:val="7DD217B0"/>
    <w:rsid w:val="7E521976"/>
    <w:rsid w:val="7E6A0FEA"/>
    <w:rsid w:val="7E7A0936"/>
    <w:rsid w:val="7F12645F"/>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2"/>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paragraph" w:styleId="6">
    <w:name w:val="heading 4"/>
    <w:basedOn w:val="1"/>
    <w:next w:val="1"/>
    <w:link w:val="35"/>
    <w:unhideWhenUsed/>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0">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4"/>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39"/>
    <w:qFormat/>
    <w:uiPriority w:val="0"/>
    <w:pPr>
      <w:spacing w:after="120" w:line="360" w:lineRule="auto"/>
    </w:pPr>
    <w:rPr>
      <w:sz w:val="16"/>
      <w:szCs w:val="16"/>
    </w:rPr>
  </w:style>
  <w:style w:type="paragraph" w:styleId="10">
    <w:name w:val="Body Text"/>
    <w:basedOn w:val="1"/>
    <w:qFormat/>
    <w:uiPriority w:val="0"/>
    <w:pPr>
      <w:spacing w:line="360" w:lineRule="auto"/>
    </w:pPr>
    <w:rPr>
      <w:rFonts w:ascii="Times New Roman" w:hAnsi="Times New Roman" w:eastAsia="宋体" w:cs="Times New Roman"/>
      <w:szCs w:val="20"/>
    </w:rPr>
  </w:style>
  <w:style w:type="paragraph" w:styleId="11">
    <w:name w:val="Body Text Indent"/>
    <w:basedOn w:val="1"/>
    <w:qFormat/>
    <w:uiPriority w:val="0"/>
    <w:pPr>
      <w:ind w:left="540" w:leftChars="257" w:firstLine="20" w:firstLineChars="7"/>
    </w:pPr>
    <w:rPr>
      <w:sz w:val="24"/>
    </w:rPr>
  </w:style>
  <w:style w:type="paragraph" w:styleId="12">
    <w:name w:val="Plain Text"/>
    <w:basedOn w:val="1"/>
    <w:link w:val="38"/>
    <w:qFormat/>
    <w:uiPriority w:val="0"/>
    <w:rPr>
      <w:rFonts w:ascii="宋体" w:hAnsi="Courier New"/>
      <w:kern w:val="0"/>
      <w:sz w:val="20"/>
      <w:szCs w:val="20"/>
    </w:rPr>
  </w:style>
  <w:style w:type="paragraph" w:styleId="13">
    <w:name w:val="Date"/>
    <w:basedOn w:val="1"/>
    <w:next w:val="1"/>
    <w:qFormat/>
    <w:uiPriority w:val="0"/>
    <w:pPr>
      <w:ind w:left="100" w:leftChars="2500"/>
    </w:pPr>
    <w:rPr>
      <w:sz w:val="24"/>
      <w:szCs w:val="20"/>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cs="Times New Roman"/>
    </w:rPr>
  </w:style>
  <w:style w:type="character" w:styleId="25">
    <w:name w:val="Hyperlink"/>
    <w:basedOn w:val="22"/>
    <w:qFormat/>
    <w:uiPriority w:val="0"/>
    <w:rPr>
      <w:color w:val="0000FF"/>
      <w:u w:val="single"/>
    </w:rPr>
  </w:style>
  <w:style w:type="paragraph" w:customStyle="1" w:styleId="26">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7">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8">
    <w:name w:val="题注5"/>
    <w:basedOn w:val="1"/>
    <w:next w:val="8"/>
    <w:qFormat/>
    <w:uiPriority w:val="0"/>
    <w:pPr>
      <w:jc w:val="center"/>
    </w:pPr>
    <w:rPr>
      <w:rFonts w:ascii="Times New Roman" w:hAnsi="Times New Roman"/>
      <w:b/>
      <w:color w:val="000000"/>
      <w:sz w:val="24"/>
      <w:szCs w:val="21"/>
    </w:rPr>
  </w:style>
  <w:style w:type="paragraph" w:customStyle="1" w:styleId="29">
    <w:name w:val="表格文字"/>
    <w:basedOn w:val="1"/>
    <w:qFormat/>
    <w:uiPriority w:val="0"/>
    <w:pPr>
      <w:spacing w:before="25" w:after="25" w:line="300" w:lineRule="auto"/>
    </w:pPr>
    <w:rPr>
      <w:rFonts w:ascii="Times" w:hAnsi="Times"/>
      <w:spacing w:val="10"/>
      <w:kern w:val="0"/>
      <w:sz w:val="24"/>
      <w:szCs w:val="20"/>
    </w:rPr>
  </w:style>
  <w:style w:type="character" w:customStyle="1" w:styleId="30">
    <w:name w:val="页脚 Char"/>
    <w:basedOn w:val="22"/>
    <w:link w:val="14"/>
    <w:semiHidden/>
    <w:qFormat/>
    <w:uiPriority w:val="99"/>
    <w:rPr>
      <w:kern w:val="2"/>
      <w:sz w:val="18"/>
      <w:szCs w:val="18"/>
    </w:rPr>
  </w:style>
  <w:style w:type="character" w:customStyle="1" w:styleId="31">
    <w:name w:val="页眉 Char"/>
    <w:basedOn w:val="22"/>
    <w:link w:val="15"/>
    <w:semiHidden/>
    <w:qFormat/>
    <w:uiPriority w:val="99"/>
    <w:rPr>
      <w:kern w:val="2"/>
      <w:sz w:val="18"/>
      <w:szCs w:val="18"/>
    </w:rPr>
  </w:style>
  <w:style w:type="character" w:customStyle="1" w:styleId="32">
    <w:name w:val="标题 2 Char"/>
    <w:basedOn w:val="22"/>
    <w:link w:val="4"/>
    <w:qFormat/>
    <w:uiPriority w:val="0"/>
    <w:rPr>
      <w:rFonts w:ascii="Arial" w:hAnsi="Arial" w:eastAsia="黑体"/>
      <w:b/>
      <w:bCs/>
      <w:sz w:val="32"/>
      <w:szCs w:val="32"/>
    </w:rPr>
  </w:style>
  <w:style w:type="character" w:customStyle="1" w:styleId="33">
    <w:name w:val="标题 3 Char"/>
    <w:basedOn w:val="22"/>
    <w:link w:val="5"/>
    <w:qFormat/>
    <w:uiPriority w:val="0"/>
    <w:rPr>
      <w:b/>
      <w:bCs/>
      <w:kern w:val="2"/>
      <w:sz w:val="32"/>
      <w:szCs w:val="32"/>
    </w:rPr>
  </w:style>
  <w:style w:type="character" w:customStyle="1" w:styleId="34">
    <w:name w:val="正文缩进 Char"/>
    <w:link w:val="7"/>
    <w:qFormat/>
    <w:uiPriority w:val="0"/>
    <w:rPr>
      <w:kern w:val="2"/>
      <w:sz w:val="21"/>
      <w:szCs w:val="24"/>
    </w:rPr>
  </w:style>
  <w:style w:type="character" w:customStyle="1" w:styleId="35">
    <w:name w:val="标题 4 Char"/>
    <w:basedOn w:val="22"/>
    <w:link w:val="6"/>
    <w:qFormat/>
    <w:uiPriority w:val="9"/>
    <w:rPr>
      <w:rFonts w:ascii="Cambria" w:hAnsi="Cambria"/>
      <w:b/>
      <w:bCs/>
      <w:kern w:val="2"/>
      <w:sz w:val="28"/>
      <w:szCs w:val="28"/>
    </w:rPr>
  </w:style>
  <w:style w:type="character" w:customStyle="1" w:styleId="36">
    <w:name w:val="纯文本 Char"/>
    <w:link w:val="12"/>
    <w:qFormat/>
    <w:uiPriority w:val="0"/>
    <w:rPr>
      <w:rFonts w:ascii="宋体" w:hAnsi="Courier New"/>
    </w:rPr>
  </w:style>
  <w:style w:type="character" w:customStyle="1" w:styleId="37">
    <w:name w:val="正文文本 3 Char1"/>
    <w:basedOn w:val="22"/>
    <w:link w:val="9"/>
    <w:semiHidden/>
    <w:qFormat/>
    <w:uiPriority w:val="99"/>
    <w:rPr>
      <w:kern w:val="2"/>
      <w:sz w:val="16"/>
      <w:szCs w:val="16"/>
    </w:rPr>
  </w:style>
  <w:style w:type="character" w:customStyle="1" w:styleId="38">
    <w:name w:val="纯文本 Char1"/>
    <w:basedOn w:val="22"/>
    <w:link w:val="12"/>
    <w:qFormat/>
    <w:uiPriority w:val="0"/>
    <w:rPr>
      <w:rFonts w:ascii="宋体" w:hAnsi="Courier New" w:cs="Courier New"/>
      <w:kern w:val="2"/>
      <w:sz w:val="21"/>
      <w:szCs w:val="21"/>
    </w:rPr>
  </w:style>
  <w:style w:type="character" w:customStyle="1" w:styleId="39">
    <w:name w:val="正文文本 3 Char"/>
    <w:link w:val="9"/>
    <w:qFormat/>
    <w:uiPriority w:val="0"/>
    <w:rPr>
      <w:kern w:val="2"/>
      <w:sz w:val="16"/>
      <w:szCs w:val="16"/>
    </w:rPr>
  </w:style>
  <w:style w:type="paragraph" w:styleId="40">
    <w:name w:val="List Paragraph"/>
    <w:basedOn w:val="1"/>
    <w:qFormat/>
    <w:uiPriority w:val="34"/>
    <w:pPr>
      <w:ind w:firstLine="420" w:firstLineChars="200"/>
    </w:pPr>
  </w:style>
  <w:style w:type="paragraph" w:customStyle="1" w:styleId="41">
    <w:name w:val="p0"/>
    <w:basedOn w:val="1"/>
    <w:qFormat/>
    <w:uiPriority w:val="0"/>
    <w:pPr>
      <w:widowControl/>
    </w:pPr>
    <w:rPr>
      <w:kern w:val="0"/>
      <w:szCs w:val="21"/>
    </w:rPr>
  </w:style>
  <w:style w:type="character" w:customStyle="1" w:styleId="42">
    <w:name w:val="ca-12"/>
    <w:qFormat/>
    <w:uiPriority w:val="0"/>
    <w:rPr>
      <w:rFonts w:eastAsia="宋体" w:cs="Times New Roman"/>
      <w:kern w:val="2"/>
      <w:sz w:val="24"/>
      <w:szCs w:val="24"/>
      <w:lang w:val="en-US" w:eastAsia="zh-CN" w:bidi="ar-SA"/>
    </w:rPr>
  </w:style>
  <w:style w:type="paragraph" w:customStyle="1" w:styleId="43">
    <w:name w:val="文档正文"/>
    <w:basedOn w:val="1"/>
    <w:qFormat/>
    <w:uiPriority w:val="0"/>
    <w:pPr>
      <w:spacing w:line="360" w:lineRule="auto"/>
    </w:pPr>
    <w:rPr>
      <w:rFonts w:ascii="Arial" w:hAnsi="Arial" w:cs="Arial"/>
      <w:sz w:val="24"/>
    </w:rPr>
  </w:style>
  <w:style w:type="paragraph" w:customStyle="1" w:styleId="4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第一部分&#13;&#10;&#13;&#10;投 标 邀 请 函"/>
    </customSectPr>
    <customSectPr>
      <sectNamePr val="第一部分&#13;&#10;&#13;&#10;投 标 邀 请 函"/>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20</TotalTime>
  <ScaleCrop>false</ScaleCrop>
  <LinksUpToDate>false</LinksUpToDate>
  <CharactersWithSpaces>35322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dcterms:modified xsi:type="dcterms:W3CDTF">2021-12-10T01:24:16Z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DFB21B123DBE4A34AD67FD00880233E9</vt:lpwstr>
  </property>
</Properties>
</file>