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8" w:leftChars="85" w:right="171" w:rightChars="61"/>
        <w:rPr>
          <w:rFonts w:ascii="黑体" w:eastAsia="黑体"/>
        </w:rPr>
      </w:pPr>
    </w:p>
    <w:p>
      <w:pPr>
        <w:ind w:left="238" w:leftChars="85" w:right="171" w:rightChars="61"/>
        <w:rPr>
          <w:rFonts w:ascii="黑体" w:eastAsia="黑体"/>
        </w:rPr>
      </w:pPr>
      <w:r>
        <w:rPr>
          <w:rFonts w:hint="eastAsia" w:ascii="黑体" w:eastAsia="黑体"/>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99060</wp:posOffset>
            </wp:positionV>
            <wp:extent cx="1028700" cy="552450"/>
            <wp:effectExtent l="19050" t="0" r="0" b="0"/>
            <wp:wrapNone/>
            <wp:docPr id="5" name="图片 2"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JSIEC LOGO"/>
                    <pic:cNvPicPr>
                      <a:picLocks noChangeAspect="1" noChangeArrowheads="1"/>
                    </pic:cNvPicPr>
                  </pic:nvPicPr>
                  <pic:blipFill>
                    <a:blip r:embed="rId14" cstate="print"/>
                    <a:srcRect/>
                    <a:stretch>
                      <a:fillRect/>
                    </a:stretch>
                  </pic:blipFill>
                  <pic:spPr>
                    <a:xfrm>
                      <a:off x="0" y="0"/>
                      <a:ext cx="1028700" cy="552450"/>
                    </a:xfrm>
                    <a:prstGeom prst="rect">
                      <a:avLst/>
                    </a:prstGeom>
                    <a:noFill/>
                    <a:ln w="9525">
                      <a:noFill/>
                      <a:miter lim="800000"/>
                      <a:headEnd/>
                      <a:tailEnd/>
                    </a:ln>
                  </pic:spPr>
                </pic:pic>
              </a:graphicData>
            </a:graphic>
          </wp:anchor>
        </w:drawing>
      </w:r>
    </w:p>
    <w:p>
      <w:pPr>
        <w:ind w:left="238" w:leftChars="85" w:right="171" w:rightChars="61"/>
        <w:rPr>
          <w:rFonts w:ascii="黑体" w:eastAsia="黑体"/>
        </w:rPr>
      </w:pPr>
    </w:p>
    <w:p>
      <w:pPr>
        <w:ind w:left="238" w:leftChars="85" w:right="171" w:rightChars="61"/>
        <w:rPr>
          <w:rFonts w:ascii="黑体" w:eastAsia="黑体"/>
        </w:rPr>
      </w:pPr>
    </w:p>
    <w:p>
      <w:pPr>
        <w:ind w:left="238" w:leftChars="85" w:right="171" w:rightChars="61"/>
        <w:rPr>
          <w:rFonts w:ascii="黑体" w:eastAsia="黑体"/>
        </w:rPr>
      </w:pPr>
    </w:p>
    <w:p>
      <w:pPr>
        <w:ind w:left="238" w:leftChars="85" w:right="171" w:rightChars="61"/>
        <w:jc w:val="center"/>
        <w:rPr>
          <w:rFonts w:ascii="黑体" w:eastAsia="黑体"/>
          <w:sz w:val="64"/>
          <w:szCs w:val="64"/>
        </w:rPr>
      </w:pPr>
      <w:r>
        <w:rPr>
          <w:rFonts w:hint="eastAsia" w:ascii="黑体" w:eastAsia="黑体"/>
          <w:sz w:val="64"/>
          <w:szCs w:val="64"/>
        </w:rPr>
        <w:t>汕头大学·香港中文大学联合</w:t>
      </w:r>
    </w:p>
    <w:p>
      <w:pPr>
        <w:ind w:left="238" w:leftChars="85" w:right="171" w:rightChars="61"/>
        <w:jc w:val="center"/>
        <w:rPr>
          <w:rFonts w:ascii="黑体" w:eastAsia="黑体"/>
          <w:sz w:val="64"/>
          <w:szCs w:val="64"/>
        </w:rPr>
      </w:pPr>
      <w:r>
        <w:rPr>
          <w:rFonts w:hint="eastAsia" w:ascii="黑体" w:eastAsia="黑体"/>
          <w:sz w:val="64"/>
          <w:szCs w:val="64"/>
        </w:rPr>
        <w:t>汕头国际眼科中心</w:t>
      </w:r>
    </w:p>
    <w:p>
      <w:pPr>
        <w:ind w:left="238" w:leftChars="85" w:right="171" w:rightChars="61"/>
        <w:jc w:val="center"/>
        <w:rPr>
          <w:rFonts w:ascii="黑体" w:eastAsia="黑体"/>
          <w:sz w:val="64"/>
          <w:szCs w:val="64"/>
        </w:rPr>
      </w:pPr>
    </w:p>
    <w:p>
      <w:pPr>
        <w:ind w:left="238" w:leftChars="85" w:right="171" w:rightChars="61"/>
        <w:jc w:val="center"/>
        <w:rPr>
          <w:rFonts w:ascii="黑体" w:eastAsia="黑体"/>
          <w:sz w:val="160"/>
          <w:szCs w:val="160"/>
        </w:rPr>
      </w:pPr>
      <w:r>
        <w:rPr>
          <w:rFonts w:hint="eastAsia" w:ascii="黑体" w:eastAsia="黑体"/>
          <w:sz w:val="160"/>
          <w:szCs w:val="160"/>
        </w:rPr>
        <w:t>遴选材料</w:t>
      </w:r>
    </w:p>
    <w:p>
      <w:pPr>
        <w:ind w:left="238" w:leftChars="85" w:right="171" w:rightChars="61"/>
        <w:jc w:val="center"/>
        <w:rPr>
          <w:rFonts w:ascii="黑体" w:eastAsia="黑体"/>
          <w:sz w:val="64"/>
          <w:szCs w:val="64"/>
        </w:rPr>
      </w:pP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遴选</w:t>
            </w:r>
            <w:r>
              <w:rPr>
                <w:rFonts w:hint="eastAsia" w:ascii="黑体" w:eastAsia="黑体"/>
                <w:sz w:val="48"/>
                <w:szCs w:val="48"/>
              </w:rPr>
              <w:t>项目</w:t>
            </w:r>
          </w:p>
        </w:tc>
        <w:tc>
          <w:tcPr>
            <w:tcW w:w="5580" w:type="dxa"/>
            <w:vAlign w:val="center"/>
          </w:tcPr>
          <w:p>
            <w:pPr>
              <w:ind w:left="52" w:right="171" w:rightChars="61"/>
              <w:rPr>
                <w:rFonts w:ascii="黑体" w:eastAsia="黑体"/>
                <w:sz w:val="48"/>
                <w:szCs w:val="48"/>
              </w:rPr>
            </w:pPr>
            <w:r>
              <w:rPr>
                <w:rFonts w:hint="eastAsia" w:ascii="黑体" w:eastAsia="黑体"/>
                <w:sz w:val="48"/>
                <w:szCs w:val="48"/>
              </w:rPr>
              <w:t>采购招标代理服务机构遴选项目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项目编</w:t>
            </w:r>
            <w:r>
              <w:rPr>
                <w:rFonts w:hint="eastAsia" w:ascii="黑体" w:eastAsia="黑体"/>
                <w:sz w:val="48"/>
                <w:szCs w:val="48"/>
              </w:rPr>
              <w:t>号</w:t>
            </w:r>
          </w:p>
        </w:tc>
        <w:tc>
          <w:tcPr>
            <w:tcW w:w="5580" w:type="dxa"/>
            <w:vAlign w:val="center"/>
          </w:tcPr>
          <w:p>
            <w:pPr>
              <w:ind w:left="52" w:right="171" w:rightChars="61"/>
              <w:rPr>
                <w:rFonts w:ascii="黑体" w:eastAsia="黑体"/>
                <w:sz w:val="48"/>
                <w:szCs w:val="48"/>
              </w:rPr>
            </w:pPr>
            <w:r>
              <w:rPr>
                <w:rFonts w:hint="eastAsia" w:ascii="黑体" w:eastAsia="黑体"/>
                <w:sz w:val="48"/>
                <w:szCs w:val="48"/>
              </w:rPr>
              <w:t>E03Y00099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lang w:val="en-US" w:eastAsia="zh-CN"/>
              </w:rPr>
              <w:t>遴选</w:t>
            </w:r>
            <w:r>
              <w:rPr>
                <w:rFonts w:hint="eastAsia" w:ascii="黑体" w:eastAsia="黑体"/>
                <w:sz w:val="48"/>
                <w:szCs w:val="48"/>
              </w:rPr>
              <w:t>日期</w:t>
            </w:r>
          </w:p>
        </w:tc>
        <w:tc>
          <w:tcPr>
            <w:tcW w:w="5580" w:type="dxa"/>
            <w:vAlign w:val="center"/>
          </w:tcPr>
          <w:p>
            <w:pPr>
              <w:ind w:left="52" w:right="171" w:rightChars="61"/>
              <w:rPr>
                <w:rFonts w:ascii="黑体" w:eastAsia="黑体"/>
                <w:sz w:val="48"/>
                <w:szCs w:val="48"/>
              </w:rPr>
            </w:pPr>
            <w:r>
              <w:rPr>
                <w:rFonts w:hint="eastAsia" w:ascii="黑体" w:eastAsia="黑体"/>
                <w:sz w:val="48"/>
                <w:szCs w:val="48"/>
              </w:rPr>
              <w:t>2021年12月</w:t>
            </w:r>
            <w:r>
              <w:rPr>
                <w:rFonts w:hint="eastAsia" w:ascii="黑体" w:eastAsia="黑体"/>
                <w:sz w:val="48"/>
                <w:szCs w:val="48"/>
                <w:lang w:val="en-US" w:eastAsia="zh-CN"/>
              </w:rPr>
              <w:t>30</w:t>
            </w:r>
            <w:r>
              <w:rPr>
                <w:rFonts w:hint="eastAsia" w:ascii="黑体" w:eastAsia="黑体"/>
                <w:sz w:val="48"/>
                <w:szCs w:val="4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0" w:type="dxa"/>
            <w:vAlign w:val="center"/>
          </w:tcPr>
          <w:p>
            <w:pPr>
              <w:ind w:right="171" w:rightChars="61"/>
              <w:jc w:val="center"/>
              <w:rPr>
                <w:rFonts w:ascii="黑体" w:eastAsia="黑体"/>
                <w:sz w:val="48"/>
                <w:szCs w:val="48"/>
              </w:rPr>
            </w:pPr>
            <w:r>
              <w:rPr>
                <w:rFonts w:hint="eastAsia" w:ascii="黑体" w:eastAsia="黑体"/>
                <w:sz w:val="48"/>
                <w:szCs w:val="48"/>
              </w:rPr>
              <w:t>截标日期</w:t>
            </w:r>
          </w:p>
        </w:tc>
        <w:tc>
          <w:tcPr>
            <w:tcW w:w="5580" w:type="dxa"/>
            <w:vAlign w:val="center"/>
          </w:tcPr>
          <w:p>
            <w:pPr>
              <w:ind w:left="52" w:right="171" w:rightChars="61"/>
              <w:rPr>
                <w:rFonts w:ascii="黑体" w:eastAsia="黑体"/>
                <w:sz w:val="48"/>
                <w:szCs w:val="48"/>
              </w:rPr>
            </w:pPr>
            <w:r>
              <w:rPr>
                <w:rFonts w:hint="eastAsia" w:ascii="黑体" w:eastAsia="黑体"/>
                <w:sz w:val="48"/>
                <w:szCs w:val="48"/>
                <w:lang w:val="en-US" w:eastAsia="zh-CN"/>
              </w:rPr>
              <w:t>2022</w:t>
            </w:r>
            <w:r>
              <w:rPr>
                <w:rFonts w:hint="eastAsia" w:ascii="黑体" w:eastAsia="黑体"/>
                <w:sz w:val="48"/>
                <w:szCs w:val="48"/>
              </w:rPr>
              <w:t>年</w:t>
            </w:r>
            <w:r>
              <w:rPr>
                <w:rFonts w:hint="eastAsia" w:ascii="黑体" w:eastAsia="黑体"/>
                <w:sz w:val="48"/>
                <w:szCs w:val="48"/>
                <w:lang w:val="en-US" w:eastAsia="zh-CN"/>
              </w:rPr>
              <w:t>01</w:t>
            </w:r>
            <w:r>
              <w:rPr>
                <w:rFonts w:hint="eastAsia" w:ascii="黑体" w:eastAsia="黑体"/>
                <w:sz w:val="48"/>
                <w:szCs w:val="48"/>
              </w:rPr>
              <w:t>月</w:t>
            </w:r>
            <w:r>
              <w:rPr>
                <w:rFonts w:hint="eastAsia" w:ascii="黑体" w:eastAsia="黑体"/>
                <w:sz w:val="48"/>
                <w:szCs w:val="48"/>
                <w:lang w:val="en-US" w:eastAsia="zh-CN"/>
              </w:rPr>
              <w:t>14</w:t>
            </w:r>
            <w:r>
              <w:rPr>
                <w:rFonts w:hint="eastAsia" w:ascii="黑体" w:eastAsia="黑体"/>
                <w:sz w:val="48"/>
                <w:szCs w:val="48"/>
              </w:rPr>
              <w:t>日</w:t>
            </w:r>
          </w:p>
        </w:tc>
      </w:tr>
    </w:tbl>
    <w:p>
      <w:pPr>
        <w:spacing w:line="360" w:lineRule="auto"/>
        <w:jc w:val="center"/>
        <w:rPr>
          <w:rFonts w:ascii="黑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linePitch="381" w:charSpace="0"/>
        </w:sectPr>
      </w:pPr>
    </w:p>
    <w:p>
      <w:pPr>
        <w:spacing w:line="360" w:lineRule="auto"/>
        <w:jc w:val="both"/>
        <w:rPr>
          <w:rFonts w:ascii="黑体" w:eastAsia="黑体"/>
          <w:sz w:val="2"/>
          <w:szCs w:val="2"/>
        </w:rPr>
      </w:pPr>
    </w:p>
    <w:sdt>
      <w:sdtPr>
        <w:rPr>
          <w:rFonts w:ascii="宋体" w:hAnsi="宋体" w:eastAsia="宋体" w:cs="Times New Roman"/>
          <w:kern w:val="2"/>
          <w:sz w:val="21"/>
          <w:szCs w:val="24"/>
          <w:lang w:val="en-US" w:eastAsia="zh-CN" w:bidi="ar-SA"/>
        </w:rPr>
        <w:id w:val="147473637"/>
        <w15:color w:val="DBDBDB"/>
        <w:docPartObj>
          <w:docPartGallery w:val="Table of Contents"/>
          <w:docPartUnique/>
        </w:docPartObj>
      </w:sdtPr>
      <w:sdtEndPr>
        <w:rPr>
          <w:rFonts w:ascii="宋体" w:hAnsi="宋体" w:eastAsia="宋体" w:cs="Times New Roman"/>
          <w:b/>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52"/>
              <w:szCs w:val="48"/>
            </w:rPr>
          </w:pPr>
          <w:bookmarkStart w:id="0" w:name="_Toc294262678"/>
          <w:bookmarkStart w:id="1" w:name="_Toc292549580"/>
          <w:bookmarkStart w:id="2" w:name="_Toc9263383"/>
          <w:bookmarkStart w:id="3" w:name="_Toc292549969"/>
          <w:r>
            <w:rPr>
              <w:rFonts w:hint="eastAsia" w:ascii="宋体" w:hAnsi="宋体" w:eastAsia="宋体" w:cs="宋体"/>
              <w:b/>
              <w:bCs/>
              <w:sz w:val="40"/>
              <w:szCs w:val="48"/>
            </w:rPr>
            <w:t>目录</w:t>
          </w:r>
        </w:p>
        <w:p>
          <w:pPr>
            <w:pStyle w:val="19"/>
            <w:tabs>
              <w:tab w:val="right" w:leader="dot" w:pos="9070"/>
            </w:tabs>
          </w:pPr>
          <w:r>
            <w:rPr>
              <w:sz w:val="22"/>
              <w:szCs w:val="22"/>
            </w:rPr>
            <w:fldChar w:fldCharType="begin"/>
          </w:r>
          <w:r>
            <w:rPr>
              <w:sz w:val="22"/>
              <w:szCs w:val="22"/>
            </w:rPr>
            <w:instrText xml:space="preserve">TOC \o "1-2" \h \u </w:instrText>
          </w:r>
          <w:r>
            <w:rPr>
              <w:sz w:val="22"/>
              <w:szCs w:val="22"/>
            </w:rPr>
            <w:fldChar w:fldCharType="separate"/>
          </w:r>
          <w:r>
            <w:rPr>
              <w:szCs w:val="22"/>
            </w:rPr>
            <w:fldChar w:fldCharType="begin"/>
          </w:r>
          <w:r>
            <w:rPr>
              <w:szCs w:val="22"/>
            </w:rPr>
            <w:instrText xml:space="preserve"> HYPERLINK \l _Toc15289 </w:instrText>
          </w:r>
          <w:r>
            <w:rPr>
              <w:szCs w:val="22"/>
            </w:rPr>
            <w:fldChar w:fldCharType="separate"/>
          </w:r>
          <w:r>
            <w:rPr>
              <w:rFonts w:hint="eastAsia" w:ascii="黑体" w:hAnsi="黑体" w:eastAsia="黑体"/>
              <w:szCs w:val="32"/>
            </w:rPr>
            <w:t>第一部分 遴选公告</w:t>
          </w:r>
          <w:r>
            <w:tab/>
          </w:r>
          <w:r>
            <w:fldChar w:fldCharType="begin"/>
          </w:r>
          <w:r>
            <w:instrText xml:space="preserve"> PAGEREF _Toc15289 \h </w:instrText>
          </w:r>
          <w:r>
            <w:fldChar w:fldCharType="separate"/>
          </w:r>
          <w:r>
            <w:t>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_Toc1791 </w:instrText>
          </w:r>
          <w:r>
            <w:rPr>
              <w:szCs w:val="22"/>
            </w:rPr>
            <w:fldChar w:fldCharType="separate"/>
          </w:r>
          <w:r>
            <w:rPr>
              <w:rFonts w:hint="eastAsia" w:ascii="宋体" w:hAnsi="宋体"/>
            </w:rPr>
            <w:t>一、招标项目</w:t>
          </w:r>
          <w:r>
            <w:tab/>
          </w:r>
          <w:r>
            <w:fldChar w:fldCharType="begin"/>
          </w:r>
          <w:r>
            <w:instrText xml:space="preserve"> PAGEREF _Toc1791 \h </w:instrText>
          </w:r>
          <w:r>
            <w:fldChar w:fldCharType="separate"/>
          </w:r>
          <w:r>
            <w:t>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_Toc4827 </w:instrText>
          </w:r>
          <w:r>
            <w:rPr>
              <w:szCs w:val="22"/>
            </w:rPr>
            <w:fldChar w:fldCharType="separate"/>
          </w:r>
          <w:r>
            <w:rPr>
              <w:rFonts w:hint="eastAsia" w:ascii="宋体" w:hAnsi="宋体"/>
            </w:rPr>
            <w:t>二、招标项目简述</w:t>
          </w:r>
          <w:r>
            <w:tab/>
          </w:r>
          <w:r>
            <w:fldChar w:fldCharType="begin"/>
          </w:r>
          <w:r>
            <w:instrText xml:space="preserve"> PAGEREF _Toc4827 \h </w:instrText>
          </w:r>
          <w:r>
            <w:fldChar w:fldCharType="separate"/>
          </w:r>
          <w:r>
            <w:t>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_Toc29484 </w:instrText>
          </w:r>
          <w:r>
            <w:rPr>
              <w:szCs w:val="22"/>
            </w:rPr>
            <w:fldChar w:fldCharType="separate"/>
          </w:r>
          <w:r>
            <w:rPr>
              <w:rFonts w:hint="eastAsia" w:ascii="宋体" w:hAnsi="宋体"/>
            </w:rPr>
            <w:t>三、投标人的资格要求</w:t>
          </w:r>
          <w:r>
            <w:tab/>
          </w:r>
          <w:r>
            <w:fldChar w:fldCharType="begin"/>
          </w:r>
          <w:r>
            <w:instrText xml:space="preserve"> PAGEREF _Toc29484 \h </w:instrText>
          </w:r>
          <w:r>
            <w:fldChar w:fldCharType="separate"/>
          </w:r>
          <w:r>
            <w:t>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_Toc8123 </w:instrText>
          </w:r>
          <w:r>
            <w:rPr>
              <w:szCs w:val="22"/>
            </w:rPr>
            <w:fldChar w:fldCharType="separate"/>
          </w:r>
          <w:r>
            <w:rPr>
              <w:rFonts w:hint="eastAsia" w:ascii="宋体" w:hAnsi="宋体"/>
              <w:bCs w:val="0"/>
            </w:rPr>
            <w:t>四</w:t>
          </w:r>
          <w:r>
            <w:rPr>
              <w:rFonts w:ascii="宋体" w:hAnsi="宋体"/>
              <w:bCs w:val="0"/>
            </w:rPr>
            <w:t>、</w:t>
          </w:r>
          <w:r>
            <w:rPr>
              <w:rFonts w:hint="eastAsia" w:ascii="宋体" w:hAnsi="宋体"/>
              <w:bCs w:val="0"/>
            </w:rPr>
            <w:t>报名办法及联系方式</w:t>
          </w:r>
          <w:r>
            <w:tab/>
          </w:r>
          <w:r>
            <w:fldChar w:fldCharType="begin"/>
          </w:r>
          <w:r>
            <w:instrText xml:space="preserve"> PAGEREF _Toc8123 \h </w:instrText>
          </w:r>
          <w:r>
            <w:fldChar w:fldCharType="separate"/>
          </w:r>
          <w:r>
            <w:t>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_Toc26105 </w:instrText>
          </w:r>
          <w:r>
            <w:rPr>
              <w:szCs w:val="22"/>
            </w:rPr>
            <w:fldChar w:fldCharType="separate"/>
          </w:r>
          <w:r>
            <w:rPr>
              <w:rFonts w:hint="eastAsia" w:ascii="宋体" w:hAnsi="宋体"/>
            </w:rPr>
            <w:t>五</w:t>
          </w:r>
          <w:r>
            <w:rPr>
              <w:rFonts w:ascii="宋体" w:hAnsi="宋体"/>
            </w:rPr>
            <w:t>、</w:t>
          </w:r>
          <w:r>
            <w:rPr>
              <w:rFonts w:hint="eastAsia" w:ascii="宋体" w:hAnsi="宋体"/>
            </w:rPr>
            <w:t>标书文件获取方式</w:t>
          </w:r>
          <w:r>
            <w:tab/>
          </w:r>
          <w:r>
            <w:fldChar w:fldCharType="begin"/>
          </w:r>
          <w:r>
            <w:instrText xml:space="preserve"> PAGEREF _Toc26105 \h </w:instrText>
          </w:r>
          <w:r>
            <w:fldChar w:fldCharType="separate"/>
          </w:r>
          <w:r>
            <w:t>6</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_Toc21043 </w:instrText>
          </w:r>
          <w:r>
            <w:rPr>
              <w:szCs w:val="22"/>
            </w:rPr>
            <w:fldChar w:fldCharType="separate"/>
          </w:r>
          <w:r>
            <w:rPr>
              <w:rFonts w:hint="eastAsia" w:ascii="宋体" w:hAnsi="宋体"/>
            </w:rPr>
            <w:t>六</w:t>
          </w:r>
          <w:r>
            <w:rPr>
              <w:rFonts w:ascii="宋体" w:hAnsi="宋体"/>
            </w:rPr>
            <w:t>、投标保证金</w:t>
          </w:r>
          <w:r>
            <w:tab/>
          </w:r>
          <w:r>
            <w:fldChar w:fldCharType="begin"/>
          </w:r>
          <w:r>
            <w:instrText xml:space="preserve"> PAGEREF _Toc21043 \h </w:instrText>
          </w:r>
          <w:r>
            <w:fldChar w:fldCharType="separate"/>
          </w:r>
          <w:r>
            <w:t>6</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_Toc10389 </w:instrText>
          </w:r>
          <w:r>
            <w:rPr>
              <w:szCs w:val="22"/>
            </w:rPr>
            <w:fldChar w:fldCharType="separate"/>
          </w:r>
          <w:r>
            <w:rPr>
              <w:rFonts w:hint="eastAsia" w:ascii="宋体" w:hAnsi="宋体"/>
              <w:lang w:val="en-US" w:eastAsia="zh-CN"/>
            </w:rPr>
            <w:t>七</w:t>
          </w:r>
          <w:r>
            <w:rPr>
              <w:rFonts w:ascii="宋体" w:hAnsi="宋体"/>
            </w:rPr>
            <w:t>、</w:t>
          </w:r>
          <w:r>
            <w:rPr>
              <w:rFonts w:hint="eastAsia" w:ascii="宋体" w:hAnsi="宋体"/>
            </w:rPr>
            <w:t>联系事项</w:t>
          </w:r>
          <w:r>
            <w:tab/>
          </w:r>
          <w:r>
            <w:fldChar w:fldCharType="begin"/>
          </w:r>
          <w:r>
            <w:instrText xml:space="preserve"> PAGEREF _Toc10389 \h </w:instrText>
          </w:r>
          <w:r>
            <w:fldChar w:fldCharType="separate"/>
          </w:r>
          <w:r>
            <w:t>6</w:t>
          </w:r>
          <w:r>
            <w:fldChar w:fldCharType="end"/>
          </w:r>
          <w:r>
            <w:rPr>
              <w:szCs w:val="22"/>
            </w:rPr>
            <w:fldChar w:fldCharType="end"/>
          </w:r>
        </w:p>
        <w:p>
          <w:pPr>
            <w:pStyle w:val="19"/>
            <w:tabs>
              <w:tab w:val="right" w:leader="dot" w:pos="9070"/>
            </w:tabs>
          </w:pPr>
          <w:r>
            <w:rPr>
              <w:szCs w:val="22"/>
            </w:rPr>
            <w:fldChar w:fldCharType="begin"/>
          </w:r>
          <w:r>
            <w:rPr>
              <w:szCs w:val="22"/>
            </w:rPr>
            <w:instrText xml:space="preserve"> HYPERLINK \l _Toc3182 </w:instrText>
          </w:r>
          <w:r>
            <w:rPr>
              <w:szCs w:val="22"/>
            </w:rPr>
            <w:fldChar w:fldCharType="separate"/>
          </w:r>
          <w:r>
            <w:rPr>
              <w:rFonts w:hint="eastAsia" w:ascii="黑体" w:hAnsi="黑体" w:eastAsia="黑体"/>
              <w:szCs w:val="32"/>
            </w:rPr>
            <w:t>第二部分 用户需求书</w:t>
          </w:r>
          <w:r>
            <w:tab/>
          </w:r>
          <w:r>
            <w:fldChar w:fldCharType="begin"/>
          </w:r>
          <w:r>
            <w:instrText xml:space="preserve"> PAGEREF _Toc3182 \h </w:instrText>
          </w:r>
          <w:r>
            <w:fldChar w:fldCharType="separate"/>
          </w:r>
          <w:r>
            <w:t>7</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_Toc17238 </w:instrText>
          </w:r>
          <w:r>
            <w:rPr>
              <w:szCs w:val="22"/>
            </w:rPr>
            <w:fldChar w:fldCharType="separate"/>
          </w:r>
          <w:r>
            <w:rPr>
              <w:rFonts w:hint="eastAsia" w:ascii="宋体" w:hAnsi="宋体"/>
            </w:rPr>
            <w:t>一、项目概述</w:t>
          </w:r>
          <w:r>
            <w:tab/>
          </w:r>
          <w:r>
            <w:fldChar w:fldCharType="begin"/>
          </w:r>
          <w:r>
            <w:instrText xml:space="preserve"> PAGEREF _Toc17238 \h </w:instrText>
          </w:r>
          <w:r>
            <w:fldChar w:fldCharType="separate"/>
          </w:r>
          <w:r>
            <w:t>7</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_Toc28917 </w:instrText>
          </w:r>
          <w:r>
            <w:rPr>
              <w:szCs w:val="22"/>
            </w:rPr>
            <w:fldChar w:fldCharType="separate"/>
          </w:r>
          <w:r>
            <w:rPr>
              <w:rFonts w:hint="eastAsia" w:ascii="宋体" w:hAnsi="宋体"/>
            </w:rPr>
            <w:t>二、服务要求</w:t>
          </w:r>
          <w:r>
            <w:tab/>
          </w:r>
          <w:r>
            <w:fldChar w:fldCharType="begin"/>
          </w:r>
          <w:r>
            <w:instrText xml:space="preserve"> PAGEREF _Toc28917 \h </w:instrText>
          </w:r>
          <w:r>
            <w:fldChar w:fldCharType="separate"/>
          </w:r>
          <w:r>
            <w:t>7</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_Toc17409 </w:instrText>
          </w:r>
          <w:r>
            <w:rPr>
              <w:szCs w:val="22"/>
            </w:rPr>
            <w:fldChar w:fldCharType="separate"/>
          </w:r>
          <w:r>
            <w:rPr>
              <w:rFonts w:hint="eastAsia" w:ascii="宋体" w:hAnsi="宋体"/>
            </w:rPr>
            <w:t>三、禁止事项</w:t>
          </w:r>
          <w:r>
            <w:tab/>
          </w:r>
          <w:r>
            <w:fldChar w:fldCharType="begin"/>
          </w:r>
          <w:r>
            <w:instrText xml:space="preserve"> PAGEREF _Toc17409 \h </w:instrText>
          </w:r>
          <w:r>
            <w:fldChar w:fldCharType="separate"/>
          </w:r>
          <w:r>
            <w:t>9</w:t>
          </w:r>
          <w:r>
            <w:fldChar w:fldCharType="end"/>
          </w:r>
          <w:r>
            <w:rPr>
              <w:szCs w:val="22"/>
            </w:rPr>
            <w:fldChar w:fldCharType="end"/>
          </w:r>
        </w:p>
        <w:p>
          <w:pPr>
            <w:pStyle w:val="19"/>
            <w:tabs>
              <w:tab w:val="right" w:leader="dot" w:pos="9070"/>
            </w:tabs>
          </w:pPr>
          <w:r>
            <w:rPr>
              <w:szCs w:val="22"/>
            </w:rPr>
            <w:fldChar w:fldCharType="begin"/>
          </w:r>
          <w:r>
            <w:rPr>
              <w:szCs w:val="22"/>
            </w:rPr>
            <w:instrText xml:space="preserve"> HYPERLINK \l _Toc32342 </w:instrText>
          </w:r>
          <w:r>
            <w:rPr>
              <w:szCs w:val="22"/>
            </w:rPr>
            <w:fldChar w:fldCharType="separate"/>
          </w:r>
          <w:r>
            <w:rPr>
              <w:rFonts w:hint="eastAsia" w:ascii="黑体" w:hAnsi="黑体" w:eastAsia="黑体"/>
              <w:szCs w:val="32"/>
            </w:rPr>
            <w:t xml:space="preserve">第三部分 </w:t>
          </w:r>
          <w:r>
            <w:rPr>
              <w:rFonts w:hint="eastAsia" w:ascii="黑体" w:hAnsi="黑体" w:eastAsia="黑体"/>
              <w:szCs w:val="32"/>
              <w:lang w:val="en-US" w:eastAsia="zh-CN"/>
            </w:rPr>
            <w:t>供应商</w:t>
          </w:r>
          <w:r>
            <w:rPr>
              <w:rFonts w:hint="eastAsia" w:ascii="黑体" w:hAnsi="黑体" w:eastAsia="黑体"/>
              <w:szCs w:val="32"/>
            </w:rPr>
            <w:t>须知</w:t>
          </w:r>
          <w:r>
            <w:tab/>
          </w:r>
          <w:r>
            <w:fldChar w:fldCharType="begin"/>
          </w:r>
          <w:r>
            <w:instrText xml:space="preserve"> PAGEREF _Toc32342 \h </w:instrText>
          </w:r>
          <w:r>
            <w:fldChar w:fldCharType="separate"/>
          </w:r>
          <w:r>
            <w:t>11</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_Toc8030 </w:instrText>
          </w:r>
          <w:r>
            <w:rPr>
              <w:szCs w:val="22"/>
            </w:rPr>
            <w:fldChar w:fldCharType="separate"/>
          </w:r>
          <w:r>
            <w:rPr>
              <w:rFonts w:hint="eastAsia" w:ascii="宋体" w:hAnsi="宋体"/>
            </w:rPr>
            <w:t>一、遴选费用</w:t>
          </w:r>
          <w:r>
            <w:tab/>
          </w:r>
          <w:r>
            <w:fldChar w:fldCharType="begin"/>
          </w:r>
          <w:r>
            <w:instrText xml:space="preserve"> PAGEREF _Toc8030 \h </w:instrText>
          </w:r>
          <w:r>
            <w:fldChar w:fldCharType="separate"/>
          </w:r>
          <w:r>
            <w:t>11</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_Toc19678 </w:instrText>
          </w:r>
          <w:r>
            <w:rPr>
              <w:szCs w:val="22"/>
            </w:rPr>
            <w:fldChar w:fldCharType="separate"/>
          </w:r>
          <w:r>
            <w:rPr>
              <w:rFonts w:hint="eastAsia" w:ascii="宋体" w:hAnsi="宋体"/>
            </w:rPr>
            <w:t>二、遴选文件</w:t>
          </w:r>
          <w:r>
            <w:tab/>
          </w:r>
          <w:r>
            <w:fldChar w:fldCharType="begin"/>
          </w:r>
          <w:r>
            <w:instrText xml:space="preserve"> PAGEREF _Toc19678 \h </w:instrText>
          </w:r>
          <w:r>
            <w:fldChar w:fldCharType="separate"/>
          </w:r>
          <w:r>
            <w:t>11</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_Toc20616 </w:instrText>
          </w:r>
          <w:r>
            <w:rPr>
              <w:szCs w:val="22"/>
            </w:rPr>
            <w:fldChar w:fldCharType="separate"/>
          </w:r>
          <w:r>
            <w:rPr>
              <w:rFonts w:hint="eastAsia" w:ascii="宋体" w:hAnsi="宋体"/>
            </w:rPr>
            <w:t>三、响应总则</w:t>
          </w:r>
          <w:r>
            <w:tab/>
          </w:r>
          <w:r>
            <w:fldChar w:fldCharType="begin"/>
          </w:r>
          <w:r>
            <w:instrText xml:space="preserve"> PAGEREF _Toc20616 \h </w:instrText>
          </w:r>
          <w:r>
            <w:fldChar w:fldCharType="separate"/>
          </w:r>
          <w:r>
            <w:t>11</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_Toc10039 </w:instrText>
          </w:r>
          <w:r>
            <w:rPr>
              <w:szCs w:val="22"/>
            </w:rPr>
            <w:fldChar w:fldCharType="separate"/>
          </w:r>
          <w:r>
            <w:rPr>
              <w:rFonts w:hint="eastAsia" w:ascii="宋体" w:hAnsi="宋体"/>
            </w:rPr>
            <w:t>四、签约</w:t>
          </w:r>
          <w:r>
            <w:tab/>
          </w:r>
          <w:r>
            <w:fldChar w:fldCharType="begin"/>
          </w:r>
          <w:r>
            <w:instrText xml:space="preserve"> PAGEREF _Toc10039 \h </w:instrText>
          </w:r>
          <w:r>
            <w:fldChar w:fldCharType="separate"/>
          </w:r>
          <w:r>
            <w:t>14</w:t>
          </w:r>
          <w:r>
            <w:fldChar w:fldCharType="end"/>
          </w:r>
          <w:r>
            <w:rPr>
              <w:szCs w:val="22"/>
            </w:rPr>
            <w:fldChar w:fldCharType="end"/>
          </w:r>
        </w:p>
        <w:p>
          <w:pPr>
            <w:pStyle w:val="19"/>
            <w:tabs>
              <w:tab w:val="right" w:leader="dot" w:pos="9070"/>
            </w:tabs>
          </w:pPr>
          <w:r>
            <w:rPr>
              <w:szCs w:val="22"/>
            </w:rPr>
            <w:fldChar w:fldCharType="begin"/>
          </w:r>
          <w:r>
            <w:rPr>
              <w:szCs w:val="22"/>
            </w:rPr>
            <w:instrText xml:space="preserve"> HYPERLINK \l _Toc11157 </w:instrText>
          </w:r>
          <w:r>
            <w:rPr>
              <w:szCs w:val="22"/>
            </w:rPr>
            <w:fldChar w:fldCharType="separate"/>
          </w:r>
          <w:r>
            <w:rPr>
              <w:rFonts w:hint="eastAsia" w:ascii="黑体" w:hAnsi="黑体" w:eastAsia="黑体"/>
              <w:szCs w:val="32"/>
            </w:rPr>
            <w:t>第四部分 遴选方式</w:t>
          </w:r>
          <w:r>
            <w:tab/>
          </w:r>
          <w:r>
            <w:fldChar w:fldCharType="begin"/>
          </w:r>
          <w:r>
            <w:instrText xml:space="preserve"> PAGEREF _Toc11157 \h </w:instrText>
          </w:r>
          <w:r>
            <w:fldChar w:fldCharType="separate"/>
          </w:r>
          <w:r>
            <w:t>15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_Toc15597 </w:instrText>
          </w:r>
          <w:r>
            <w:rPr>
              <w:szCs w:val="22"/>
            </w:rPr>
            <w:fldChar w:fldCharType="separate"/>
          </w:r>
          <w:r>
            <w:rPr>
              <w:rFonts w:hint="eastAsia" w:ascii="宋体" w:hAnsi="宋体"/>
            </w:rPr>
            <w:t>一、概述</w:t>
          </w:r>
          <w:r>
            <w:tab/>
          </w:r>
          <w:r>
            <w:fldChar w:fldCharType="begin"/>
          </w:r>
          <w:r>
            <w:instrText xml:space="preserve"> PAGEREF _Toc15597 \h </w:instrText>
          </w:r>
          <w:r>
            <w:fldChar w:fldCharType="separate"/>
          </w:r>
          <w:r>
            <w:t>15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_Toc18047 </w:instrText>
          </w:r>
          <w:r>
            <w:rPr>
              <w:szCs w:val="22"/>
            </w:rPr>
            <w:fldChar w:fldCharType="separate"/>
          </w:r>
          <w:r>
            <w:rPr>
              <w:rFonts w:hint="eastAsia" w:ascii="宋体" w:hAnsi="宋体"/>
            </w:rPr>
            <w:t>二、遴选流程及步骤</w:t>
          </w:r>
          <w:r>
            <w:tab/>
          </w:r>
          <w:r>
            <w:fldChar w:fldCharType="begin"/>
          </w:r>
          <w:r>
            <w:instrText xml:space="preserve"> PAGEREF _Toc18047 \h </w:instrText>
          </w:r>
          <w:r>
            <w:fldChar w:fldCharType="separate"/>
          </w:r>
          <w:r>
            <w:t>15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_Toc26152 </w:instrText>
          </w:r>
          <w:r>
            <w:rPr>
              <w:szCs w:val="22"/>
            </w:rPr>
            <w:fldChar w:fldCharType="separate"/>
          </w:r>
          <w:r>
            <w:rPr>
              <w:rFonts w:hint="eastAsia" w:ascii="宋体" w:hAnsi="宋体" w:eastAsia="宋体"/>
            </w:rPr>
            <w:t>三、定标和授标</w:t>
          </w:r>
          <w:r>
            <w:tab/>
          </w:r>
          <w:r>
            <w:fldChar w:fldCharType="begin"/>
          </w:r>
          <w:r>
            <w:instrText xml:space="preserve"> PAGEREF _Toc26152 \h </w:instrText>
          </w:r>
          <w:r>
            <w:fldChar w:fldCharType="separate"/>
          </w:r>
          <w:r>
            <w:t>20</w:t>
          </w:r>
          <w:r>
            <w:fldChar w:fldCharType="end"/>
          </w:r>
          <w:r>
            <w:rPr>
              <w:szCs w:val="22"/>
            </w:rPr>
            <w:fldChar w:fldCharType="end"/>
          </w:r>
        </w:p>
        <w:p>
          <w:pPr>
            <w:pStyle w:val="19"/>
            <w:tabs>
              <w:tab w:val="right" w:leader="dot" w:pos="9070"/>
            </w:tabs>
          </w:pPr>
          <w:r>
            <w:rPr>
              <w:szCs w:val="22"/>
            </w:rPr>
            <w:fldChar w:fldCharType="begin"/>
          </w:r>
          <w:r>
            <w:rPr>
              <w:szCs w:val="22"/>
            </w:rPr>
            <w:instrText xml:space="preserve"> HYPERLINK \l _Toc12932 </w:instrText>
          </w:r>
          <w:r>
            <w:rPr>
              <w:szCs w:val="22"/>
            </w:rPr>
            <w:fldChar w:fldCharType="separate"/>
          </w:r>
          <w:r>
            <w:rPr>
              <w:rFonts w:hint="eastAsia" w:ascii="黑体" w:hAnsi="黑体" w:eastAsia="黑体"/>
              <w:szCs w:val="32"/>
            </w:rPr>
            <w:t>第</w:t>
          </w:r>
          <w:r>
            <w:rPr>
              <w:rFonts w:hint="eastAsia" w:ascii="黑体" w:hAnsi="黑体" w:eastAsia="黑体"/>
              <w:szCs w:val="32"/>
              <w:lang w:val="en-US" w:eastAsia="zh-CN"/>
            </w:rPr>
            <w:t>五</w:t>
          </w:r>
          <w:r>
            <w:rPr>
              <w:rFonts w:hint="eastAsia" w:ascii="黑体" w:hAnsi="黑体" w:eastAsia="黑体"/>
              <w:szCs w:val="32"/>
            </w:rPr>
            <w:t xml:space="preserve">部分 </w:t>
          </w:r>
          <w:r>
            <w:rPr>
              <w:rFonts w:hint="eastAsia" w:ascii="黑体" w:hAnsi="黑体" w:eastAsia="黑体"/>
              <w:szCs w:val="32"/>
              <w:lang w:val="en-US" w:eastAsia="zh-CN"/>
            </w:rPr>
            <w:t>合同书格式</w:t>
          </w:r>
          <w:r>
            <w:tab/>
          </w:r>
          <w:r>
            <w:fldChar w:fldCharType="begin"/>
          </w:r>
          <w:r>
            <w:instrText xml:space="preserve"> PAGEREF _Toc12932 \h </w:instrText>
          </w:r>
          <w:r>
            <w:fldChar w:fldCharType="separate"/>
          </w:r>
          <w:r>
            <w:t>22</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_Toc11450 </w:instrText>
          </w:r>
          <w:r>
            <w:rPr>
              <w:szCs w:val="22"/>
            </w:rPr>
            <w:fldChar w:fldCharType="separate"/>
          </w:r>
          <w:r>
            <w:rPr>
              <w:rFonts w:hint="eastAsia" w:ascii="宋体" w:hAnsi="宋体" w:cs="Arial"/>
              <w:spacing w:val="-6"/>
              <w:szCs w:val="20"/>
            </w:rPr>
            <w:t>一、收费标准</w:t>
          </w:r>
          <w:r>
            <w:tab/>
          </w:r>
          <w:r>
            <w:fldChar w:fldCharType="begin"/>
          </w:r>
          <w:r>
            <w:instrText xml:space="preserve"> PAGEREF _Toc11450 \h </w:instrText>
          </w:r>
          <w:r>
            <w:fldChar w:fldCharType="separate"/>
          </w:r>
          <w:r>
            <w:t>23</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_Toc13686 </w:instrText>
          </w:r>
          <w:r>
            <w:rPr>
              <w:szCs w:val="22"/>
            </w:rPr>
            <w:fldChar w:fldCharType="separate"/>
          </w:r>
          <w:r>
            <w:rPr>
              <w:rFonts w:hint="eastAsia" w:ascii="宋体" w:hAnsi="宋体" w:eastAsia="宋体" w:cs="Arial"/>
              <w:spacing w:val="-6"/>
              <w:szCs w:val="20"/>
            </w:rPr>
            <w:t>二、服务要求</w:t>
          </w:r>
          <w:r>
            <w:tab/>
          </w:r>
          <w:r>
            <w:fldChar w:fldCharType="begin"/>
          </w:r>
          <w:r>
            <w:instrText xml:space="preserve"> PAGEREF _Toc13686 \h </w:instrText>
          </w:r>
          <w:r>
            <w:fldChar w:fldCharType="separate"/>
          </w:r>
          <w:r>
            <w:t>23</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_Toc10009 </w:instrText>
          </w:r>
          <w:r>
            <w:rPr>
              <w:szCs w:val="22"/>
            </w:rPr>
            <w:fldChar w:fldCharType="separate"/>
          </w:r>
          <w:r>
            <w:rPr>
              <w:rFonts w:hint="eastAsia" w:ascii="宋体" w:hAnsi="宋体"/>
              <w:szCs w:val="20"/>
            </w:rPr>
            <w:t>三、服务期</w:t>
          </w:r>
          <w:r>
            <w:tab/>
          </w:r>
          <w:r>
            <w:fldChar w:fldCharType="begin"/>
          </w:r>
          <w:r>
            <w:instrText xml:space="preserve"> PAGEREF _Toc10009 \h </w:instrText>
          </w:r>
          <w:r>
            <w:fldChar w:fldCharType="separate"/>
          </w:r>
          <w:r>
            <w:t>24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_Toc11099 </w:instrText>
          </w:r>
          <w:r>
            <w:rPr>
              <w:szCs w:val="22"/>
            </w:rPr>
            <w:fldChar w:fldCharType="separate"/>
          </w:r>
          <w:r>
            <w:rPr>
              <w:rFonts w:hint="eastAsia" w:ascii="宋体" w:hAnsi="宋体"/>
              <w:szCs w:val="20"/>
            </w:rPr>
            <w:t>四、禁止事项</w:t>
          </w:r>
          <w:r>
            <w:tab/>
          </w:r>
          <w:r>
            <w:fldChar w:fldCharType="begin"/>
          </w:r>
          <w:r>
            <w:instrText xml:space="preserve"> PAGEREF _Toc11099 \h </w:instrText>
          </w:r>
          <w:r>
            <w:fldChar w:fldCharType="separate"/>
          </w:r>
          <w:r>
            <w:t>24</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_Toc23814 </w:instrText>
          </w:r>
          <w:r>
            <w:rPr>
              <w:szCs w:val="22"/>
            </w:rPr>
            <w:fldChar w:fldCharType="separate"/>
          </w:r>
          <w:r>
            <w:rPr>
              <w:rFonts w:hint="eastAsia" w:ascii="宋体" w:hAnsi="宋体" w:cs="Arial"/>
              <w:spacing w:val="-6"/>
              <w:szCs w:val="20"/>
            </w:rPr>
            <w:t>五、项目质量评价、年度考核及中期考核</w:t>
          </w:r>
          <w:r>
            <w:tab/>
          </w:r>
          <w:r>
            <w:fldChar w:fldCharType="begin"/>
          </w:r>
          <w:r>
            <w:instrText xml:space="preserve"> PAGEREF _Toc23814 \h </w:instrText>
          </w:r>
          <w:r>
            <w:fldChar w:fldCharType="separate"/>
          </w:r>
          <w:r>
            <w:t>25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_Toc28380 </w:instrText>
          </w:r>
          <w:r>
            <w:rPr>
              <w:szCs w:val="22"/>
            </w:rPr>
            <w:fldChar w:fldCharType="separate"/>
          </w:r>
          <w:r>
            <w:rPr>
              <w:rFonts w:hint="eastAsia" w:ascii="宋体" w:hAnsi="宋体" w:cs="Arial"/>
              <w:b w:val="0"/>
              <w:bCs w:val="0"/>
              <w:spacing w:val="-6"/>
              <w:szCs w:val="20"/>
            </w:rPr>
            <w:t>六、</w:t>
          </w:r>
          <w:r>
            <w:rPr>
              <w:rFonts w:hint="eastAsia" w:ascii="宋体" w:hAnsi="宋体" w:eastAsia="宋体" w:cs="宋体"/>
              <w:b w:val="0"/>
              <w:bCs w:val="0"/>
              <w:szCs w:val="21"/>
            </w:rPr>
            <w:t>争议解决方式</w:t>
          </w:r>
          <w:r>
            <w:tab/>
          </w:r>
          <w:r>
            <w:fldChar w:fldCharType="begin"/>
          </w:r>
          <w:r>
            <w:instrText xml:space="preserve"> PAGEREF _Toc28380 \h </w:instrText>
          </w:r>
          <w:r>
            <w:fldChar w:fldCharType="separate"/>
          </w:r>
          <w:r>
            <w:t>25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_Toc24132 </w:instrText>
          </w:r>
          <w:r>
            <w:rPr>
              <w:szCs w:val="22"/>
            </w:rPr>
            <w:fldChar w:fldCharType="separate"/>
          </w:r>
          <w:r>
            <w:rPr>
              <w:rFonts w:hint="eastAsia" w:ascii="宋体" w:hAnsi="宋体" w:cs="Arial"/>
              <w:spacing w:val="-6"/>
              <w:szCs w:val="20"/>
            </w:rPr>
            <w:t>七、合同生效、失效与终止</w:t>
          </w:r>
          <w:r>
            <w:tab/>
          </w:r>
          <w:r>
            <w:fldChar w:fldCharType="begin"/>
          </w:r>
          <w:r>
            <w:instrText xml:space="preserve"> PAGEREF _Toc24132 \h </w:instrText>
          </w:r>
          <w:r>
            <w:fldChar w:fldCharType="separate"/>
          </w:r>
          <w:r>
            <w:t>25</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_Toc5378 </w:instrText>
          </w:r>
          <w:r>
            <w:rPr>
              <w:szCs w:val="22"/>
            </w:rPr>
            <w:fldChar w:fldCharType="separate"/>
          </w:r>
          <w:r>
            <w:rPr>
              <w:rFonts w:hint="eastAsia" w:ascii="宋体" w:hAnsi="宋体" w:cs="Arial"/>
              <w:spacing w:val="-6"/>
              <w:szCs w:val="20"/>
            </w:rPr>
            <w:t>八、其他约定条款</w:t>
          </w:r>
          <w:r>
            <w:tab/>
          </w:r>
          <w:r>
            <w:fldChar w:fldCharType="begin"/>
          </w:r>
          <w:r>
            <w:instrText xml:space="preserve"> PAGEREF _Toc5378 \h </w:instrText>
          </w:r>
          <w:r>
            <w:fldChar w:fldCharType="separate"/>
          </w:r>
          <w:r>
            <w:t>26</w:t>
          </w:r>
          <w:r>
            <w:fldChar w:fldCharType="end"/>
          </w:r>
          <w:r>
            <w:rPr>
              <w:szCs w:val="22"/>
            </w:rPr>
            <w:fldChar w:fldCharType="end"/>
          </w:r>
        </w:p>
        <w:p>
          <w:pPr>
            <w:pStyle w:val="19"/>
            <w:tabs>
              <w:tab w:val="right" w:leader="dot" w:pos="9070"/>
            </w:tabs>
          </w:pPr>
          <w:r>
            <w:rPr>
              <w:szCs w:val="22"/>
            </w:rPr>
            <w:fldChar w:fldCharType="begin"/>
          </w:r>
          <w:r>
            <w:rPr>
              <w:szCs w:val="22"/>
            </w:rPr>
            <w:instrText xml:space="preserve"> HYPERLINK \l _Toc18137 </w:instrText>
          </w:r>
          <w:r>
            <w:rPr>
              <w:szCs w:val="22"/>
            </w:rPr>
            <w:fldChar w:fldCharType="separate"/>
          </w:r>
          <w:r>
            <w:rPr>
              <w:rFonts w:hint="eastAsia" w:ascii="黑体" w:hAnsi="黑体" w:eastAsia="黑体"/>
              <w:szCs w:val="32"/>
              <w:lang w:val="en-US" w:eastAsia="zh-CN"/>
            </w:rPr>
            <w:t>第六部分 响应文件格式</w:t>
          </w:r>
          <w:r>
            <w:tab/>
          </w:r>
          <w:r>
            <w:fldChar w:fldCharType="begin"/>
          </w:r>
          <w:r>
            <w:instrText xml:space="preserve"> PAGEREF _Toc18137 \h </w:instrText>
          </w:r>
          <w:r>
            <w:fldChar w:fldCharType="separate"/>
          </w:r>
          <w:r>
            <w:t>27</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_Toc17304 </w:instrText>
          </w:r>
          <w:r>
            <w:rPr>
              <w:szCs w:val="22"/>
            </w:rPr>
            <w:fldChar w:fldCharType="separate"/>
          </w:r>
          <w:r>
            <w:rPr>
              <w:rFonts w:hint="eastAsia" w:ascii="宋体" w:hAnsi="宋体" w:eastAsia="宋体" w:cs="宋体"/>
              <w:szCs w:val="24"/>
            </w:rPr>
            <w:t>一、自查表</w:t>
          </w:r>
          <w:r>
            <w:tab/>
          </w:r>
          <w:r>
            <w:fldChar w:fldCharType="begin"/>
          </w:r>
          <w:r>
            <w:instrText xml:space="preserve"> PAGEREF _Toc17304 \h </w:instrText>
          </w:r>
          <w:r>
            <w:fldChar w:fldCharType="separate"/>
          </w:r>
          <w:r>
            <w:t>28</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_Toc3831 </w:instrText>
          </w:r>
          <w:r>
            <w:rPr>
              <w:szCs w:val="22"/>
            </w:rPr>
            <w:fldChar w:fldCharType="separate"/>
          </w:r>
          <w:r>
            <w:rPr>
              <w:rFonts w:hint="eastAsia" w:ascii="宋体" w:hAnsi="宋体" w:eastAsia="宋体" w:cs="宋体"/>
              <w:szCs w:val="24"/>
            </w:rPr>
            <w:t>二、资格文件</w:t>
          </w:r>
          <w:r>
            <w:tab/>
          </w:r>
          <w:r>
            <w:fldChar w:fldCharType="begin"/>
          </w:r>
          <w:r>
            <w:instrText xml:space="preserve"> PAGEREF _Toc3831 \h </w:instrText>
          </w:r>
          <w:r>
            <w:fldChar w:fldCharType="separate"/>
          </w:r>
          <w:r>
            <w:t>30</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_Toc320 </w:instrText>
          </w:r>
          <w:r>
            <w:rPr>
              <w:szCs w:val="22"/>
            </w:rPr>
            <w:fldChar w:fldCharType="separate"/>
          </w:r>
          <w:r>
            <w:rPr>
              <w:rFonts w:hint="eastAsia" w:ascii="宋体" w:hAnsi="宋体" w:eastAsia="宋体" w:cs="宋体"/>
              <w:szCs w:val="24"/>
            </w:rPr>
            <w:t>三、符合性文件</w:t>
          </w:r>
          <w:r>
            <w:tab/>
          </w:r>
          <w:r>
            <w:fldChar w:fldCharType="begin"/>
          </w:r>
          <w:r>
            <w:instrText xml:space="preserve"> PAGEREF _Toc320 \h </w:instrText>
          </w:r>
          <w:r>
            <w:fldChar w:fldCharType="separate"/>
          </w:r>
          <w:r>
            <w:t>31</w:t>
          </w:r>
          <w:r>
            <w:fldChar w:fldCharType="end"/>
          </w:r>
          <w:r>
            <w:rPr>
              <w:szCs w:val="22"/>
            </w:rPr>
            <w:fldChar w:fldCharType="end"/>
          </w:r>
        </w:p>
        <w:p>
          <w:pPr>
            <w:pStyle w:val="21"/>
            <w:tabs>
              <w:tab w:val="right" w:leader="dot" w:pos="9070"/>
            </w:tabs>
          </w:pPr>
          <w:r>
            <w:rPr>
              <w:szCs w:val="22"/>
            </w:rPr>
            <w:fldChar w:fldCharType="begin"/>
          </w:r>
          <w:r>
            <w:rPr>
              <w:szCs w:val="22"/>
            </w:rPr>
            <w:instrText xml:space="preserve"> HYPERLINK \l _Toc9698 </w:instrText>
          </w:r>
          <w:r>
            <w:rPr>
              <w:szCs w:val="22"/>
            </w:rPr>
            <w:fldChar w:fldCharType="separate"/>
          </w:r>
          <w:r>
            <w:rPr>
              <w:rFonts w:hint="eastAsia" w:hAnsi="宋体"/>
              <w:szCs w:val="24"/>
            </w:rPr>
            <w:t>四、技术商务响应文件</w:t>
          </w:r>
          <w:r>
            <w:tab/>
          </w:r>
          <w:r>
            <w:fldChar w:fldCharType="begin"/>
          </w:r>
          <w:r>
            <w:instrText xml:space="preserve"> PAGEREF _Toc9698 \h </w:instrText>
          </w:r>
          <w:r>
            <w:fldChar w:fldCharType="separate"/>
          </w:r>
          <w:r>
            <w:t>35</w:t>
          </w:r>
          <w:r>
            <w:fldChar w:fldCharType="end"/>
          </w:r>
          <w:r>
            <w:rPr>
              <w:szCs w:val="22"/>
            </w:rPr>
            <w:fldChar w:fldCharType="end"/>
          </w:r>
        </w:p>
        <w:p>
          <w:pPr>
            <w:rPr>
              <w:sz w:val="22"/>
              <w:szCs w:val="22"/>
            </w:rPr>
          </w:pPr>
          <w:r>
            <w:rPr>
              <w:szCs w:val="22"/>
            </w:rPr>
            <w:fldChar w:fldCharType="end"/>
          </w:r>
        </w:p>
      </w:sdtContent>
    </w:sdt>
    <w:p>
      <w:pPr>
        <w:rPr>
          <w:rFonts w:hint="eastAsia" w:ascii="黑体" w:hAnsi="黑体" w:eastAsia="黑体"/>
          <w:b/>
          <w:sz w:val="32"/>
          <w:szCs w:val="32"/>
        </w:rPr>
      </w:pPr>
      <w:r>
        <w:rPr>
          <w:rFonts w:hint="eastAsia" w:ascii="黑体" w:hAnsi="黑体" w:eastAsia="黑体"/>
          <w:b/>
          <w:sz w:val="32"/>
          <w:szCs w:val="32"/>
        </w:rPr>
        <w:br w:type="page"/>
      </w:r>
    </w:p>
    <w:p>
      <w:pPr>
        <w:snapToGrid w:val="0"/>
        <w:spacing w:before="340" w:after="330" w:line="360" w:lineRule="auto"/>
        <w:jc w:val="center"/>
        <w:outlineLvl w:val="0"/>
        <w:rPr>
          <w:rFonts w:ascii="黑体" w:hAnsi="黑体" w:eastAsia="黑体"/>
          <w:b/>
          <w:sz w:val="32"/>
          <w:szCs w:val="32"/>
        </w:rPr>
      </w:pPr>
      <w:bookmarkStart w:id="4" w:name="_Toc15289"/>
      <w:r>
        <w:rPr>
          <w:rFonts w:hint="eastAsia" w:ascii="黑体" w:hAnsi="黑体" w:eastAsia="黑体"/>
          <w:b/>
          <w:sz w:val="32"/>
          <w:szCs w:val="32"/>
        </w:rPr>
        <w:t>第一部分 遴选公告</w:t>
      </w:r>
      <w:bookmarkEnd w:id="0"/>
      <w:bookmarkEnd w:id="1"/>
      <w:bookmarkEnd w:id="2"/>
      <w:bookmarkEnd w:id="3"/>
      <w:bookmarkEnd w:id="4"/>
    </w:p>
    <w:p>
      <w:pPr>
        <w:snapToGrid w:val="0"/>
        <w:spacing w:line="360" w:lineRule="auto"/>
        <w:ind w:firstLine="480" w:firstLineChars="200"/>
        <w:rPr>
          <w:rFonts w:ascii="宋体" w:hAnsi="宋体"/>
          <w:sz w:val="24"/>
        </w:rPr>
      </w:pPr>
      <w:bookmarkStart w:id="5" w:name="_Toc292549970"/>
      <w:bookmarkStart w:id="6" w:name="_Toc292549581"/>
      <w:bookmarkStart w:id="7" w:name="_Toc294262679"/>
      <w:r>
        <w:rPr>
          <w:rFonts w:hint="eastAsia" w:ascii="宋体" w:hAnsi="宋体"/>
          <w:sz w:val="24"/>
        </w:rPr>
        <w:t>汕头大学·香港中文大学联合汕头国际眼科中心拟向社会公开</w:t>
      </w:r>
      <w:r>
        <w:rPr>
          <w:rFonts w:hint="eastAsia" w:ascii="宋体" w:hAnsi="宋体"/>
          <w:sz w:val="24"/>
          <w:highlight w:val="none"/>
          <w:lang w:val="en-US" w:eastAsia="zh-CN"/>
        </w:rPr>
        <w:t>遴选</w:t>
      </w:r>
      <w:r>
        <w:rPr>
          <w:rFonts w:hint="eastAsia" w:ascii="宋体" w:hAnsi="宋体"/>
          <w:sz w:val="24"/>
        </w:rPr>
        <w:t>采购招标代理服务机构，欢迎合格的投标人前来投标。有关事项公告如下：</w:t>
      </w:r>
    </w:p>
    <w:p>
      <w:pPr>
        <w:snapToGrid w:val="0"/>
        <w:spacing w:before="340" w:after="330" w:line="360" w:lineRule="auto"/>
        <w:outlineLvl w:val="1"/>
        <w:rPr>
          <w:rFonts w:ascii="宋体" w:hAnsi="宋体"/>
          <w:b/>
          <w:sz w:val="24"/>
        </w:rPr>
      </w:pPr>
      <w:bookmarkStart w:id="8" w:name="_Toc3475090"/>
      <w:bookmarkStart w:id="9" w:name="_Toc1791"/>
      <w:r>
        <w:rPr>
          <w:rFonts w:hint="eastAsia" w:ascii="宋体" w:hAnsi="宋体"/>
          <w:b/>
          <w:sz w:val="24"/>
        </w:rPr>
        <w:t>一、</w:t>
      </w:r>
      <w:r>
        <w:rPr>
          <w:rFonts w:hint="eastAsia" w:ascii="宋体" w:hAnsi="宋体"/>
          <w:b/>
          <w:sz w:val="24"/>
          <w:lang w:val="en-US" w:eastAsia="zh-CN"/>
        </w:rPr>
        <w:t>遴选</w:t>
      </w:r>
      <w:r>
        <w:rPr>
          <w:rFonts w:hint="eastAsia" w:ascii="宋体" w:hAnsi="宋体"/>
          <w:b/>
          <w:sz w:val="24"/>
        </w:rPr>
        <w:t>项目</w:t>
      </w:r>
      <w:bookmarkEnd w:id="5"/>
      <w:bookmarkEnd w:id="6"/>
      <w:bookmarkEnd w:id="7"/>
      <w:bookmarkEnd w:id="8"/>
      <w:bookmarkEnd w:id="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422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12" w:type="dxa"/>
            <w:vAlign w:val="center"/>
          </w:tcPr>
          <w:p>
            <w:pPr>
              <w:snapToGrid w:val="0"/>
              <w:jc w:val="center"/>
              <w:rPr>
                <w:rFonts w:ascii="宋体" w:hAnsi="宋体"/>
                <w:sz w:val="24"/>
              </w:rPr>
            </w:pPr>
            <w:r>
              <w:rPr>
                <w:rFonts w:hint="eastAsia" w:ascii="宋体" w:hAnsi="宋体"/>
                <w:sz w:val="24"/>
              </w:rPr>
              <w:t>序号</w:t>
            </w:r>
          </w:p>
        </w:tc>
        <w:tc>
          <w:tcPr>
            <w:tcW w:w="4229" w:type="dxa"/>
            <w:vAlign w:val="center"/>
          </w:tcPr>
          <w:p>
            <w:pPr>
              <w:snapToGrid w:val="0"/>
              <w:jc w:val="center"/>
              <w:rPr>
                <w:rFonts w:ascii="宋体" w:hAnsi="宋体"/>
                <w:sz w:val="24"/>
              </w:rPr>
            </w:pPr>
            <w:r>
              <w:rPr>
                <w:rFonts w:hint="eastAsia" w:ascii="宋体" w:hAnsi="宋体"/>
                <w:sz w:val="24"/>
              </w:rPr>
              <w:t>采购项目名称</w:t>
            </w:r>
          </w:p>
        </w:tc>
        <w:tc>
          <w:tcPr>
            <w:tcW w:w="1651" w:type="dxa"/>
            <w:vAlign w:val="center"/>
          </w:tcPr>
          <w:p>
            <w:pPr>
              <w:snapToGrid w:val="0"/>
              <w:jc w:val="cente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12" w:type="dxa"/>
            <w:vAlign w:val="center"/>
          </w:tcPr>
          <w:p>
            <w:pPr>
              <w:snapToGrid w:val="0"/>
              <w:jc w:val="center"/>
              <w:rPr>
                <w:rFonts w:ascii="宋体" w:hAnsi="宋体"/>
                <w:sz w:val="24"/>
              </w:rPr>
            </w:pPr>
            <w:bookmarkStart w:id="10" w:name="OLE_LINK1"/>
            <w:r>
              <w:rPr>
                <w:rFonts w:hint="eastAsia" w:ascii="宋体" w:hAnsi="宋体"/>
                <w:sz w:val="24"/>
              </w:rPr>
              <w:t>1</w:t>
            </w:r>
          </w:p>
        </w:tc>
        <w:tc>
          <w:tcPr>
            <w:tcW w:w="4229" w:type="dxa"/>
            <w:vAlign w:val="center"/>
          </w:tcPr>
          <w:p>
            <w:pPr>
              <w:snapToGrid w:val="0"/>
              <w:jc w:val="center"/>
              <w:rPr>
                <w:rFonts w:ascii="宋体" w:hAnsi="宋体"/>
                <w:sz w:val="24"/>
              </w:rPr>
            </w:pPr>
            <w:r>
              <w:rPr>
                <w:rFonts w:hint="eastAsia" w:ascii="宋体" w:hAnsi="宋体"/>
                <w:sz w:val="24"/>
              </w:rPr>
              <w:t>采购招标代理服务机构</w:t>
            </w:r>
          </w:p>
        </w:tc>
        <w:tc>
          <w:tcPr>
            <w:tcW w:w="1651" w:type="dxa"/>
            <w:vAlign w:val="center"/>
          </w:tcPr>
          <w:p>
            <w:pPr>
              <w:snapToGrid w:val="0"/>
              <w:jc w:val="center"/>
              <w:rPr>
                <w:rFonts w:ascii="宋体" w:hAnsi="宋体"/>
                <w:sz w:val="24"/>
              </w:rPr>
            </w:pPr>
            <w:r>
              <w:rPr>
                <w:rFonts w:hint="eastAsia" w:ascii="宋体" w:hAnsi="宋体"/>
                <w:sz w:val="24"/>
              </w:rPr>
              <w:t>6家</w:t>
            </w:r>
          </w:p>
        </w:tc>
      </w:tr>
      <w:bookmarkEnd w:id="10"/>
    </w:tbl>
    <w:p>
      <w:pPr>
        <w:snapToGrid w:val="0"/>
        <w:spacing w:line="360" w:lineRule="auto"/>
        <w:rPr>
          <w:rFonts w:ascii="宋体" w:hAnsi="宋体"/>
          <w:sz w:val="24"/>
        </w:rPr>
      </w:pPr>
      <w:bookmarkStart w:id="11" w:name="_Toc294262680"/>
      <w:bookmarkStart w:id="12" w:name="_Toc292549971"/>
      <w:bookmarkStart w:id="13" w:name="_Toc292549582"/>
    </w:p>
    <w:p>
      <w:pPr>
        <w:snapToGrid w:val="0"/>
        <w:spacing w:before="340" w:after="330" w:line="360" w:lineRule="auto"/>
        <w:outlineLvl w:val="1"/>
        <w:rPr>
          <w:rFonts w:ascii="宋体" w:hAnsi="宋体"/>
          <w:b/>
          <w:sz w:val="24"/>
        </w:rPr>
      </w:pPr>
      <w:bookmarkStart w:id="14" w:name="_Toc3475091"/>
      <w:bookmarkStart w:id="15" w:name="_Toc4827"/>
      <w:r>
        <w:rPr>
          <w:rFonts w:hint="eastAsia" w:ascii="宋体" w:hAnsi="宋体"/>
          <w:b/>
          <w:sz w:val="24"/>
        </w:rPr>
        <w:t>二、</w:t>
      </w:r>
      <w:r>
        <w:rPr>
          <w:rFonts w:hint="eastAsia" w:ascii="宋体" w:hAnsi="宋体"/>
          <w:b/>
          <w:sz w:val="24"/>
          <w:lang w:val="en-US" w:eastAsia="zh-CN"/>
        </w:rPr>
        <w:t>遴选</w:t>
      </w:r>
      <w:r>
        <w:rPr>
          <w:rFonts w:hint="eastAsia" w:ascii="宋体" w:hAnsi="宋体"/>
          <w:b/>
          <w:sz w:val="24"/>
        </w:rPr>
        <w:t>项目</w:t>
      </w:r>
      <w:bookmarkEnd w:id="11"/>
      <w:bookmarkEnd w:id="12"/>
      <w:bookmarkEnd w:id="13"/>
      <w:r>
        <w:rPr>
          <w:rFonts w:hint="eastAsia" w:ascii="宋体" w:hAnsi="宋体"/>
          <w:b/>
          <w:sz w:val="24"/>
        </w:rPr>
        <w:t>简述</w:t>
      </w:r>
      <w:bookmarkEnd w:id="14"/>
      <w:bookmarkEnd w:id="15"/>
    </w:p>
    <w:p>
      <w:pPr>
        <w:snapToGrid w:val="0"/>
        <w:spacing w:line="360" w:lineRule="auto"/>
        <w:ind w:firstLine="480" w:firstLineChars="200"/>
        <w:rPr>
          <w:rFonts w:ascii="宋体" w:hAnsi="宋体"/>
          <w:sz w:val="24"/>
        </w:rPr>
      </w:pPr>
      <w:r>
        <w:rPr>
          <w:rFonts w:hint="eastAsia" w:ascii="宋体" w:hAnsi="宋体"/>
          <w:sz w:val="24"/>
        </w:rPr>
        <w:t>1、性质：服务采购。</w:t>
      </w:r>
    </w:p>
    <w:p>
      <w:pPr>
        <w:snapToGrid w:val="0"/>
        <w:spacing w:line="360" w:lineRule="auto"/>
        <w:ind w:firstLine="480" w:firstLineChars="200"/>
        <w:rPr>
          <w:rFonts w:hint="eastAsia" w:ascii="宋体" w:hAnsi="宋体"/>
          <w:sz w:val="24"/>
        </w:rPr>
      </w:pPr>
      <w:r>
        <w:rPr>
          <w:rFonts w:hint="eastAsia" w:ascii="宋体" w:hAnsi="宋体"/>
          <w:sz w:val="24"/>
        </w:rPr>
        <w:t>2、合同履行期限：服务期限3年</w:t>
      </w:r>
      <w:bookmarkStart w:id="16" w:name="_Toc327885658"/>
      <w:bookmarkStart w:id="17" w:name="_Toc360805215"/>
      <w:bookmarkStart w:id="18" w:name="_Toc323106650"/>
      <w:bookmarkStart w:id="19" w:name="_Toc332622074"/>
      <w:bookmarkStart w:id="20" w:name="_Toc389636337"/>
      <w:bookmarkStart w:id="21" w:name="_Toc3475092"/>
    </w:p>
    <w:p>
      <w:pPr>
        <w:snapToGrid w:val="0"/>
        <w:spacing w:before="340" w:after="330" w:line="360" w:lineRule="auto"/>
        <w:outlineLvl w:val="1"/>
        <w:rPr>
          <w:rFonts w:hint="eastAsia" w:ascii="宋体" w:hAnsi="宋体"/>
          <w:b/>
          <w:sz w:val="24"/>
        </w:rPr>
      </w:pPr>
      <w:bookmarkStart w:id="22" w:name="_Toc29484"/>
      <w:r>
        <w:rPr>
          <w:rFonts w:hint="eastAsia" w:ascii="宋体" w:hAnsi="宋体"/>
          <w:b/>
          <w:sz w:val="24"/>
        </w:rPr>
        <w:t>三、投标</w:t>
      </w:r>
      <w:bookmarkEnd w:id="16"/>
      <w:bookmarkEnd w:id="17"/>
      <w:bookmarkEnd w:id="18"/>
      <w:bookmarkEnd w:id="19"/>
      <w:bookmarkEnd w:id="20"/>
      <w:bookmarkEnd w:id="21"/>
      <w:r>
        <w:rPr>
          <w:rFonts w:hint="eastAsia" w:ascii="宋体" w:hAnsi="宋体"/>
          <w:b/>
          <w:sz w:val="24"/>
        </w:rPr>
        <w:t>人的资格要求</w:t>
      </w:r>
      <w:bookmarkEnd w:id="22"/>
      <w:bookmarkStart w:id="23" w:name="_Toc389636338"/>
      <w:bookmarkStart w:id="24" w:name="_Toc323106651"/>
      <w:bookmarkStart w:id="25" w:name="_Toc360805216"/>
      <w:bookmarkStart w:id="26" w:name="_Toc292549972"/>
      <w:bookmarkStart w:id="27" w:name="_Toc3475093"/>
      <w:bookmarkStart w:id="28" w:name="_Toc294262681"/>
      <w:bookmarkStart w:id="29" w:name="_Toc292549583"/>
      <w:bookmarkStart w:id="30" w:name="_Toc327885659"/>
      <w:bookmarkStart w:id="31" w:name="_Toc317846265"/>
      <w:bookmarkStart w:id="32" w:name="_Toc332622075"/>
    </w:p>
    <w:p>
      <w:pPr>
        <w:snapToGrid w:val="0"/>
        <w:spacing w:line="360" w:lineRule="auto"/>
        <w:ind w:firstLine="480" w:firstLineChars="200"/>
        <w:rPr>
          <w:rFonts w:ascii="宋体" w:hAnsi="宋体"/>
          <w:sz w:val="24"/>
        </w:rPr>
      </w:pPr>
      <w:r>
        <w:rPr>
          <w:rFonts w:hint="eastAsia" w:ascii="宋体" w:hAnsi="宋体"/>
          <w:sz w:val="24"/>
        </w:rPr>
        <w:t>投标供应商应具备《政府采购法》第二十二条规定的条件，提供下列材料：</w:t>
      </w:r>
    </w:p>
    <w:p>
      <w:pPr>
        <w:snapToGrid w:val="0"/>
        <w:spacing w:line="360" w:lineRule="auto"/>
        <w:ind w:firstLine="480" w:firstLineChars="200"/>
        <w:rPr>
          <w:rFonts w:ascii="宋体" w:hAnsi="宋体"/>
          <w:sz w:val="24"/>
        </w:rPr>
      </w:pPr>
      <w:r>
        <w:rPr>
          <w:rFonts w:hint="eastAsia" w:ascii="宋体" w:hAnsi="宋体"/>
          <w:sz w:val="24"/>
        </w:rPr>
        <w:t>（1）具有独立承担民事责任的能力：在中华人民共和国境内注册的法人或其他组织或自然人，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pPr>
        <w:snapToGrid w:val="0"/>
        <w:spacing w:line="360" w:lineRule="auto"/>
        <w:ind w:firstLine="480" w:firstLineChars="200"/>
        <w:rPr>
          <w:rFonts w:ascii="宋体" w:hAnsi="宋体"/>
          <w:sz w:val="24"/>
        </w:rPr>
      </w:pPr>
      <w:r>
        <w:rPr>
          <w:rFonts w:hint="eastAsia" w:ascii="宋体" w:hAnsi="宋体"/>
          <w:sz w:val="24"/>
        </w:rPr>
        <w:t>（2）有依法缴纳税收和社会保障资金的良好记录：提供投标截止日前6个月内任意1个月依法缴纳税收和社会保障资金的相关材料。如依法免税或不需要缴纳社会保障资金的，提供相应证明材料。</w:t>
      </w:r>
    </w:p>
    <w:p>
      <w:pPr>
        <w:snapToGrid w:val="0"/>
        <w:spacing w:line="360" w:lineRule="auto"/>
        <w:ind w:firstLine="480" w:firstLineChars="200"/>
        <w:rPr>
          <w:rFonts w:ascii="宋体" w:hAnsi="宋体"/>
          <w:sz w:val="24"/>
        </w:rPr>
      </w:pPr>
      <w:r>
        <w:rPr>
          <w:rFonts w:hint="eastAsia" w:ascii="宋体" w:hAnsi="宋体"/>
          <w:sz w:val="24"/>
        </w:rPr>
        <w:t>（3）具有良好的商业信誉和健全的财务会计制度：供应商必须具有良好的商业信誉和健全的财务会计制度（提供2020年度财务状况报告或基本开户行出具的资信证明）。</w:t>
      </w:r>
    </w:p>
    <w:p>
      <w:pPr>
        <w:snapToGrid w:val="0"/>
        <w:spacing w:line="360" w:lineRule="auto"/>
        <w:ind w:firstLine="480" w:firstLineChars="200"/>
        <w:rPr>
          <w:rFonts w:ascii="宋体" w:hAnsi="宋体"/>
          <w:sz w:val="24"/>
        </w:rPr>
      </w:pPr>
      <w:r>
        <w:rPr>
          <w:rFonts w:hint="eastAsia" w:ascii="宋体" w:hAnsi="宋体"/>
          <w:sz w:val="24"/>
        </w:rPr>
        <w:t>（4）参加本次遴选活动前3年内，在经营活动中没有重大违法记录：在经营活动中没有重大违法记录。</w:t>
      </w:r>
    </w:p>
    <w:p>
      <w:pPr>
        <w:snapToGrid w:val="0"/>
        <w:spacing w:line="360" w:lineRule="auto"/>
        <w:ind w:firstLine="480" w:firstLineChars="200"/>
        <w:rPr>
          <w:rFonts w:ascii="宋体" w:hAnsi="宋体"/>
          <w:sz w:val="24"/>
        </w:rPr>
      </w:pPr>
      <w:r>
        <w:rPr>
          <w:rFonts w:hint="eastAsia" w:ascii="宋体" w:hAnsi="宋体"/>
          <w:sz w:val="24"/>
        </w:rPr>
        <w:t>（5）供应商未被列入“信用中国”网站(www.creditchina.gov.cn)“记录失信被执行人或重大税收违法案件当事人名单”记录名单；不处于中国政府采购网(www.ccgp.gov.cn)“政府采购严重违法失信行为信息记录”中的禁止参加政府采购活动期间。（以投标（响应）截止时间当天在“信用中国”网站（www.creditchina.gov.cn）及中国政府采购网（http://www.ccgp.gov.cn/）查询结果为准，如相关失信记录已失效，供应商需提供相关证明资料）。</w:t>
      </w:r>
    </w:p>
    <w:p>
      <w:pPr>
        <w:snapToGrid w:val="0"/>
        <w:spacing w:line="360" w:lineRule="auto"/>
        <w:ind w:firstLine="480" w:firstLineChars="200"/>
        <w:rPr>
          <w:rFonts w:ascii="宋体" w:hAnsi="宋体"/>
          <w:sz w:val="24"/>
        </w:rPr>
      </w:pPr>
      <w:r>
        <w:rPr>
          <w:rFonts w:hint="eastAsia" w:ascii="宋体" w:hAnsi="宋体"/>
          <w:sz w:val="24"/>
        </w:rPr>
        <w:t>（6）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snapToGrid w:val="0"/>
        <w:spacing w:line="360" w:lineRule="auto"/>
        <w:ind w:firstLine="480" w:firstLineChars="200"/>
        <w:rPr>
          <w:rFonts w:ascii="宋体" w:hAnsi="宋体"/>
          <w:sz w:val="24"/>
        </w:rPr>
      </w:pPr>
      <w:r>
        <w:rPr>
          <w:rFonts w:hint="eastAsia" w:ascii="宋体" w:hAnsi="宋体"/>
          <w:sz w:val="24"/>
        </w:rPr>
        <w:t>（7）投标人已在招标公告规定时间内向汕头大学·香港中文大学联合汕头国际眼科中心报名登记成功。</w:t>
      </w:r>
    </w:p>
    <w:p>
      <w:pPr>
        <w:snapToGrid w:val="0"/>
        <w:spacing w:line="360" w:lineRule="auto"/>
        <w:ind w:firstLine="480" w:firstLineChars="200"/>
        <w:rPr>
          <w:rFonts w:ascii="宋体" w:hAnsi="宋体"/>
          <w:sz w:val="21"/>
        </w:rPr>
      </w:pPr>
      <w:r>
        <w:rPr>
          <w:rFonts w:hint="eastAsia" w:ascii="宋体" w:hAnsi="宋体"/>
          <w:sz w:val="24"/>
        </w:rPr>
        <w:t>（8）已在中国政府采购网广东分网完成政府采购代理机构网上登记、纳入政府采购代理机构名录</w:t>
      </w:r>
      <w:r>
        <w:rPr>
          <w:rFonts w:hint="eastAsia" w:ascii="宋体" w:hAnsi="宋体"/>
          <w:sz w:val="21"/>
        </w:rPr>
        <w:t>（</w:t>
      </w:r>
      <w:r>
        <w:fldChar w:fldCharType="begin"/>
      </w:r>
      <w:r>
        <w:instrText xml:space="preserve"> HYPERLINK "https://gdgpo.czt.gd.gov.cn/freecms/site/guangdong/dljg/index.html" </w:instrText>
      </w:r>
      <w:r>
        <w:fldChar w:fldCharType="separate"/>
      </w:r>
      <w:r>
        <w:rPr>
          <w:rFonts w:hint="eastAsia" w:ascii="宋体" w:hAnsi="宋体"/>
          <w:sz w:val="21"/>
        </w:rPr>
        <w:t>https://gdgpo.czt.gd.gov.cn/freecms/site/guangdong/dljg/index.html</w:t>
      </w:r>
      <w:r>
        <w:rPr>
          <w:rFonts w:hint="eastAsia" w:ascii="宋体" w:hAnsi="宋体"/>
          <w:sz w:val="21"/>
        </w:rPr>
        <w:fldChar w:fldCharType="end"/>
      </w:r>
      <w:r>
        <w:rPr>
          <w:rFonts w:hint="eastAsia" w:ascii="宋体" w:hAnsi="宋体"/>
          <w:sz w:val="21"/>
        </w:rPr>
        <w:t>）。</w:t>
      </w:r>
    </w:p>
    <w:p>
      <w:pPr>
        <w:snapToGrid w:val="0"/>
        <w:spacing w:line="360" w:lineRule="auto"/>
        <w:ind w:firstLine="480" w:firstLineChars="200"/>
        <w:rPr>
          <w:rFonts w:ascii="宋体" w:hAnsi="宋体"/>
          <w:sz w:val="24"/>
        </w:rPr>
      </w:pPr>
      <w:r>
        <w:rPr>
          <w:rFonts w:hint="eastAsia" w:ascii="宋体" w:hAnsi="宋体"/>
          <w:sz w:val="24"/>
        </w:rPr>
        <w:t>（9）本项目不接受联合体供应商参加。</w:t>
      </w:r>
    </w:p>
    <w:p>
      <w:pPr>
        <w:snapToGrid w:val="0"/>
        <w:spacing w:line="360" w:lineRule="auto"/>
        <w:ind w:firstLine="480" w:firstLineChars="200"/>
        <w:rPr>
          <w:rFonts w:ascii="宋体" w:hAnsi="宋体"/>
          <w:sz w:val="24"/>
        </w:rPr>
      </w:pPr>
      <w:r>
        <w:rPr>
          <w:rFonts w:hint="eastAsia" w:ascii="宋体" w:hAnsi="宋体"/>
          <w:sz w:val="24"/>
        </w:rPr>
        <w:t>（10）法律、行政法规规定的其他条件。</w:t>
      </w:r>
    </w:p>
    <w:p>
      <w:pPr>
        <w:snapToGrid w:val="0"/>
        <w:spacing w:before="340" w:after="330" w:line="360" w:lineRule="auto"/>
        <w:outlineLvl w:val="1"/>
        <w:rPr>
          <w:rFonts w:ascii="宋体" w:hAnsi="宋体"/>
          <w:b/>
          <w:bCs w:val="0"/>
          <w:sz w:val="24"/>
        </w:rPr>
      </w:pPr>
      <w:bookmarkStart w:id="33" w:name="_Toc8123"/>
      <w:r>
        <w:rPr>
          <w:rFonts w:hint="eastAsia" w:ascii="宋体" w:hAnsi="宋体"/>
          <w:b/>
          <w:bCs w:val="0"/>
          <w:sz w:val="24"/>
        </w:rPr>
        <w:t>四</w:t>
      </w:r>
      <w:r>
        <w:rPr>
          <w:rFonts w:ascii="宋体" w:hAnsi="宋体"/>
          <w:b/>
          <w:bCs w:val="0"/>
          <w:sz w:val="24"/>
        </w:rPr>
        <w:t>、</w:t>
      </w:r>
      <w:r>
        <w:rPr>
          <w:rFonts w:hint="eastAsia" w:ascii="宋体" w:hAnsi="宋体"/>
          <w:b/>
          <w:bCs w:val="0"/>
          <w:sz w:val="24"/>
        </w:rPr>
        <w:t>报名办法及联系方式</w:t>
      </w:r>
      <w:r>
        <w:rPr>
          <w:rFonts w:ascii="宋体" w:hAnsi="宋体"/>
          <w:b/>
          <w:bCs w:val="0"/>
          <w:sz w:val="24"/>
        </w:rPr>
        <w:t>：</w:t>
      </w:r>
      <w:bookmarkEnd w:id="33"/>
    </w:p>
    <w:p>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、供应商报名截止时间：</w:t>
      </w: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日1</w:t>
      </w: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0</w:t>
      </w:r>
      <w:r>
        <w:rPr>
          <w:rFonts w:hint="eastAsia" w:ascii="宋体" w:hAnsi="宋体"/>
          <w:sz w:val="24"/>
          <w:highlight w:val="none"/>
        </w:rPr>
        <w:t>0。</w:t>
      </w:r>
      <w:r>
        <w:rPr>
          <w:rFonts w:hint="eastAsia" w:ascii="宋体" w:hAnsi="宋体"/>
          <w:sz w:val="24"/>
        </w:rPr>
        <w:t>上班时间（周一至周六上午，上午8:00-12:00，下午2:30-5:30）。</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2、</w:t>
      </w:r>
      <w:r>
        <w:rPr>
          <w:rFonts w:ascii="宋体" w:hAnsi="宋体"/>
          <w:sz w:val="24"/>
        </w:rPr>
        <w:t>供应商递交遴选资料</w:t>
      </w:r>
      <w:r>
        <w:rPr>
          <w:rFonts w:hint="eastAsia" w:ascii="宋体" w:hAnsi="宋体"/>
          <w:sz w:val="24"/>
        </w:rPr>
        <w:t>截止时间：</w:t>
      </w:r>
      <w:r>
        <w:rPr>
          <w:rFonts w:hint="eastAsia" w:ascii="宋体" w:hAnsi="宋体"/>
          <w:sz w:val="24"/>
          <w:highlight w:val="none"/>
          <w:lang w:eastAsia="zh-CN"/>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14</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0。</w:t>
      </w:r>
      <w:r>
        <w:rPr>
          <w:rFonts w:hint="eastAsia" w:ascii="宋体" w:hAnsi="宋体"/>
          <w:sz w:val="24"/>
        </w:rPr>
        <w:t>上班时间（周一至周六上午，上午8:00-12:00，下午2:30-5:30）。</w:t>
      </w:r>
    </w:p>
    <w:p>
      <w:pPr>
        <w:snapToGrid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、报名地点：汕头大学·香港中文大学联合汕头国际眼科中心综合楼6楼</w:t>
      </w:r>
      <w:r>
        <w:rPr>
          <w:rFonts w:hint="eastAsia" w:ascii="宋体" w:hAnsi="宋体"/>
          <w:sz w:val="24"/>
          <w:highlight w:val="none"/>
          <w:lang w:val="en-US" w:eastAsia="zh-CN"/>
        </w:rPr>
        <w:t>纪检办公室</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、汕头市区外有意向参加的供应商请以电子邮件方式向汕头大学·香港中文大学联合汕头国际眼科中心</w:t>
      </w:r>
      <w:r>
        <w:rPr>
          <w:rFonts w:hint="eastAsia" w:ascii="宋体" w:hAnsi="宋体"/>
          <w:color w:val="auto"/>
          <w:sz w:val="24"/>
          <w:highlight w:val="none"/>
          <w:lang w:val="en-US" w:eastAsia="zh-CN"/>
        </w:rPr>
        <w:t>纪检办</w:t>
      </w:r>
      <w:r>
        <w:rPr>
          <w:rFonts w:hint="eastAsia" w:ascii="宋体" w:hAnsi="宋体"/>
          <w:b w:val="0"/>
          <w:bCs w:val="0"/>
          <w:color w:val="auto"/>
          <w:sz w:val="24"/>
          <w:highlight w:val="none"/>
        </w:rPr>
        <w:t>(</w:t>
      </w:r>
      <w:r>
        <w:rPr>
          <w:rFonts w:ascii="宋体" w:hAnsi="宋体"/>
          <w:b w:val="0"/>
          <w:bCs w:val="0"/>
          <w:color w:val="auto"/>
          <w:sz w:val="24"/>
          <w:highlight w:val="none"/>
        </w:rPr>
        <w:t>liuzr@jsiec.org</w:t>
      </w:r>
      <w:r>
        <w:rPr>
          <w:rFonts w:hint="eastAsia" w:ascii="宋体" w:hAnsi="宋体"/>
          <w:b w:val="0"/>
          <w:bCs w:val="0"/>
          <w:color w:val="auto"/>
          <w:sz w:val="24"/>
          <w:highlight w:val="none"/>
        </w:rPr>
        <w:t>)</w:t>
      </w:r>
      <w:r>
        <w:rPr>
          <w:rFonts w:hint="eastAsia" w:ascii="宋体" w:hAnsi="宋体"/>
          <w:color w:val="auto"/>
          <w:sz w:val="24"/>
          <w:highlight w:val="none"/>
        </w:rPr>
        <w:t>报</w:t>
      </w:r>
      <w:r>
        <w:rPr>
          <w:rFonts w:hint="eastAsia" w:ascii="宋体" w:hAnsi="宋体"/>
          <w:sz w:val="24"/>
        </w:rPr>
        <w:t>名，为避免遗漏，请以“报名—汕头大学·香港中文大学联合汕头国际眼科中心采购招标代理服务机构遴选项目”为邮件主题。</w:t>
      </w:r>
    </w:p>
    <w:p>
      <w:pPr>
        <w:snapToGrid w:val="0"/>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报名</w:t>
      </w:r>
      <w:r>
        <w:rPr>
          <w:rFonts w:hint="eastAsia" w:ascii="宋体" w:hAnsi="宋体"/>
          <w:sz w:val="24"/>
        </w:rPr>
        <w:t>资料</w:t>
      </w:r>
      <w:r>
        <w:rPr>
          <w:rFonts w:hint="eastAsia" w:ascii="宋体" w:hAnsi="宋体"/>
          <w:sz w:val="24"/>
          <w:lang w:val="en-US" w:eastAsia="zh-CN"/>
        </w:rPr>
        <w:t>如下</w:t>
      </w:r>
      <w:r>
        <w:rPr>
          <w:rFonts w:hint="eastAsia" w:ascii="宋体" w:hAnsi="宋体"/>
          <w:sz w:val="24"/>
        </w:rPr>
        <w:t>（全部须加盖公章）：</w:t>
      </w:r>
    </w:p>
    <w:p>
      <w:pPr>
        <w:snapToGrid w:val="0"/>
        <w:spacing w:line="360" w:lineRule="auto"/>
        <w:ind w:firstLine="480" w:firstLineChars="200"/>
        <w:rPr>
          <w:rFonts w:ascii="宋体" w:hAnsi="宋体"/>
          <w:sz w:val="24"/>
        </w:rPr>
      </w:pPr>
      <w:r>
        <w:rPr>
          <w:rFonts w:ascii="宋体" w:hAnsi="宋体"/>
          <w:sz w:val="24"/>
        </w:rPr>
        <w:t>（1）报名函（格式见</w:t>
      </w:r>
      <w:r>
        <w:rPr>
          <w:rFonts w:hint="eastAsia" w:ascii="宋体" w:hAnsi="宋体"/>
          <w:sz w:val="24"/>
        </w:rPr>
        <w:t>遴选</w:t>
      </w:r>
      <w:r>
        <w:rPr>
          <w:rFonts w:ascii="宋体" w:hAnsi="宋体"/>
          <w:sz w:val="24"/>
        </w:rPr>
        <w:t>文件）；</w:t>
      </w:r>
    </w:p>
    <w:p>
      <w:pPr>
        <w:snapToGrid w:val="0"/>
        <w:spacing w:line="360" w:lineRule="auto"/>
        <w:ind w:firstLine="480" w:firstLineChars="200"/>
        <w:rPr>
          <w:rFonts w:ascii="宋体" w:hAnsi="宋体"/>
          <w:sz w:val="24"/>
        </w:rPr>
      </w:pPr>
      <w:r>
        <w:rPr>
          <w:rFonts w:ascii="宋体" w:hAnsi="宋体"/>
          <w:sz w:val="24"/>
        </w:rPr>
        <w:t>（2）投标人企业营业执照或事业单位法人证书或其他组织、税务登记证及组织机构代码证复印件（已办理三证合一或五证合一的投标人则只需提供营业执照）；</w:t>
      </w:r>
    </w:p>
    <w:p>
      <w:pPr>
        <w:snapToGrid w:val="0"/>
        <w:spacing w:line="360" w:lineRule="auto"/>
        <w:ind w:firstLine="480" w:firstLineChars="200"/>
        <w:rPr>
          <w:rFonts w:ascii="宋体" w:hAnsi="宋体"/>
          <w:sz w:val="24"/>
        </w:rPr>
      </w:pPr>
      <w:r>
        <w:rPr>
          <w:rFonts w:ascii="宋体" w:hAnsi="宋体"/>
          <w:sz w:val="24"/>
        </w:rPr>
        <w:t>（3）投标人法定代表人证明书及法定代表人身份证复印件；</w:t>
      </w:r>
    </w:p>
    <w:p>
      <w:pPr>
        <w:snapToGrid w:val="0"/>
        <w:spacing w:line="360" w:lineRule="auto"/>
        <w:ind w:firstLine="480" w:firstLineChars="200"/>
        <w:rPr>
          <w:rFonts w:ascii="宋体" w:hAnsi="宋体"/>
          <w:sz w:val="24"/>
        </w:rPr>
      </w:pPr>
      <w:r>
        <w:rPr>
          <w:rFonts w:ascii="宋体" w:hAnsi="宋体"/>
          <w:sz w:val="24"/>
        </w:rPr>
        <w:t>（4）投标人法定代表人授权委托书及授权代表身份证复印件（法定代表人为投标人代表并亲自签署投标文件的可不提交）。</w:t>
      </w:r>
    </w:p>
    <w:p>
      <w:pPr>
        <w:pStyle w:val="22"/>
        <w:widowControl/>
        <w:spacing w:line="360" w:lineRule="auto"/>
        <w:ind w:firstLine="386"/>
        <w:jc w:val="both"/>
        <w:textAlignment w:val="baseline"/>
        <w:rPr>
          <w:rFonts w:ascii="宋体" w:hAnsi="宋体" w:cs="宋体"/>
          <w:color w:val="000000"/>
          <w:shd w:val="clear" w:color="auto" w:fill="FFFFFF"/>
        </w:rPr>
      </w:pPr>
      <w:r>
        <w:rPr>
          <w:rFonts w:hint="eastAsia" w:ascii="宋体" w:hAnsi="宋体"/>
          <w:b/>
          <w:kern w:val="2"/>
        </w:rPr>
        <w:t>以上文件在报名登记时必须保证以上文件真实可靠，如因所提供文件不实导致与本项目有关的任何损失由提供人承担。</w:t>
      </w:r>
    </w:p>
    <w:p>
      <w:pPr>
        <w:snapToGrid w:val="0"/>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纪检办</w:t>
      </w:r>
      <w:r>
        <w:rPr>
          <w:rFonts w:ascii="宋体" w:hAnsi="宋体"/>
          <w:sz w:val="24"/>
        </w:rPr>
        <w:t>对投标人提交报名资料的核对，仅代表其报名的确认，不代表其投标资格的确认。投标人的投标资格最终以</w:t>
      </w:r>
      <w:r>
        <w:rPr>
          <w:rFonts w:hint="eastAsia" w:ascii="宋体" w:hAnsi="宋体"/>
          <w:sz w:val="24"/>
        </w:rPr>
        <w:t>遴选</w:t>
      </w:r>
      <w:r>
        <w:rPr>
          <w:rFonts w:ascii="宋体" w:hAnsi="宋体"/>
          <w:sz w:val="24"/>
        </w:rPr>
        <w:t>小组根据其投标文件中的相关资料作出的评审结论为准。当</w:t>
      </w:r>
      <w:r>
        <w:rPr>
          <w:rFonts w:hint="eastAsia" w:ascii="宋体" w:hAnsi="宋体"/>
          <w:sz w:val="24"/>
        </w:rPr>
        <w:t>遴选</w:t>
      </w:r>
      <w:r>
        <w:rPr>
          <w:rFonts w:ascii="宋体" w:hAnsi="宋体"/>
          <w:sz w:val="24"/>
        </w:rPr>
        <w:t>小组对投标文件中资质证明文件的复印件有疑问时，</w:t>
      </w:r>
      <w:r>
        <w:rPr>
          <w:rFonts w:hint="eastAsia" w:ascii="宋体" w:hAnsi="宋体"/>
          <w:sz w:val="24"/>
        </w:rPr>
        <w:t>遴选人</w:t>
      </w:r>
      <w:r>
        <w:rPr>
          <w:rFonts w:ascii="宋体" w:hAnsi="宋体"/>
          <w:sz w:val="24"/>
        </w:rPr>
        <w:t>有权利要求投标人在规定时间内提供原件进行核对。</w:t>
      </w:r>
    </w:p>
    <w:p>
      <w:pPr>
        <w:snapToGrid w:val="0"/>
        <w:spacing w:before="340" w:after="330" w:line="360" w:lineRule="auto"/>
        <w:outlineLvl w:val="1"/>
        <w:rPr>
          <w:rFonts w:ascii="宋体" w:hAnsi="宋体"/>
          <w:b/>
          <w:sz w:val="24"/>
        </w:rPr>
      </w:pPr>
      <w:bookmarkStart w:id="34" w:name="_Toc26105"/>
      <w:r>
        <w:rPr>
          <w:rFonts w:hint="eastAsia" w:ascii="宋体" w:hAnsi="宋体"/>
          <w:b/>
          <w:sz w:val="24"/>
        </w:rPr>
        <w:t>五</w:t>
      </w:r>
      <w:r>
        <w:rPr>
          <w:rFonts w:ascii="宋体" w:hAnsi="宋体"/>
          <w:b/>
          <w:sz w:val="24"/>
        </w:rPr>
        <w:t>、</w:t>
      </w:r>
      <w:r>
        <w:rPr>
          <w:rFonts w:hint="eastAsia" w:ascii="宋体" w:hAnsi="宋体"/>
          <w:b/>
          <w:sz w:val="24"/>
        </w:rPr>
        <w:t>标书文件获取方式</w:t>
      </w:r>
      <w:r>
        <w:rPr>
          <w:rFonts w:ascii="宋体" w:hAnsi="宋体"/>
          <w:b/>
          <w:sz w:val="24"/>
        </w:rPr>
        <w:t>：</w:t>
      </w:r>
      <w:bookmarkEnd w:id="34"/>
    </w:p>
    <w:p>
      <w:pPr>
        <w:snapToGrid w:val="0"/>
        <w:spacing w:before="340" w:after="330" w:line="360" w:lineRule="auto"/>
        <w:ind w:firstLine="480" w:firstLineChars="200"/>
        <w:rPr>
          <w:rFonts w:hint="eastAsia" w:ascii="宋体" w:hAnsi="宋体"/>
          <w:sz w:val="24"/>
        </w:rPr>
      </w:pPr>
      <w:r>
        <w:rPr>
          <w:rFonts w:hint="eastAsia" w:ascii="宋体" w:hAnsi="宋体"/>
          <w:sz w:val="24"/>
        </w:rPr>
        <w:t>标书获取方式：直接从网上下载招标书（网址：www.jsiec.org，[招标信息]栏，[招标公告附件]）。联系方式：</w:t>
      </w:r>
      <w:r>
        <w:rPr>
          <w:rFonts w:hint="eastAsia" w:ascii="宋体" w:hAnsi="宋体"/>
          <w:sz w:val="24"/>
          <w:highlight w:val="none"/>
          <w:lang w:val="en-US" w:eastAsia="zh-CN"/>
        </w:rPr>
        <w:t>郑女士（zxc@jsiec.org）</w:t>
      </w:r>
      <w:r>
        <w:rPr>
          <w:rFonts w:hint="eastAsia" w:ascii="宋体" w:hAnsi="宋体"/>
          <w:sz w:val="24"/>
          <w:lang w:val="en-US" w:eastAsia="zh-CN"/>
        </w:rPr>
        <w:t>、</w:t>
      </w:r>
      <w:r>
        <w:rPr>
          <w:rFonts w:hint="eastAsia" w:ascii="宋体" w:hAnsi="宋体"/>
          <w:sz w:val="24"/>
        </w:rPr>
        <w:t>林科长（邮箱：lhy@jsiec.org），电话：0754-88393500。</w:t>
      </w:r>
    </w:p>
    <w:p>
      <w:pPr>
        <w:snapToGrid w:val="0"/>
        <w:spacing w:before="340" w:after="330" w:line="360" w:lineRule="auto"/>
        <w:outlineLvl w:val="1"/>
        <w:rPr>
          <w:rFonts w:ascii="宋体" w:hAnsi="宋体"/>
          <w:b/>
          <w:sz w:val="24"/>
        </w:rPr>
      </w:pPr>
      <w:bookmarkStart w:id="35" w:name="_Toc21043"/>
      <w:r>
        <w:rPr>
          <w:rFonts w:hint="eastAsia" w:ascii="宋体" w:hAnsi="宋体"/>
          <w:b/>
          <w:sz w:val="24"/>
        </w:rPr>
        <w:t>六</w:t>
      </w:r>
      <w:r>
        <w:rPr>
          <w:rFonts w:ascii="宋体" w:hAnsi="宋体"/>
          <w:b/>
          <w:sz w:val="24"/>
        </w:rPr>
        <w:t>、投标保证金：</w:t>
      </w:r>
      <w:bookmarkEnd w:id="35"/>
    </w:p>
    <w:p>
      <w:pPr>
        <w:pStyle w:val="22"/>
        <w:widowControl/>
        <w:spacing w:line="30" w:lineRule="atLeast"/>
        <w:ind w:firstLine="384"/>
        <w:jc w:val="both"/>
        <w:textAlignment w:val="baseline"/>
        <w:rPr>
          <w:rFonts w:ascii="宋体" w:hAnsi="宋体"/>
          <w:kern w:val="2"/>
        </w:rPr>
      </w:pPr>
      <w:r>
        <w:rPr>
          <w:rFonts w:ascii="宋体" w:hAnsi="宋体"/>
          <w:kern w:val="2"/>
        </w:rPr>
        <w:t>本项目不收取投标保证金。</w:t>
      </w:r>
    </w:p>
    <w:p>
      <w:pPr>
        <w:snapToGrid w:val="0"/>
        <w:spacing w:before="340" w:after="330" w:line="360" w:lineRule="auto"/>
        <w:outlineLvl w:val="1"/>
        <w:rPr>
          <w:rFonts w:ascii="宋体" w:hAnsi="宋体"/>
          <w:b/>
          <w:sz w:val="24"/>
        </w:rPr>
      </w:pPr>
      <w:bookmarkStart w:id="36" w:name="_Toc10389"/>
      <w:r>
        <w:rPr>
          <w:rFonts w:hint="eastAsia" w:ascii="宋体" w:hAnsi="宋体"/>
          <w:b/>
          <w:sz w:val="24"/>
          <w:lang w:val="en-US" w:eastAsia="zh-CN"/>
        </w:rPr>
        <w:t>七</w:t>
      </w:r>
      <w:r>
        <w:rPr>
          <w:rFonts w:ascii="宋体" w:hAnsi="宋体"/>
          <w:b/>
          <w:sz w:val="24"/>
        </w:rPr>
        <w:t>、</w:t>
      </w:r>
      <w:r>
        <w:rPr>
          <w:rFonts w:hint="eastAsia" w:ascii="宋体" w:hAnsi="宋体"/>
          <w:b/>
          <w:sz w:val="24"/>
        </w:rPr>
        <w:t>联系事项</w:t>
      </w:r>
      <w:r>
        <w:rPr>
          <w:rFonts w:ascii="宋体" w:hAnsi="宋体"/>
          <w:b/>
          <w:sz w:val="24"/>
        </w:rPr>
        <w:t>：</w:t>
      </w:r>
      <w:bookmarkEnd w:id="36"/>
    </w:p>
    <w:p>
      <w:pPr>
        <w:pStyle w:val="22"/>
        <w:widowControl/>
        <w:spacing w:line="360" w:lineRule="auto"/>
        <w:ind w:firstLine="386"/>
        <w:jc w:val="both"/>
        <w:textAlignment w:val="baseline"/>
        <w:rPr>
          <w:rFonts w:ascii="宋体" w:hAnsi="宋体"/>
          <w:kern w:val="2"/>
        </w:rPr>
      </w:pPr>
      <w:r>
        <w:rPr>
          <w:rFonts w:ascii="宋体" w:hAnsi="宋体"/>
          <w:kern w:val="2"/>
        </w:rPr>
        <w:t>1</w:t>
      </w:r>
      <w:r>
        <w:rPr>
          <w:rFonts w:hint="eastAsia" w:ascii="宋体" w:hAnsi="宋体"/>
          <w:kern w:val="2"/>
        </w:rPr>
        <w:t>、</w:t>
      </w:r>
      <w:r>
        <w:rPr>
          <w:rFonts w:ascii="宋体" w:hAnsi="宋体"/>
          <w:kern w:val="2"/>
        </w:rPr>
        <w:t>招标组织：</w:t>
      </w:r>
      <w:r>
        <w:rPr>
          <w:rFonts w:hint="eastAsia" w:ascii="宋体" w:hAnsi="宋体"/>
          <w:kern w:val="2"/>
        </w:rPr>
        <w:t>汕头大学·香港中文大学联合汕头国际眼科中心</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2、</w:t>
      </w:r>
      <w:r>
        <w:rPr>
          <w:rFonts w:ascii="宋体" w:hAnsi="宋体"/>
          <w:kern w:val="2"/>
        </w:rPr>
        <w:t>联 系 人：</w:t>
      </w:r>
      <w:r>
        <w:rPr>
          <w:rFonts w:hint="eastAsia" w:ascii="宋体" w:hAnsi="宋体"/>
          <w:sz w:val="24"/>
          <w:highlight w:val="none"/>
          <w:lang w:val="en-US" w:eastAsia="zh-CN"/>
        </w:rPr>
        <w:t>郑女士、</w:t>
      </w:r>
      <w:r>
        <w:rPr>
          <w:rFonts w:hint="eastAsia" w:ascii="宋体" w:hAnsi="宋体"/>
          <w:kern w:val="2"/>
        </w:rPr>
        <w:t>林科长</w:t>
      </w:r>
    </w:p>
    <w:p>
      <w:pPr>
        <w:pStyle w:val="22"/>
        <w:widowControl/>
        <w:spacing w:line="360" w:lineRule="auto"/>
        <w:ind w:firstLine="386"/>
        <w:jc w:val="both"/>
        <w:textAlignment w:val="baseline"/>
        <w:rPr>
          <w:rFonts w:hint="default" w:ascii="宋体" w:hAnsi="宋体" w:eastAsia="宋体"/>
          <w:kern w:val="2"/>
          <w:lang w:val="en-US" w:eastAsia="zh-CN"/>
        </w:rPr>
      </w:pPr>
      <w:r>
        <w:rPr>
          <w:rFonts w:hint="eastAsia" w:ascii="宋体" w:hAnsi="宋体"/>
          <w:kern w:val="2"/>
        </w:rPr>
        <w:t>3、</w:t>
      </w:r>
      <w:r>
        <w:rPr>
          <w:rFonts w:ascii="宋体" w:hAnsi="宋体"/>
          <w:kern w:val="2"/>
        </w:rPr>
        <w:t>电 话：0754-883935</w:t>
      </w:r>
      <w:r>
        <w:rPr>
          <w:rFonts w:hint="eastAsia" w:ascii="宋体" w:hAnsi="宋体"/>
          <w:kern w:val="2"/>
          <w:lang w:val="en-US" w:eastAsia="zh-CN"/>
        </w:rPr>
        <w:t>71、</w:t>
      </w:r>
      <w:r>
        <w:rPr>
          <w:rFonts w:ascii="宋体" w:hAnsi="宋体"/>
          <w:kern w:val="2"/>
        </w:rPr>
        <w:t>0754-</w:t>
      </w:r>
      <w:r>
        <w:rPr>
          <w:rFonts w:hint="eastAsia" w:ascii="宋体" w:hAnsi="宋体"/>
          <w:kern w:val="2"/>
          <w:lang w:val="en-US" w:eastAsia="zh-CN"/>
        </w:rPr>
        <w:t>88393500</w:t>
      </w:r>
    </w:p>
    <w:p>
      <w:pPr>
        <w:pStyle w:val="22"/>
        <w:widowControl/>
        <w:spacing w:line="360" w:lineRule="auto"/>
        <w:ind w:firstLine="386"/>
        <w:jc w:val="both"/>
        <w:textAlignment w:val="baseline"/>
        <w:rPr>
          <w:rFonts w:ascii="宋体" w:hAnsi="宋体"/>
          <w:sz w:val="24"/>
        </w:rPr>
      </w:pPr>
      <w:r>
        <w:rPr>
          <w:rFonts w:hint="eastAsia" w:ascii="宋体" w:hAnsi="宋体"/>
          <w:kern w:val="2"/>
        </w:rPr>
        <w:t>4、</w:t>
      </w:r>
      <w:r>
        <w:rPr>
          <w:rFonts w:ascii="宋体" w:hAnsi="宋体"/>
          <w:kern w:val="2"/>
        </w:rPr>
        <w:t>邮 箱：</w:t>
      </w:r>
      <w:r>
        <w:rPr>
          <w:rFonts w:hint="eastAsia" w:ascii="宋体" w:hAnsi="宋体"/>
          <w:sz w:val="24"/>
          <w:highlight w:val="none"/>
          <w:lang w:val="en-US" w:eastAsia="zh-CN"/>
        </w:rPr>
        <w:t>zxc@jsiec.org、</w:t>
      </w:r>
      <w:r>
        <w:rPr>
          <w:rFonts w:ascii="宋体" w:hAnsi="宋体"/>
          <w:kern w:val="2"/>
        </w:rPr>
        <w:t>lhy@jsiec.org</w:t>
      </w:r>
      <w:r>
        <w:rPr>
          <w:rFonts w:hint="eastAsia" w:ascii="宋体" w:hAnsi="宋体"/>
          <w:kern w:val="2"/>
        </w:rPr>
        <w:t xml:space="preserve">          </w:t>
      </w:r>
      <w:bookmarkEnd w:id="23"/>
      <w:bookmarkEnd w:id="24"/>
      <w:bookmarkEnd w:id="25"/>
      <w:bookmarkEnd w:id="26"/>
      <w:bookmarkEnd w:id="27"/>
      <w:bookmarkEnd w:id="28"/>
      <w:bookmarkEnd w:id="29"/>
      <w:bookmarkEnd w:id="30"/>
      <w:bookmarkEnd w:id="31"/>
      <w:bookmarkEnd w:id="32"/>
    </w:p>
    <w:p>
      <w:pPr>
        <w:snapToGrid w:val="0"/>
        <w:spacing w:line="360" w:lineRule="auto"/>
        <w:jc w:val="right"/>
        <w:rPr>
          <w:rFonts w:hint="eastAsia" w:ascii="宋体" w:hAnsi="宋体"/>
          <w:sz w:val="24"/>
        </w:rPr>
      </w:pPr>
      <w:r>
        <w:rPr>
          <w:rFonts w:hint="eastAsia" w:ascii="宋体" w:hAnsi="宋体"/>
          <w:sz w:val="24"/>
        </w:rPr>
        <w:t xml:space="preserve"> </w:t>
      </w:r>
    </w:p>
    <w:p>
      <w:pPr>
        <w:snapToGrid w:val="0"/>
        <w:spacing w:line="360" w:lineRule="auto"/>
        <w:jc w:val="right"/>
        <w:rPr>
          <w:rFonts w:ascii="宋体" w:hAnsi="宋体"/>
          <w:sz w:val="24"/>
        </w:rPr>
      </w:pPr>
      <w:r>
        <w:rPr>
          <w:rFonts w:hint="eastAsia" w:ascii="宋体" w:hAnsi="宋体"/>
          <w:sz w:val="24"/>
        </w:rPr>
        <w:t>汕头大学·香港中文大学联合汕头国际眼科中心</w:t>
      </w:r>
    </w:p>
    <w:p>
      <w:pPr>
        <w:snapToGrid w:val="0"/>
        <w:spacing w:line="360" w:lineRule="auto"/>
        <w:jc w:val="right"/>
        <w:rPr>
          <w:rFonts w:hint="eastAsia" w:ascii="宋体" w:hAnsi="宋体"/>
          <w:sz w:val="24"/>
        </w:rPr>
      </w:pPr>
      <w:r>
        <w:rPr>
          <w:rFonts w:hint="eastAsia" w:ascii="宋体" w:hAnsi="宋体"/>
          <w:sz w:val="24"/>
        </w:rPr>
        <w:t>2021年12月</w:t>
      </w:r>
      <w:r>
        <w:rPr>
          <w:rFonts w:hint="eastAsia" w:ascii="宋体" w:hAnsi="宋体"/>
          <w:sz w:val="24"/>
          <w:lang w:val="en-US" w:eastAsia="zh-CN"/>
        </w:rPr>
        <w:t>30</w:t>
      </w:r>
      <w:r>
        <w:rPr>
          <w:rFonts w:hint="eastAsia" w:ascii="宋体" w:hAnsi="宋体"/>
          <w:sz w:val="24"/>
        </w:rPr>
        <w:t>日</w:t>
      </w:r>
      <w:bookmarkStart w:id="37" w:name="_Toc9263389"/>
      <w:bookmarkStart w:id="38" w:name="_Toc292549586"/>
      <w:bookmarkStart w:id="39" w:name="_Toc294262684"/>
      <w:bookmarkStart w:id="40" w:name="_Toc292549975"/>
      <w:r>
        <w:rPr>
          <w:rFonts w:ascii="宋体" w:hAnsi="宋体"/>
          <w:sz w:val="24"/>
        </w:rPr>
        <w:br w:type="page"/>
      </w:r>
    </w:p>
    <w:p>
      <w:pPr>
        <w:snapToGrid w:val="0"/>
        <w:spacing w:before="340" w:after="330" w:line="360" w:lineRule="auto"/>
        <w:jc w:val="center"/>
        <w:outlineLvl w:val="0"/>
        <w:rPr>
          <w:rFonts w:hint="eastAsia" w:ascii="黑体" w:hAnsi="黑体" w:eastAsia="黑体"/>
          <w:b/>
          <w:sz w:val="32"/>
          <w:szCs w:val="32"/>
        </w:rPr>
      </w:pPr>
      <w:bookmarkStart w:id="41" w:name="_Toc3182"/>
      <w:r>
        <w:rPr>
          <w:rFonts w:hint="eastAsia" w:ascii="黑体" w:hAnsi="黑体" w:eastAsia="黑体"/>
          <w:b/>
          <w:sz w:val="32"/>
          <w:szCs w:val="32"/>
        </w:rPr>
        <w:t xml:space="preserve">第二部分 </w:t>
      </w:r>
      <w:bookmarkEnd w:id="37"/>
      <w:bookmarkEnd w:id="38"/>
      <w:bookmarkEnd w:id="39"/>
      <w:bookmarkEnd w:id="40"/>
      <w:r>
        <w:rPr>
          <w:rFonts w:hint="eastAsia" w:ascii="黑体" w:hAnsi="黑体" w:eastAsia="黑体"/>
          <w:b/>
          <w:sz w:val="32"/>
          <w:szCs w:val="32"/>
        </w:rPr>
        <w:t>用户需求书</w:t>
      </w:r>
      <w:bookmarkEnd w:id="41"/>
    </w:p>
    <w:p>
      <w:pPr>
        <w:snapToGrid w:val="0"/>
        <w:spacing w:before="340" w:after="330" w:line="360" w:lineRule="auto"/>
        <w:outlineLvl w:val="1"/>
        <w:rPr>
          <w:rFonts w:hint="eastAsia" w:ascii="宋体" w:hAnsi="宋体"/>
          <w:b/>
          <w:sz w:val="24"/>
        </w:rPr>
      </w:pPr>
      <w:bookmarkStart w:id="42" w:name="_Toc17238"/>
      <w:r>
        <w:rPr>
          <w:rFonts w:hint="eastAsia" w:ascii="宋体" w:hAnsi="宋体"/>
          <w:b/>
          <w:sz w:val="24"/>
        </w:rPr>
        <w:t>一、项目概述</w:t>
      </w:r>
      <w:bookmarkEnd w:id="42"/>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1、汕头大学·香港中文大学联合汕头国际眼科中心为提高采购工作质量和效率，对医院开展政府集中采购目录以外的采购项目时所须委托的代理机构，以自主公开遴选的方式进行择优遴选。</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2、遴选具体模式：择优量化评选，确定代理机构资格。</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3、拟选采购代理机构数量：根据遴选小组综合评分，由高到低顺序选出</w:t>
      </w:r>
      <w:r>
        <w:rPr>
          <w:rFonts w:hint="eastAsia" w:ascii="宋体" w:hAnsi="宋体"/>
          <w:kern w:val="2"/>
          <w:lang w:val="en-US" w:eastAsia="zh-CN"/>
        </w:rPr>
        <w:t>6</w:t>
      </w:r>
      <w:r>
        <w:rPr>
          <w:rFonts w:hint="eastAsia" w:ascii="宋体" w:hAnsi="宋体"/>
          <w:kern w:val="2"/>
          <w:highlight w:val="none"/>
        </w:rPr>
        <w:t>家</w:t>
      </w:r>
      <w:r>
        <w:rPr>
          <w:rFonts w:hint="eastAsia" w:ascii="宋体" w:hAnsi="宋体"/>
          <w:kern w:val="2"/>
        </w:rPr>
        <w:t>政府采购代理机构（若有效响应供应商少于6家时，则所有有效响应供应商均进入中选人名单）。</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4、代理业务</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（1）本次遴选为合作意向遴选，未有实质业务。遴选人开展货物、服务、工程政府采购招标采购业务，有需要委托代理机构进行采购时，将根据项目特点、代理机构专业领域</w:t>
      </w:r>
      <w:r>
        <w:rPr>
          <w:rFonts w:hint="eastAsia" w:ascii="宋体" w:hAnsi="宋体"/>
          <w:kern w:val="2"/>
          <w:highlight w:val="none"/>
          <w:lang w:val="en-US" w:eastAsia="zh-CN"/>
        </w:rPr>
        <w:t>等</w:t>
      </w:r>
      <w:r>
        <w:rPr>
          <w:rFonts w:hint="eastAsia" w:ascii="宋体" w:hAnsi="宋体"/>
          <w:kern w:val="2"/>
        </w:rPr>
        <w:t>结果，在本次遴选确定的中选人中挑选一家作为采购代理。</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（2）招标代理委托协议按招标采购项目一事一签。</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（3）遴选人不确保将具体某个采购项目委托给特定的中选人，中选人也不得主动要求获得某个采购项目的代理委托，采购项目的委托代理完全取决于遴选人自主决定。</w:t>
      </w:r>
    </w:p>
    <w:p>
      <w:pPr>
        <w:pStyle w:val="22"/>
        <w:widowControl/>
        <w:spacing w:line="360" w:lineRule="auto"/>
        <w:ind w:firstLine="386"/>
        <w:jc w:val="both"/>
        <w:textAlignment w:val="baseline"/>
        <w:rPr>
          <w:rFonts w:hint="eastAsia" w:ascii="宋体" w:hAnsi="宋体"/>
          <w:kern w:val="2"/>
        </w:rPr>
      </w:pPr>
      <w:r>
        <w:rPr>
          <w:rFonts w:hint="eastAsia" w:ascii="宋体" w:hAnsi="宋体"/>
          <w:kern w:val="2"/>
        </w:rPr>
        <w:t>5、服务年限：三年</w:t>
      </w:r>
      <w:r>
        <w:rPr>
          <w:rFonts w:hint="eastAsia" w:ascii="宋体" w:hAnsi="宋体"/>
          <w:kern w:val="2"/>
          <w:highlight w:val="none"/>
        </w:rPr>
        <w:t>（</w:t>
      </w:r>
      <w:r>
        <w:rPr>
          <w:rFonts w:hint="eastAsia" w:ascii="宋体" w:hAnsi="宋体"/>
          <w:kern w:val="2"/>
          <w:highlight w:val="none"/>
          <w:lang w:val="en-US" w:eastAsia="zh-CN"/>
        </w:rPr>
        <w:t>遴选中标合同签订日起算</w:t>
      </w:r>
      <w:r>
        <w:rPr>
          <w:rFonts w:hint="eastAsia" w:ascii="宋体" w:hAnsi="宋体"/>
          <w:kern w:val="2"/>
          <w:highlight w:val="none"/>
        </w:rPr>
        <w:t>）</w:t>
      </w:r>
      <w:r>
        <w:rPr>
          <w:rFonts w:hint="eastAsia" w:ascii="宋体" w:hAnsi="宋体"/>
          <w:kern w:val="2"/>
        </w:rPr>
        <w:t>，若上级主管部门有新规定，按新规定执行。如服务期届满，受委托方所代理的项目尚未完成所有工作，则服务期自动顺延至所代理项目的所有工作完成之日。</w:t>
      </w:r>
    </w:p>
    <w:p>
      <w:pPr>
        <w:snapToGrid w:val="0"/>
        <w:spacing w:before="340" w:after="330" w:line="360" w:lineRule="auto"/>
        <w:outlineLvl w:val="1"/>
        <w:rPr>
          <w:rFonts w:hint="eastAsia" w:ascii="宋体" w:hAnsi="宋体"/>
          <w:b/>
          <w:sz w:val="24"/>
        </w:rPr>
      </w:pPr>
      <w:bookmarkStart w:id="43" w:name="_Toc28917"/>
      <w:r>
        <w:rPr>
          <w:rFonts w:hint="eastAsia" w:ascii="宋体" w:hAnsi="宋体"/>
          <w:b/>
          <w:sz w:val="24"/>
        </w:rPr>
        <w:t>二、服务要求</w:t>
      </w:r>
      <w:bookmarkEnd w:id="43"/>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代理机构应依据国家相关法规、制度、办法为遴选人提供代理服务。凡因代理机构本身的行为导致违反相关法规、制度、办法而造成的法律责任及经济损失或赔偿，由代理机构独自承担。</w:t>
      </w:r>
    </w:p>
    <w:p>
      <w:pPr>
        <w:pStyle w:val="22"/>
        <w:widowControl/>
        <w:spacing w:line="360" w:lineRule="auto"/>
        <w:textAlignment w:val="baseline"/>
        <w:rPr>
          <w:rFonts w:hint="eastAsia" w:ascii="宋体" w:hAnsi="宋体"/>
          <w:kern w:val="2"/>
        </w:rPr>
      </w:pPr>
      <w:r>
        <w:rPr>
          <w:rFonts w:hint="eastAsia" w:ascii="宋体" w:hAnsi="宋体"/>
          <w:kern w:val="2"/>
        </w:rPr>
        <w:t>（一）服务内容</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依据政府采购法及相关法规为汕头大学·香港中文大学联合汕头国际眼科中心实施的采购项目提供采购代理服务，具体包括但不限于如下内容：</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1、编制招标工作计划，对项目提供咨询服务；</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2、编制、发售、解释、组织论证采购文件，办理</w:t>
      </w:r>
      <w:r>
        <w:rPr>
          <w:rFonts w:hint="eastAsia" w:ascii="宋体" w:hAnsi="宋体"/>
          <w:kern w:val="2"/>
          <w:highlight w:val="none"/>
          <w:lang w:val="en-US" w:eastAsia="zh-CN"/>
        </w:rPr>
        <w:t>招标</w:t>
      </w:r>
      <w:r>
        <w:rPr>
          <w:rFonts w:hint="eastAsia" w:ascii="宋体" w:hAnsi="宋体"/>
          <w:kern w:val="2"/>
        </w:rPr>
        <w:t>文件备案；</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3、在政府采购监督管理部门或其他主管部门指定媒体上发布采购信息公告；</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4、制定评审方法、步骤、标准；</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5、依法抽取专家组建评标委员会；</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6、邀请有关监督部门进行现场监督；</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7、落实评审地点，主持评审活动，并做好评审记录；</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8、组织评审工作；</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9、整理评审报告送采购人及有关部门；</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10、在政府采购监督管理部门或其他主管部门指定媒体上发布中标/成交公告，发送中标/成交通知书；</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11、答复潜在投标人的询问和质疑，协助处理投标人的投诉；</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12、采购活动有关文件报送备案、编制存档资料（同时制作一份存档资料交采购人）、招标全流程文件等档案完整的保存不少于15年；必要时，配合遴选人或上级主管部门对采购项目的检查或调取、补漏相关资料；</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13、采购代理机构承担组织项目采购活动全过程的全部费用，包括但不限于：资格预审、评审专家评审费、论证费、需重新招标或开评标所发生的费用、资格预审文件和遴选文件等相关文件和资料的制作费用以及其他完成代理服务所需的直接或间接的所有费用；</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14、法律法规规定的其他事项。</w:t>
      </w:r>
    </w:p>
    <w:p>
      <w:pPr>
        <w:pStyle w:val="22"/>
        <w:widowControl/>
        <w:spacing w:line="360" w:lineRule="auto"/>
        <w:textAlignment w:val="baseline"/>
        <w:rPr>
          <w:rFonts w:hint="eastAsia" w:ascii="宋体" w:hAnsi="宋体"/>
          <w:kern w:val="2"/>
        </w:rPr>
      </w:pPr>
      <w:r>
        <w:rPr>
          <w:rFonts w:hint="eastAsia" w:ascii="宋体" w:hAnsi="宋体"/>
          <w:kern w:val="2"/>
        </w:rPr>
        <w:t>（二）服务响应时间</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1、中选人接到委托并前期资料齐备的前提下，2个工作日内提供招标文件初稿；</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2、对于咨询或修改文件等事宜，应当天响应并及时办理；</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3、招标完成时间不超具体项目代理委托合同要求；</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4、招标工作完成后5个工作日内，应按代理协议约定向委托人提交招标工作归档资料及有关文件。</w:t>
      </w:r>
    </w:p>
    <w:p>
      <w:pPr>
        <w:pStyle w:val="22"/>
        <w:widowControl/>
        <w:spacing w:line="360" w:lineRule="auto"/>
        <w:textAlignment w:val="baseline"/>
        <w:rPr>
          <w:rFonts w:hint="eastAsia" w:ascii="宋体" w:hAnsi="宋体"/>
          <w:kern w:val="2"/>
        </w:rPr>
      </w:pPr>
      <w:r>
        <w:rPr>
          <w:rFonts w:hint="eastAsia" w:ascii="宋体" w:hAnsi="宋体"/>
          <w:kern w:val="2"/>
        </w:rPr>
        <w:t>（三）服务人员配置</w:t>
      </w:r>
    </w:p>
    <w:p>
      <w:pPr>
        <w:pStyle w:val="22"/>
        <w:widowControl/>
        <w:spacing w:line="360" w:lineRule="auto"/>
        <w:ind w:firstLine="480" w:firstLineChars="200"/>
        <w:textAlignment w:val="baseline"/>
        <w:rPr>
          <w:rFonts w:hint="eastAsia" w:ascii="宋体" w:hAnsi="宋体"/>
          <w:kern w:val="2"/>
          <w:lang w:eastAsia="zh-CN"/>
        </w:rPr>
      </w:pPr>
      <w:r>
        <w:rPr>
          <w:rFonts w:hint="eastAsia" w:ascii="宋体" w:hAnsi="宋体"/>
          <w:kern w:val="2"/>
        </w:rPr>
        <w:t>1、中选人应指定专人（即项目负责人</w:t>
      </w:r>
      <w:r>
        <w:rPr>
          <w:rFonts w:hint="eastAsia" w:ascii="宋体" w:hAnsi="宋体"/>
          <w:kern w:val="2"/>
          <w:lang w:eastAsia="zh-CN"/>
        </w:rPr>
        <w:t>、</w:t>
      </w:r>
      <w:r>
        <w:rPr>
          <w:rFonts w:hint="eastAsia" w:ascii="宋体" w:hAnsi="宋体"/>
          <w:kern w:val="2"/>
          <w:lang w:val="en-US" w:eastAsia="zh-CN"/>
        </w:rPr>
        <w:t>项目经理</w:t>
      </w:r>
      <w:r>
        <w:rPr>
          <w:rFonts w:hint="eastAsia" w:ascii="宋体" w:hAnsi="宋体"/>
          <w:kern w:val="2"/>
        </w:rPr>
        <w:t>）负责与遴选人进行对接及总协调。采购代理人员专业配置合理，人员数量充足，业务经验丰富，满足工作需要。主要成员至少包括：项目负责人1人，</w:t>
      </w:r>
      <w:r>
        <w:rPr>
          <w:rFonts w:hint="eastAsia" w:ascii="宋体" w:hAnsi="宋体"/>
          <w:kern w:val="2"/>
          <w:lang w:val="en-US" w:eastAsia="zh-CN"/>
        </w:rPr>
        <w:t>项目经理1名，</w:t>
      </w:r>
      <w:r>
        <w:rPr>
          <w:rFonts w:hint="eastAsia" w:ascii="宋体" w:hAnsi="宋体"/>
          <w:kern w:val="2"/>
        </w:rPr>
        <w:t>项目团队其他人员不少于</w:t>
      </w:r>
      <w:r>
        <w:rPr>
          <w:rFonts w:hint="eastAsia" w:ascii="宋体" w:hAnsi="宋体"/>
          <w:kern w:val="2"/>
          <w:lang w:val="en-US" w:eastAsia="zh-CN"/>
        </w:rPr>
        <w:t>1</w:t>
      </w:r>
      <w:r>
        <w:rPr>
          <w:rFonts w:hint="eastAsia" w:ascii="宋体" w:hAnsi="宋体"/>
          <w:kern w:val="2"/>
        </w:rPr>
        <w:t>人</w:t>
      </w:r>
      <w:r>
        <w:rPr>
          <w:rFonts w:hint="eastAsia" w:ascii="宋体" w:hAnsi="宋体"/>
          <w:kern w:val="2"/>
          <w:lang w:eastAsia="zh-CN"/>
        </w:rPr>
        <w:t>。</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★2、项目负责人与参加本次遴选项目的授权代表须为同一人（若是法人代表参加本次遴选，则项目负责人应与法人代表为同一人），对遴选人委托的采购项目在委托协议约定的权责范围内负总体责任。</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rPr>
        <w:t>3、项目负责</w:t>
      </w:r>
      <w:r>
        <w:rPr>
          <w:rFonts w:hint="eastAsia" w:ascii="宋体" w:hAnsi="宋体"/>
          <w:kern w:val="2"/>
          <w:highlight w:val="none"/>
        </w:rPr>
        <w:t>人</w:t>
      </w:r>
      <w:r>
        <w:rPr>
          <w:rFonts w:hint="eastAsia" w:ascii="宋体" w:hAnsi="宋体"/>
          <w:kern w:val="2"/>
          <w:highlight w:val="none"/>
          <w:lang w:val="en-US" w:eastAsia="zh-CN"/>
        </w:rPr>
        <w:t>及项目经理</w:t>
      </w:r>
      <w:r>
        <w:rPr>
          <w:rFonts w:hint="eastAsia" w:ascii="宋体" w:hAnsi="宋体"/>
          <w:kern w:val="2"/>
        </w:rPr>
        <w:t>应具有较高的专业素养，熟悉政府采购和招投标领域的政策法规，掌握招</w:t>
      </w:r>
      <w:r>
        <w:rPr>
          <w:rFonts w:hint="eastAsia" w:ascii="宋体" w:hAnsi="宋体"/>
          <w:kern w:val="2"/>
          <w:highlight w:val="none"/>
        </w:rPr>
        <w:t>投标活动流程规范及招标采购操作实务。</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highlight w:val="none"/>
        </w:rPr>
        <w:t>★4、项目负责人</w:t>
      </w:r>
      <w:r>
        <w:rPr>
          <w:rFonts w:hint="eastAsia" w:ascii="宋体" w:hAnsi="宋体"/>
          <w:kern w:val="2"/>
          <w:highlight w:val="none"/>
          <w:lang w:val="en-US" w:eastAsia="zh-CN"/>
        </w:rPr>
        <w:t>或项目经理</w:t>
      </w:r>
      <w:r>
        <w:rPr>
          <w:rFonts w:hint="eastAsia" w:ascii="宋体" w:hAnsi="宋体"/>
          <w:kern w:val="2"/>
          <w:highlight w:val="none"/>
        </w:rPr>
        <w:t>须直接与遴选人对接，并全程跟进和处理遴选人委托的采购项目，对采购全过程负责。</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highlight w:val="none"/>
        </w:rPr>
        <w:t>5、项目负责人</w:t>
      </w:r>
      <w:r>
        <w:rPr>
          <w:rFonts w:hint="eastAsia" w:ascii="宋体" w:hAnsi="宋体"/>
          <w:kern w:val="2"/>
          <w:highlight w:val="none"/>
          <w:lang w:val="en-US" w:eastAsia="zh-CN"/>
        </w:rPr>
        <w:t>及项目经理</w:t>
      </w:r>
      <w:r>
        <w:rPr>
          <w:rFonts w:hint="eastAsia" w:ascii="宋体" w:hAnsi="宋体"/>
          <w:kern w:val="2"/>
          <w:highlight w:val="none"/>
        </w:rPr>
        <w:t>须负责审核采购项目所有文件材料，对采购业务全程指导、业务把关，并直接负责处理质疑投诉事宜。</w:t>
      </w:r>
    </w:p>
    <w:p>
      <w:pPr>
        <w:pStyle w:val="22"/>
        <w:widowControl/>
        <w:spacing w:line="360" w:lineRule="auto"/>
        <w:ind w:firstLine="480" w:firstLineChars="200"/>
        <w:textAlignment w:val="baseline"/>
        <w:rPr>
          <w:rFonts w:hint="eastAsia" w:ascii="宋体" w:hAnsi="宋体"/>
          <w:kern w:val="2"/>
          <w:highlight w:val="none"/>
        </w:rPr>
      </w:pPr>
      <w:r>
        <w:rPr>
          <w:rFonts w:hint="eastAsia" w:ascii="宋体" w:hAnsi="宋体"/>
          <w:kern w:val="2"/>
          <w:highlight w:val="none"/>
        </w:rPr>
        <w:t>6、中选人安排的项目团队人员应有较丰富的业务经验，完全熟悉政府采购和招投标领域的政策法规，熟悉招投标活动流程，熟练招标采购操作实务，工作耐心细致，认真负责。</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highlight w:val="none"/>
        </w:rPr>
        <w:t>7、在代理服务期间，中选人未经允许不可随意更换项目负责人</w:t>
      </w:r>
      <w:r>
        <w:rPr>
          <w:rFonts w:hint="eastAsia" w:ascii="宋体" w:hAnsi="宋体"/>
          <w:kern w:val="2"/>
          <w:highlight w:val="none"/>
          <w:lang w:eastAsia="zh-CN"/>
        </w:rPr>
        <w:t>、</w:t>
      </w:r>
      <w:r>
        <w:rPr>
          <w:rFonts w:hint="eastAsia" w:ascii="宋体" w:hAnsi="宋体"/>
          <w:kern w:val="2"/>
          <w:highlight w:val="none"/>
          <w:lang w:val="en-US" w:eastAsia="zh-CN"/>
        </w:rPr>
        <w:t>项目经理</w:t>
      </w:r>
      <w:r>
        <w:rPr>
          <w:rFonts w:hint="eastAsia" w:ascii="宋体" w:hAnsi="宋体"/>
          <w:kern w:val="2"/>
          <w:highlight w:val="none"/>
        </w:rPr>
        <w:t>及团</w:t>
      </w:r>
      <w:r>
        <w:rPr>
          <w:rFonts w:hint="eastAsia" w:ascii="宋体" w:hAnsi="宋体"/>
          <w:kern w:val="2"/>
        </w:rPr>
        <w:t>队主要成员。如确需调整，须得到遴选人许可，否则，遴选人有权暂停其代理服务资格。</w:t>
      </w:r>
    </w:p>
    <w:p>
      <w:pPr>
        <w:pStyle w:val="22"/>
        <w:widowControl/>
        <w:spacing w:line="360" w:lineRule="auto"/>
        <w:textAlignment w:val="baseline"/>
        <w:rPr>
          <w:rFonts w:hint="eastAsia" w:ascii="宋体" w:hAnsi="宋体"/>
          <w:kern w:val="2"/>
        </w:rPr>
      </w:pPr>
      <w:r>
        <w:rPr>
          <w:rFonts w:hint="eastAsia" w:ascii="宋体" w:hAnsi="宋体"/>
          <w:kern w:val="2"/>
        </w:rPr>
        <w:t xml:space="preserve">（四）服务收费标准 </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★项目招标代理服务费用，由乙方自行向成交供应商收取。服务费收取标准参照《广东省物价局粤价函〔2013〕1233号》规定的标准费率下浮20%。</w:t>
      </w:r>
    </w:p>
    <w:p>
      <w:pPr>
        <w:snapToGrid w:val="0"/>
        <w:spacing w:before="340" w:after="330" w:line="360" w:lineRule="auto"/>
        <w:outlineLvl w:val="1"/>
        <w:rPr>
          <w:rFonts w:hint="eastAsia" w:ascii="宋体" w:hAnsi="宋体"/>
          <w:b/>
          <w:sz w:val="24"/>
        </w:rPr>
      </w:pPr>
      <w:bookmarkStart w:id="44" w:name="_Toc17409"/>
      <w:r>
        <w:rPr>
          <w:rFonts w:hint="eastAsia" w:ascii="宋体" w:hAnsi="宋体"/>
          <w:b/>
          <w:sz w:val="24"/>
        </w:rPr>
        <w:t>三、禁止事项</w:t>
      </w:r>
      <w:bookmarkEnd w:id="44"/>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代理机构应按采购项目委托协议完成采购代理业务，如出现下列情况的，将被取消本次招标代理资格，并承担相应的法律责任及赔偿遴选人因此遭受的损失。</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1、累计2次不接受采购人的代理业务的；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2、应当采用公开招标方式而擅自采用其他方式采购的；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3、违反委托代理协议泄露与采购代理业务有关的情况和资料的；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4、以不合理的条件对供应商实行差别待遇或者歧视待遇的；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5、与供应商或采购人恶意串通的；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6、委派非项目负责人须直接与遴选人对接；</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7、在采购过程中接受贿赂或者获取其他不正当利益的；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8、开标前泄露已获取招标文件的潜在投标人的名称、数量或者其他可能影响公平竞争的有关招标投标情况的；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9、擅自修改采购文件或者评审结果的；</w:t>
      </w:r>
    </w:p>
    <w:p>
      <w:pPr>
        <w:pStyle w:val="22"/>
        <w:widowControl/>
        <w:spacing w:line="360" w:lineRule="auto"/>
        <w:ind w:firstLine="480" w:firstLineChars="200"/>
        <w:textAlignment w:val="baseline"/>
        <w:rPr>
          <w:rFonts w:hint="eastAsia" w:ascii="宋体" w:hAnsi="宋体"/>
          <w:kern w:val="2"/>
        </w:rPr>
      </w:pPr>
      <w:r>
        <w:rPr>
          <w:rFonts w:hint="eastAsia" w:ascii="宋体" w:hAnsi="宋体"/>
          <w:kern w:val="2"/>
        </w:rPr>
        <w:t>10、拒绝有关部门依法实施监督检查的；</w:t>
      </w:r>
    </w:p>
    <w:p>
      <w:pPr>
        <w:pStyle w:val="22"/>
        <w:widowControl/>
        <w:spacing w:line="360" w:lineRule="auto"/>
        <w:ind w:firstLine="480" w:firstLineChars="200"/>
        <w:jc w:val="both"/>
        <w:textAlignment w:val="baseline"/>
        <w:rPr>
          <w:rFonts w:ascii="宋体" w:hAnsi="宋体"/>
          <w:kern w:val="2"/>
        </w:rPr>
      </w:pPr>
      <w:r>
        <w:rPr>
          <w:rFonts w:hint="eastAsia" w:ascii="宋体" w:hAnsi="宋体"/>
          <w:kern w:val="2"/>
        </w:rPr>
        <w:t>11、委托的采购项目被投诉成立的。</w:t>
      </w:r>
      <w:r>
        <w:rPr>
          <w:rFonts w:ascii="宋体" w:hAnsi="宋体"/>
          <w:kern w:val="2"/>
        </w:rPr>
        <w:br w:type="page"/>
      </w:r>
    </w:p>
    <w:p>
      <w:pPr>
        <w:snapToGrid w:val="0"/>
        <w:spacing w:before="340" w:after="330" w:line="360" w:lineRule="auto"/>
        <w:jc w:val="center"/>
        <w:outlineLvl w:val="0"/>
        <w:rPr>
          <w:rFonts w:ascii="黑体" w:hAnsi="黑体" w:eastAsia="黑体"/>
          <w:b/>
          <w:sz w:val="32"/>
          <w:szCs w:val="32"/>
        </w:rPr>
      </w:pPr>
      <w:bookmarkStart w:id="45" w:name="_Toc32342"/>
      <w:r>
        <w:rPr>
          <w:rFonts w:hint="eastAsia" w:ascii="黑体" w:hAnsi="黑体" w:eastAsia="黑体"/>
          <w:b/>
          <w:sz w:val="32"/>
          <w:szCs w:val="32"/>
        </w:rPr>
        <w:t xml:space="preserve">第三部分 </w:t>
      </w:r>
      <w:r>
        <w:rPr>
          <w:rFonts w:hint="eastAsia" w:ascii="黑体" w:hAnsi="黑体" w:eastAsia="黑体"/>
          <w:b/>
          <w:sz w:val="32"/>
          <w:szCs w:val="32"/>
          <w:lang w:val="en-US" w:eastAsia="zh-CN"/>
        </w:rPr>
        <w:t>供应商</w:t>
      </w:r>
      <w:r>
        <w:rPr>
          <w:rFonts w:hint="eastAsia" w:ascii="黑体" w:hAnsi="黑体" w:eastAsia="黑体"/>
          <w:b/>
          <w:sz w:val="32"/>
          <w:szCs w:val="32"/>
        </w:rPr>
        <w:t>须知</w:t>
      </w:r>
      <w:bookmarkEnd w:id="45"/>
    </w:p>
    <w:p>
      <w:pPr>
        <w:snapToGrid w:val="0"/>
        <w:spacing w:before="340" w:after="330" w:line="360" w:lineRule="auto"/>
        <w:outlineLvl w:val="1"/>
        <w:rPr>
          <w:rFonts w:hint="eastAsia" w:ascii="宋体" w:hAnsi="宋体"/>
          <w:b/>
          <w:sz w:val="24"/>
        </w:rPr>
      </w:pPr>
      <w:bookmarkStart w:id="46" w:name="_Toc8030"/>
      <w:bookmarkStart w:id="47" w:name="_Toc292549976"/>
      <w:bookmarkStart w:id="48" w:name="_Toc9263390"/>
      <w:bookmarkStart w:id="49" w:name="_Toc294262685"/>
      <w:bookmarkStart w:id="50" w:name="_Toc292549587"/>
      <w:r>
        <w:rPr>
          <w:rFonts w:hint="eastAsia" w:ascii="宋体" w:hAnsi="宋体"/>
          <w:b/>
          <w:sz w:val="24"/>
        </w:rPr>
        <w:t>一、遴选费用</w:t>
      </w:r>
      <w:bookmarkEnd w:id="46"/>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无论遴选过程和结果如何，供应商应承担所有与其参加遴选有关的全部费用。</w:t>
      </w:r>
    </w:p>
    <w:p>
      <w:pPr>
        <w:snapToGrid w:val="0"/>
        <w:spacing w:before="340" w:after="330" w:line="360" w:lineRule="auto"/>
        <w:outlineLvl w:val="1"/>
        <w:rPr>
          <w:rFonts w:hint="eastAsia" w:ascii="宋体" w:hAnsi="宋体"/>
          <w:b/>
          <w:sz w:val="24"/>
        </w:rPr>
      </w:pPr>
      <w:bookmarkStart w:id="51" w:name="_Toc19678"/>
      <w:r>
        <w:rPr>
          <w:rFonts w:hint="eastAsia" w:ascii="宋体" w:hAnsi="宋体"/>
          <w:b/>
          <w:sz w:val="24"/>
        </w:rPr>
        <w:t>二、遴选文件</w:t>
      </w:r>
      <w:bookmarkEnd w:id="51"/>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1、遴选文件的澄清</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（1）供应商若对遴选文件有疑问，应将要求询问的问题以文字形式于响应文件递交截止时间前</w:t>
      </w:r>
      <w:r>
        <w:rPr>
          <w:rFonts w:hint="eastAsia" w:ascii="宋体" w:hAnsi="宋体"/>
          <w:kern w:val="2"/>
          <w:lang w:val="en-US" w:eastAsia="zh-CN"/>
        </w:rPr>
        <w:t>3</w:t>
      </w:r>
      <w:r>
        <w:rPr>
          <w:rFonts w:hint="eastAsia" w:ascii="宋体" w:hAnsi="宋体"/>
          <w:kern w:val="2"/>
        </w:rPr>
        <w:t>天直接送达或邮件通知遴选人（可参照附件《询问函》格式）。</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（2）供应商在规定的时间内未对遴选文件提出询问的，遴选人将视其为无异议。</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对遴选文件中描述有歧意或前后不一致的地方，遴选小组有权进行评判，但对同一条款的评判应适用于每个供应商。</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2、遴选文件的补充和修改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（1）遴选人可以用书面/公告补充通知的方式对遴选文件进行补充和修改。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（2）所发出的补充通知将于响应文件递交截止时间前发给所有已报名的供应商。该补充通知作为遴选文件的一部分。供应商在收到该通知后须予以确认。</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（3）遴选人发布补充通知后，应考虑是否推迟响应文件递交截止时间。在所有已报名的供应商确认补充通知不影响其标书编制的情况下，遴选人可以不推迟响应文件递交截止时间。</w:t>
      </w:r>
    </w:p>
    <w:p>
      <w:pPr>
        <w:snapToGrid w:val="0"/>
        <w:spacing w:before="340" w:after="330" w:line="360" w:lineRule="auto"/>
        <w:outlineLvl w:val="1"/>
        <w:rPr>
          <w:rFonts w:hint="eastAsia" w:ascii="宋体" w:hAnsi="宋体"/>
          <w:b/>
          <w:sz w:val="24"/>
        </w:rPr>
      </w:pPr>
      <w:bookmarkStart w:id="52" w:name="_Toc20616"/>
      <w:r>
        <w:rPr>
          <w:rFonts w:hint="eastAsia" w:ascii="宋体" w:hAnsi="宋体"/>
          <w:b/>
          <w:sz w:val="24"/>
        </w:rPr>
        <w:t>三、响应总则</w:t>
      </w:r>
      <w:bookmarkEnd w:id="52"/>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1、响应文件的编写</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（1）供应商应仔细阅读遴选文件的所有内容，并按遴选文件的规定及要求的内容和格式，递交完整的响应文件。</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（2）语言和计量单位。响应文件和来往函件用中文书写，计量单位应使用中华人民共和国法定计量单位，货币以人民币为计量单位。</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（3）供应商应按遴选文件规定的遴选服务范围进行响应。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4）供应商应用人民币报价。每一种规格的货物/服务只允许有一个报价，否则将被视为无效响应。若由单价计算得出的总价与报价总价不一致，以单价计算得出的总价为准。若中文文字形式表示的数值与数字形式表示的数值不一致，以中文文字形式表示的数值为准。（本项目不适用）</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供应商应对响应的服务提供完整详细的服务方案。供应商响应的内容与遴选文件的技术、商务要求有偏离时，无论这种偏离是否有利于遴选人，供应商都应按响应文件格式如实填写用户需求响应条款一览表。</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（6）如果因为供应商响应文件填报的内容不详，或没有提供遴选文件中所要求的全部资料及数据，由此造成的后果，其责任由供应商承担。</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（7）只允许供应商有一个响应方案，否则将被视为无效响应。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2、响应文件的组成</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供应商递交的响应文件应至少包括以下内容：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（1）响应函；（2）资格文件；（3）符合性文件；（4）技术商务响应文件。</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3、响应文件的递交</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（1）供应商递交的响应文件采用胶封装订成册，具体包括：</w:t>
      </w:r>
      <w:r>
        <w:rPr>
          <w:rFonts w:hint="eastAsia" w:ascii="宋体" w:hAnsi="宋体"/>
          <w:b/>
          <w:bCs/>
          <w:kern w:val="2"/>
        </w:rPr>
        <w:t>响应文件一式捌份（正本1份，副本7份），响应文件资料恕不退还。</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响应文件应使用A4规格纸张，应有明显的指引目录，每页应有页码。响应文件正本与副本的内容应一致，如果正本与副本内容不符，以正本为准。响应文件应由供应商的法定代表人或经正式授权并对供应商有约束力的代表在响应文件上签字。任何行间插字、涂改和增删，必须由响应文件签字人在旁边签字方有效。</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（3）供应商对响应文件全部内容的真实性负责。</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（4）所有响应文件应在规定的递交时间,任何迟于响应文件递交截止时间的文件将被视为无效响应。</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（5）遴选人对因不可抗力事件或因响应文件未装订成册而造成的响应文件的损坏、丢失不承担任何责任。</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所有响应文件必须装入密封的信封或封套，并在封口上加盖供应商的公章。无密封或未加盖公章的响应文件将被拒绝。响应文件的正本和副本应分别封装，并在每一信封或包装的封面上写明：[招标项目名称]、[招标编号]、[招标日期]、[投标人公司全称]、[投标人授权联系人]、[投标人联系方式]等信息。</w:t>
      </w:r>
    </w:p>
    <w:p>
      <w:pPr>
        <w:pStyle w:val="22"/>
        <w:widowControl/>
        <w:spacing w:line="360" w:lineRule="auto"/>
        <w:ind w:firstLine="480" w:firstLineChars="200"/>
        <w:jc w:val="both"/>
        <w:textAlignment w:val="baseline"/>
        <w:rPr>
          <w:rFonts w:hint="eastAsia" w:ascii="宋体" w:hAnsi="宋体" w:eastAsia="宋体"/>
          <w:kern w:val="2"/>
        </w:rPr>
      </w:pPr>
      <w:r>
        <w:rPr>
          <w:rFonts w:hint="eastAsia" w:ascii="宋体" w:hAnsi="宋体" w:eastAsia="宋体"/>
          <w:kern w:val="2"/>
        </w:rPr>
        <w:t>4、响应文件有效期</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（1）响应有效期是递交响应文件截止日算起，响应文件中所有报价和承诺保持有效的时期。</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2）要求响应有效期为90天。在特殊情况下，遴选人可于响应有效期满之前要求供应商同意延长有效期，要求与答复均应以书面形式。供应商可以拒绝上述要求，同意延期的供应商原响应有效期内应享有之权利、应负之责任及所有承诺也相应延续。</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5、保证金：本项目不收取保证金。</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6、响应文件的修改。</w:t>
      </w:r>
    </w:p>
    <w:p>
      <w:pPr>
        <w:snapToGrid w:val="0"/>
        <w:spacing w:line="360" w:lineRule="auto"/>
        <w:ind w:firstLine="480" w:firstLineChars="200"/>
        <w:rPr>
          <w:rFonts w:hint="eastAsia" w:ascii="宋体" w:hAnsi="宋体"/>
          <w:sz w:val="24"/>
        </w:rPr>
      </w:pPr>
      <w:r>
        <w:rPr>
          <w:rFonts w:hint="eastAsia" w:ascii="宋体" w:hAnsi="宋体"/>
          <w:sz w:val="24"/>
        </w:rPr>
        <w:t>在响应文件递交截止时间前供应商可以修改其响应文件，但必须以书面形式通知遴选人，响应文件递交截止时间后不得修改。</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7、响应文件的撤回。</w:t>
      </w:r>
    </w:p>
    <w:p>
      <w:pPr>
        <w:snapToGrid w:val="0"/>
        <w:spacing w:line="360" w:lineRule="auto"/>
        <w:ind w:firstLine="480" w:firstLineChars="200"/>
        <w:rPr>
          <w:rFonts w:hint="eastAsia" w:ascii="宋体" w:hAnsi="宋体"/>
          <w:sz w:val="24"/>
        </w:rPr>
      </w:pPr>
      <w:r>
        <w:rPr>
          <w:rFonts w:hint="eastAsia" w:ascii="宋体" w:hAnsi="宋体"/>
          <w:sz w:val="24"/>
        </w:rPr>
        <w:t>供应商在响应文件递交截止时间前可以撤标，但在截止时间后不允许撤标。</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8、开标、评标和授标</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汕头国际眼科中心</w:t>
      </w:r>
      <w:r>
        <w:rPr>
          <w:rFonts w:hint="eastAsia" w:ascii="宋体" w:hAnsi="宋体"/>
          <w:sz w:val="24"/>
        </w:rPr>
        <w:t>将按《汕头大学·香港中文大学联合汕头国际眼科中心采购与招投标管理办法（试行）》的规定组织开标、评标和授标。</w:t>
      </w:r>
    </w:p>
    <w:p>
      <w:pPr>
        <w:snapToGrid w:val="0"/>
        <w:spacing w:line="360" w:lineRule="auto"/>
        <w:ind w:firstLine="480" w:firstLineChars="200"/>
        <w:rPr>
          <w:rFonts w:hint="eastAsia" w:ascii="宋体" w:hAnsi="宋体"/>
          <w:sz w:val="24"/>
        </w:rPr>
      </w:pPr>
      <w:r>
        <w:rPr>
          <w:rFonts w:hint="eastAsia" w:ascii="宋体" w:hAnsi="宋体"/>
          <w:sz w:val="24"/>
        </w:rPr>
        <w:t>（2）遴选小组可以要求供应商对响应文件中含义不明确的内容作必要的澄清或者说明，但是澄清或者说明不得超出响应文件范围或者改变响应文件的实质性内容。</w:t>
      </w:r>
    </w:p>
    <w:p>
      <w:pPr>
        <w:snapToGrid w:val="0"/>
        <w:spacing w:line="360" w:lineRule="auto"/>
        <w:ind w:firstLine="480" w:firstLineChars="200"/>
        <w:rPr>
          <w:rFonts w:hint="eastAsia" w:ascii="宋体" w:hAnsi="宋体"/>
          <w:sz w:val="24"/>
        </w:rPr>
      </w:pPr>
      <w:r>
        <w:rPr>
          <w:rFonts w:hint="eastAsia" w:ascii="宋体" w:hAnsi="宋体"/>
          <w:sz w:val="24"/>
        </w:rPr>
        <w:t>（3）遴选小组将只对确定为实质性响应遴选文件要求的响应进行评价和比较。</w:t>
      </w:r>
    </w:p>
    <w:p>
      <w:pPr>
        <w:snapToGrid w:val="0"/>
        <w:spacing w:line="360" w:lineRule="auto"/>
        <w:ind w:firstLine="480" w:firstLineChars="200"/>
        <w:rPr>
          <w:rFonts w:hint="eastAsia" w:ascii="宋体" w:hAnsi="宋体"/>
          <w:sz w:val="24"/>
        </w:rPr>
      </w:pPr>
      <w:r>
        <w:rPr>
          <w:rFonts w:hint="eastAsia" w:ascii="宋体" w:hAnsi="宋体"/>
          <w:sz w:val="24"/>
        </w:rPr>
        <w:t>（4）没有实质性响应遴选文件要求的响应文件将被视为无效响应。供应商不得通过修改或撤消不合格的偏离从而使其成为实质性的响应。</w:t>
      </w:r>
    </w:p>
    <w:p>
      <w:pPr>
        <w:snapToGrid w:val="0"/>
        <w:spacing w:line="360" w:lineRule="auto"/>
        <w:ind w:firstLine="480" w:firstLineChars="200"/>
        <w:rPr>
          <w:rFonts w:hint="eastAsia" w:ascii="宋体" w:hAnsi="宋体"/>
          <w:sz w:val="24"/>
        </w:rPr>
      </w:pPr>
      <w:r>
        <w:rPr>
          <w:rFonts w:hint="eastAsia" w:ascii="宋体" w:hAnsi="宋体"/>
          <w:sz w:val="24"/>
        </w:rPr>
        <w:t>（5）遴选小组将按已定原则进行遴选，详见遴选办法。</w:t>
      </w:r>
    </w:p>
    <w:p>
      <w:pPr>
        <w:snapToGrid w:val="0"/>
        <w:spacing w:line="360" w:lineRule="auto"/>
        <w:ind w:firstLine="480" w:firstLineChars="200"/>
        <w:rPr>
          <w:rFonts w:hint="eastAsia" w:ascii="宋体" w:hAnsi="宋体"/>
          <w:sz w:val="24"/>
        </w:rPr>
      </w:pPr>
      <w:r>
        <w:rPr>
          <w:rFonts w:hint="eastAsia" w:ascii="宋体" w:hAnsi="宋体"/>
          <w:sz w:val="24"/>
        </w:rPr>
        <w:t>（6）遴选结果在网上公示无异议后，由</w:t>
      </w:r>
      <w:r>
        <w:rPr>
          <w:rFonts w:hint="eastAsia" w:ascii="宋体" w:hAnsi="宋体"/>
          <w:sz w:val="24"/>
          <w:lang w:eastAsia="zh-CN"/>
        </w:rPr>
        <w:t>汕头国际眼科中心</w:t>
      </w:r>
      <w:r>
        <w:rPr>
          <w:rFonts w:hint="eastAsia" w:ascii="宋体" w:hAnsi="宋体"/>
          <w:sz w:val="24"/>
        </w:rPr>
        <w:t>向中选人发出中标通知书。</w:t>
      </w:r>
    </w:p>
    <w:p>
      <w:pPr>
        <w:snapToGrid w:val="0"/>
        <w:spacing w:line="360" w:lineRule="auto"/>
        <w:ind w:firstLine="480" w:firstLineChars="200"/>
        <w:rPr>
          <w:rFonts w:hint="eastAsia" w:ascii="宋体" w:hAnsi="宋体"/>
          <w:sz w:val="24"/>
        </w:rPr>
      </w:pPr>
      <w:r>
        <w:rPr>
          <w:rFonts w:hint="eastAsia" w:ascii="宋体" w:hAnsi="宋体"/>
          <w:sz w:val="24"/>
        </w:rPr>
        <w:t>（7）遴选人没有义务向未中选的供应商解释不中选的理由。</w:t>
      </w:r>
    </w:p>
    <w:p>
      <w:pPr>
        <w:pStyle w:val="22"/>
        <w:widowControl/>
        <w:spacing w:line="360" w:lineRule="auto"/>
        <w:ind w:firstLine="480" w:firstLineChars="200"/>
        <w:jc w:val="both"/>
        <w:textAlignment w:val="baseline"/>
        <w:rPr>
          <w:rFonts w:hint="eastAsia" w:ascii="宋体" w:hAnsi="宋体"/>
          <w:kern w:val="2"/>
        </w:rPr>
      </w:pPr>
      <w:r>
        <w:rPr>
          <w:rFonts w:hint="eastAsia" w:ascii="宋体" w:hAnsi="宋体"/>
          <w:kern w:val="2"/>
        </w:rPr>
        <w:t>9、保密要求</w:t>
      </w:r>
    </w:p>
    <w:p>
      <w:pPr>
        <w:snapToGrid w:val="0"/>
        <w:spacing w:line="360" w:lineRule="auto"/>
        <w:ind w:firstLine="480" w:firstLineChars="200"/>
        <w:rPr>
          <w:rFonts w:hint="eastAsia" w:ascii="宋体" w:hAnsi="宋体"/>
          <w:sz w:val="24"/>
        </w:rPr>
      </w:pPr>
      <w:r>
        <w:rPr>
          <w:rFonts w:hint="eastAsia" w:ascii="宋体" w:hAnsi="宋体"/>
          <w:sz w:val="24"/>
        </w:rPr>
        <w:t>（1）凡与审查、澄清、评价、比较遴选有关的资料以及授标意见等内容，任何人均不得向供应商及与评标无关的其他人透露。</w:t>
      </w:r>
    </w:p>
    <w:p>
      <w:pPr>
        <w:snapToGrid w:val="0"/>
        <w:spacing w:line="360" w:lineRule="auto"/>
        <w:ind w:firstLine="480" w:firstLineChars="200"/>
        <w:rPr>
          <w:rFonts w:hint="eastAsia" w:ascii="宋体" w:hAnsi="宋体"/>
          <w:sz w:val="24"/>
        </w:rPr>
      </w:pPr>
      <w:r>
        <w:rPr>
          <w:rFonts w:hint="eastAsia" w:ascii="宋体" w:hAnsi="宋体"/>
          <w:sz w:val="24"/>
        </w:rPr>
        <w:t>（2）从响应文件递交截止日起到定标日止，供应商不得与参加评标的有关人员私下接触。在评标过程中，如果供应商试图在响应文件审查、澄清、比较及推荐中选供应商方面向参与评标的有关人员和遴选人施加任何影响，其响应文件将被拒绝。</w:t>
      </w:r>
    </w:p>
    <w:p>
      <w:pPr>
        <w:snapToGrid w:val="0"/>
        <w:spacing w:line="360" w:lineRule="auto"/>
        <w:ind w:firstLine="480" w:firstLineChars="200"/>
        <w:rPr>
          <w:rFonts w:hint="eastAsia" w:ascii="宋体" w:hAnsi="宋体"/>
          <w:sz w:val="24"/>
        </w:rPr>
      </w:pPr>
      <w:r>
        <w:rPr>
          <w:rFonts w:hint="eastAsia" w:ascii="宋体" w:hAnsi="宋体"/>
          <w:sz w:val="24"/>
        </w:rPr>
        <w:t>（3）本项目任何当事人应当遵守保密原则，除法律、法规另有规定外，未经遴选人书面许可，不得泄露与本项目有关的商业秘密和业务资料。</w:t>
      </w:r>
    </w:p>
    <w:p>
      <w:pPr>
        <w:snapToGrid w:val="0"/>
        <w:spacing w:before="340" w:after="330" w:line="360" w:lineRule="auto"/>
        <w:outlineLvl w:val="1"/>
        <w:rPr>
          <w:rFonts w:hint="eastAsia" w:ascii="宋体" w:hAnsi="宋体"/>
          <w:b/>
          <w:sz w:val="24"/>
        </w:rPr>
      </w:pPr>
      <w:bookmarkStart w:id="53" w:name="_Toc10039"/>
      <w:r>
        <w:rPr>
          <w:rFonts w:hint="eastAsia" w:ascii="宋体" w:hAnsi="宋体"/>
          <w:b/>
          <w:sz w:val="24"/>
        </w:rPr>
        <w:t>四、签约</w:t>
      </w:r>
      <w:bookmarkEnd w:id="53"/>
    </w:p>
    <w:p>
      <w:pPr>
        <w:snapToGrid w:val="0"/>
        <w:spacing w:line="360" w:lineRule="auto"/>
        <w:ind w:firstLine="480" w:firstLineChars="200"/>
        <w:rPr>
          <w:rFonts w:hint="eastAsia" w:ascii="宋体" w:hAnsi="宋体"/>
          <w:b/>
          <w:sz w:val="24"/>
        </w:rPr>
      </w:pPr>
      <w:r>
        <w:rPr>
          <w:rFonts w:hint="eastAsia" w:ascii="宋体" w:hAnsi="宋体"/>
          <w:sz w:val="24"/>
        </w:rPr>
        <w:t>中选供应商接到中标通知书后应在30天内与遴选人签订合同。</w:t>
      </w:r>
      <w:bookmarkEnd w:id="47"/>
      <w:bookmarkEnd w:id="48"/>
      <w:bookmarkEnd w:id="49"/>
      <w:bookmarkEnd w:id="50"/>
      <w:bookmarkStart w:id="54" w:name="_Toc292549983"/>
      <w:bookmarkStart w:id="55" w:name="_Toc292549594"/>
      <w:bookmarkStart w:id="56" w:name="_Toc294262692"/>
      <w:bookmarkStart w:id="57" w:name="_Toc9263396"/>
    </w:p>
    <w:p>
      <w:pPr>
        <w:snapToGrid w:val="0"/>
        <w:spacing w:line="360" w:lineRule="auto"/>
        <w:ind w:firstLine="643" w:firstLineChars="200"/>
        <w:jc w:val="center"/>
        <w:rPr>
          <w:rFonts w:ascii="黑体" w:hAnsi="黑体" w:eastAsia="黑体"/>
          <w:b/>
          <w:sz w:val="32"/>
          <w:szCs w:val="32"/>
        </w:rPr>
      </w:pPr>
      <w:r>
        <w:rPr>
          <w:rFonts w:ascii="黑体" w:hAnsi="黑体" w:eastAsia="黑体"/>
          <w:b/>
          <w:sz w:val="32"/>
          <w:szCs w:val="32"/>
        </w:rPr>
        <w:br w:type="page"/>
      </w:r>
    </w:p>
    <w:p>
      <w:pPr>
        <w:snapToGrid w:val="0"/>
        <w:spacing w:line="360" w:lineRule="auto"/>
        <w:ind w:firstLine="643" w:firstLineChars="200"/>
        <w:jc w:val="center"/>
        <w:outlineLvl w:val="0"/>
        <w:rPr>
          <w:rFonts w:hint="eastAsia" w:ascii="黑体" w:hAnsi="黑体" w:eastAsia="黑体"/>
          <w:b/>
          <w:sz w:val="32"/>
          <w:szCs w:val="32"/>
        </w:rPr>
      </w:pPr>
      <w:bookmarkStart w:id="58" w:name="_Toc11157"/>
      <w:r>
        <w:rPr>
          <w:rFonts w:hint="eastAsia" w:ascii="黑体" w:hAnsi="黑体" w:eastAsia="黑体"/>
          <w:b/>
          <w:sz w:val="32"/>
          <w:szCs w:val="32"/>
        </w:rPr>
        <w:t xml:space="preserve">第四部分 </w:t>
      </w:r>
      <w:bookmarkEnd w:id="54"/>
      <w:bookmarkEnd w:id="55"/>
      <w:bookmarkEnd w:id="56"/>
      <w:bookmarkEnd w:id="57"/>
      <w:r>
        <w:rPr>
          <w:rFonts w:hint="eastAsia" w:ascii="黑体" w:hAnsi="黑体" w:eastAsia="黑体"/>
          <w:b/>
          <w:sz w:val="32"/>
          <w:szCs w:val="32"/>
        </w:rPr>
        <w:t>遴选方式</w:t>
      </w:r>
      <w:bookmarkEnd w:id="58"/>
      <w:bookmarkStart w:id="59" w:name="_Toc9263406"/>
      <w:bookmarkStart w:id="60" w:name="_Toc292549993"/>
      <w:bookmarkStart w:id="61" w:name="_Toc294262702"/>
      <w:bookmarkStart w:id="62" w:name="_Toc292549604"/>
    </w:p>
    <w:p>
      <w:pPr>
        <w:snapToGrid w:val="0"/>
        <w:spacing w:before="340" w:after="330" w:line="360" w:lineRule="auto"/>
        <w:outlineLvl w:val="1"/>
        <w:rPr>
          <w:rFonts w:hint="eastAsia" w:ascii="宋体" w:hAnsi="宋体"/>
          <w:b/>
          <w:sz w:val="24"/>
        </w:rPr>
      </w:pPr>
      <w:bookmarkStart w:id="63" w:name="_Toc15597"/>
      <w:r>
        <w:rPr>
          <w:rFonts w:hint="eastAsia" w:ascii="宋体" w:hAnsi="宋体"/>
          <w:b/>
          <w:sz w:val="24"/>
        </w:rPr>
        <w:t>一、概述</w:t>
      </w:r>
      <w:bookmarkEnd w:id="63"/>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本次遴选采用自主公开遴选方式进行，遴选依据《汕头大学·香港中文大学联合汕头国际眼科中心采购与招投标管理办法（试行） 》组成的遴选小组负责完成。</w:t>
      </w:r>
    </w:p>
    <w:p>
      <w:pPr>
        <w:snapToGrid w:val="0"/>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本次遴选采用综合评分法。本次遴选是以遴选文件为依据，按公正、科学、客观、平等竞争的要求，响应文件满足遴选文件全部实质性要求，按总得分由高至低排出名次的投标人为中标候选人。</w:t>
      </w:r>
    </w:p>
    <w:p>
      <w:pPr>
        <w:snapToGrid w:val="0"/>
        <w:spacing w:before="340" w:after="330" w:line="360" w:lineRule="auto"/>
        <w:outlineLvl w:val="1"/>
        <w:rPr>
          <w:rFonts w:hint="eastAsia" w:ascii="宋体" w:hAnsi="宋体"/>
          <w:b/>
          <w:sz w:val="24"/>
        </w:rPr>
      </w:pPr>
      <w:bookmarkStart w:id="64" w:name="_Toc18047"/>
      <w:r>
        <w:rPr>
          <w:rFonts w:hint="eastAsia" w:ascii="宋体" w:hAnsi="宋体"/>
          <w:b/>
          <w:sz w:val="24"/>
        </w:rPr>
        <w:t>二、遴选流程及步骤</w:t>
      </w:r>
      <w:bookmarkEnd w:id="64"/>
    </w:p>
    <w:p>
      <w:pPr>
        <w:snapToGrid w:val="0"/>
        <w:spacing w:line="360" w:lineRule="auto"/>
        <w:ind w:firstLine="480" w:firstLineChars="200"/>
        <w:rPr>
          <w:rFonts w:hint="eastAsia" w:ascii="宋体" w:hAnsi="宋体"/>
          <w:sz w:val="24"/>
        </w:rPr>
      </w:pPr>
      <w:r>
        <w:rPr>
          <w:rFonts w:hint="eastAsia" w:ascii="宋体" w:hAnsi="宋体"/>
          <w:sz w:val="24"/>
        </w:rPr>
        <w:t>（一）资格审查</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遴选小组根据《资格审查表》对各供应商的资格文件逐项进行审查。</w:t>
      </w:r>
    </w:p>
    <w:p>
      <w:pPr>
        <w:snapToGrid w:val="0"/>
        <w:spacing w:line="360" w:lineRule="auto"/>
        <w:ind w:firstLine="480" w:firstLineChars="200"/>
        <w:rPr>
          <w:rFonts w:hint="eastAsia" w:ascii="Times New Roman" w:hAnsi="Times New Roman" w:eastAsia="宋体" w:cs="Times New Roman"/>
          <w:kern w:val="2"/>
          <w:sz w:val="28"/>
          <w:szCs w:val="24"/>
          <w:lang w:val="en-US" w:eastAsia="zh-CN" w:bidi="ar-SA"/>
        </w:rPr>
      </w:pPr>
      <w:r>
        <w:rPr>
          <w:rFonts w:hint="eastAsia" w:ascii="宋体" w:hAnsi="宋体"/>
          <w:sz w:val="24"/>
        </w:rPr>
        <w:t>2</w:t>
      </w:r>
      <w:r>
        <w:rPr>
          <w:rFonts w:hint="eastAsia" w:ascii="宋体" w:hAnsi="宋体"/>
          <w:sz w:val="24"/>
          <w:lang w:eastAsia="zh-CN"/>
        </w:rPr>
        <w:t>、</w:t>
      </w:r>
      <w:r>
        <w:rPr>
          <w:rFonts w:hint="eastAsia" w:ascii="宋体" w:hAnsi="宋体"/>
          <w:sz w:val="24"/>
        </w:rPr>
        <w:t>只有通过资格审查的供应商才能进入符合性审查。资格审查不合格的为无效响应，不进入后续评审。若通过资格审查的供应商不足三家，则该项目按废标处理。</w:t>
      </w:r>
    </w:p>
    <w:tbl>
      <w:tblPr>
        <w:tblStyle w:val="23"/>
        <w:tblpPr w:leftFromText="180" w:rightFromText="180" w:vertAnchor="text" w:horzAnchor="page" w:tblpX="1632" w:tblpY="5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b/>
                <w:bCs/>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firstLine="480" w:firstLineChars="200"/>
              <w:jc w:val="center"/>
              <w:rPr>
                <w:rFonts w:ascii="宋体" w:hAnsi="宋体"/>
                <w:sz w:val="24"/>
                <w:szCs w:val="20"/>
              </w:rPr>
            </w:pPr>
            <w:r>
              <w:rPr>
                <w:rFonts w:hint="eastAsia" w:ascii="宋体" w:hAnsi="宋体"/>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1</w:t>
            </w:r>
          </w:p>
        </w:tc>
        <w:tc>
          <w:tcPr>
            <w:tcW w:w="8024" w:type="dxa"/>
            <w:tcBorders>
              <w:top w:val="single" w:color="auto" w:sz="4" w:space="0"/>
            </w:tcBorders>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具有独立承担民事责任能力的在中华人民共和国境内注册的法人或其他组织（提供有效的营业执照/或事业法人登记证等相关证明的副本复印件）。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2</w:t>
            </w:r>
          </w:p>
        </w:tc>
        <w:tc>
          <w:tcPr>
            <w:tcW w:w="8024" w:type="dxa"/>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具有良好的商业信誉和健全的财务会计制度（提供2020年财务报告复印件或2021年内由基本开户行出具的资信证明复印件）。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3</w:t>
            </w:r>
          </w:p>
        </w:tc>
        <w:tc>
          <w:tcPr>
            <w:tcW w:w="8024" w:type="dxa"/>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有依法缴纳税收</w:t>
            </w:r>
            <w:bookmarkStart w:id="65" w:name="_Toc278794807"/>
            <w:bookmarkStart w:id="66" w:name="_Toc204664426"/>
            <w:bookmarkStart w:id="67" w:name="_Toc278274486"/>
            <w:bookmarkStart w:id="68" w:name="_Toc501988143"/>
            <w:bookmarkStart w:id="69" w:name="_Toc25737"/>
            <w:r>
              <w:rPr>
                <w:rFonts w:hint="eastAsia" w:ascii="宋体" w:hAnsi="宋体"/>
                <w:sz w:val="24"/>
                <w:szCs w:val="20"/>
              </w:rPr>
              <w:t>和社会保障</w:t>
            </w:r>
            <w:bookmarkEnd w:id="65"/>
            <w:bookmarkEnd w:id="66"/>
            <w:bookmarkEnd w:id="67"/>
            <w:r>
              <w:rPr>
                <w:rFonts w:hint="eastAsia" w:ascii="宋体" w:hAnsi="宋体"/>
                <w:sz w:val="24"/>
                <w:szCs w:val="20"/>
              </w:rPr>
              <w:t>资金的良好记录（</w:t>
            </w:r>
            <w:bookmarkEnd w:id="68"/>
            <w:bookmarkEnd w:id="69"/>
            <w:r>
              <w:rPr>
                <w:rFonts w:hint="eastAsia" w:ascii="宋体" w:hAnsi="宋体"/>
                <w:sz w:val="24"/>
                <w:szCs w:val="20"/>
              </w:rPr>
              <w:t>提供响应截止日前6个月内任意1个月依法缴纳税收和社会保障资金的相关材料。如依法免税或不需要缴纳社会保障资金的，提供相应证明材料）。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4</w:t>
            </w:r>
          </w:p>
        </w:tc>
        <w:tc>
          <w:tcPr>
            <w:tcW w:w="8024" w:type="dxa"/>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已在中国政府采购网广东分网完成政府采购代理机构网上登记、纳入政府采购代理机构名录（提供纳入政府采购代理机构名录的截图）。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5</w:t>
            </w:r>
          </w:p>
        </w:tc>
        <w:tc>
          <w:tcPr>
            <w:tcW w:w="8024" w:type="dxa"/>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网站截图，以遴选截止日当天遴选人在“信用中国”网站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6</w:t>
            </w:r>
          </w:p>
        </w:tc>
        <w:tc>
          <w:tcPr>
            <w:tcW w:w="8024" w:type="dxa"/>
            <w:noWrap w:val="0"/>
            <w:vAlign w:val="center"/>
          </w:tcPr>
          <w:p>
            <w:pPr>
              <w:tabs>
                <w:tab w:val="left" w:pos="8280"/>
              </w:tabs>
              <w:autoSpaceDE w:val="0"/>
              <w:autoSpaceDN w:val="0"/>
              <w:adjustRightInd w:val="0"/>
              <w:snapToGrid w:val="0"/>
              <w:spacing w:line="360" w:lineRule="auto"/>
              <w:ind w:right="32"/>
              <w:jc w:val="left"/>
              <w:rPr>
                <w:rFonts w:ascii="宋体" w:hAnsi="宋体"/>
                <w:sz w:val="24"/>
                <w:szCs w:val="20"/>
              </w:rPr>
            </w:pPr>
            <w:r>
              <w:rPr>
                <w:rFonts w:hint="eastAsia" w:ascii="宋体" w:hAnsi="宋体"/>
                <w:sz w:val="24"/>
                <w:szCs w:val="20"/>
              </w:rPr>
              <w:t>参加本遴选活动前三年内，在经营活动中没有重大违法记录（以响应函相关承诺格式内容响应）。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7</w:t>
            </w:r>
          </w:p>
        </w:tc>
        <w:tc>
          <w:tcPr>
            <w:tcW w:w="8024" w:type="dxa"/>
            <w:noWrap w:val="0"/>
            <w:vAlign w:val="center"/>
          </w:tcPr>
          <w:p>
            <w:pPr>
              <w:tabs>
                <w:tab w:val="left" w:pos="8280"/>
              </w:tabs>
              <w:autoSpaceDE w:val="0"/>
              <w:autoSpaceDN w:val="0"/>
              <w:adjustRightInd w:val="0"/>
              <w:snapToGrid w:val="0"/>
              <w:spacing w:line="360" w:lineRule="auto"/>
              <w:ind w:right="32"/>
              <w:rPr>
                <w:rFonts w:ascii="宋体" w:hAnsi="宋体"/>
                <w:sz w:val="24"/>
                <w:szCs w:val="20"/>
              </w:rPr>
            </w:pPr>
            <w:r>
              <w:rPr>
                <w:rFonts w:hint="eastAsia" w:ascii="宋体" w:hAnsi="宋体"/>
                <w:sz w:val="24"/>
                <w:szCs w:val="20"/>
              </w:rPr>
              <w:t>单位负责人为同一人或者存在直接控股、管理关系的不同供应商，不得同时参加本遴选项目（以响应函相关承诺格式内容响应）。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firstLine="240" w:firstLineChars="100"/>
              <w:rPr>
                <w:rFonts w:ascii="宋体" w:hAnsi="宋体"/>
                <w:sz w:val="24"/>
                <w:szCs w:val="20"/>
              </w:rPr>
            </w:pPr>
            <w:r>
              <w:rPr>
                <w:rFonts w:hint="eastAsia" w:ascii="宋体" w:hAnsi="宋体"/>
                <w:sz w:val="24"/>
                <w:szCs w:val="20"/>
              </w:rPr>
              <w:t>8</w:t>
            </w:r>
          </w:p>
        </w:tc>
        <w:tc>
          <w:tcPr>
            <w:tcW w:w="8024" w:type="dxa"/>
            <w:noWrap w:val="0"/>
            <w:vAlign w:val="center"/>
          </w:tcPr>
          <w:p>
            <w:pPr>
              <w:tabs>
                <w:tab w:val="left" w:pos="8280"/>
              </w:tabs>
              <w:autoSpaceDE w:val="0"/>
              <w:autoSpaceDN w:val="0"/>
              <w:adjustRightInd w:val="0"/>
              <w:snapToGrid w:val="0"/>
              <w:spacing w:line="360" w:lineRule="auto"/>
              <w:ind w:right="32"/>
              <w:rPr>
                <w:rFonts w:ascii="宋体" w:hAnsi="宋体"/>
                <w:sz w:val="24"/>
                <w:szCs w:val="20"/>
              </w:rPr>
            </w:pPr>
            <w:r>
              <w:rPr>
                <w:rFonts w:hint="eastAsia" w:ascii="宋体" w:hAnsi="宋体"/>
                <w:sz w:val="24"/>
                <w:szCs w:val="20"/>
              </w:rPr>
              <w:t>法律、行政法规规定的其他条件（以响应函相关承诺格式内容响应）。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9</w:t>
            </w:r>
          </w:p>
        </w:tc>
        <w:tc>
          <w:tcPr>
            <w:tcW w:w="8024" w:type="dxa"/>
            <w:noWrap w:val="0"/>
            <w:vAlign w:val="center"/>
          </w:tcPr>
          <w:p>
            <w:pPr>
              <w:tabs>
                <w:tab w:val="left" w:pos="8280"/>
              </w:tabs>
              <w:autoSpaceDE w:val="0"/>
              <w:autoSpaceDN w:val="0"/>
              <w:adjustRightInd w:val="0"/>
              <w:snapToGrid w:val="0"/>
              <w:spacing w:line="360" w:lineRule="auto"/>
              <w:ind w:right="32"/>
              <w:rPr>
                <w:rFonts w:ascii="宋体" w:hAnsi="宋体"/>
                <w:sz w:val="24"/>
                <w:szCs w:val="20"/>
              </w:rPr>
            </w:pPr>
            <w:r>
              <w:rPr>
                <w:rFonts w:hint="eastAsia" w:ascii="宋体" w:hAnsi="宋体"/>
                <w:sz w:val="24"/>
                <w:szCs w:val="20"/>
              </w:rPr>
              <w:t>已在遴选公告规定时间内向</w:t>
            </w:r>
            <w:r>
              <w:rPr>
                <w:rFonts w:hint="eastAsia" w:ascii="宋体" w:hAnsi="宋体"/>
                <w:sz w:val="24"/>
                <w:szCs w:val="20"/>
                <w:lang w:eastAsia="zh-CN"/>
              </w:rPr>
              <w:t>汕头大学·香港中文大学联合汕头国际眼科中心纪检办</w:t>
            </w:r>
            <w:r>
              <w:rPr>
                <w:rFonts w:hint="eastAsia" w:ascii="宋体" w:hAnsi="宋体"/>
                <w:sz w:val="24"/>
                <w:szCs w:val="20"/>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10</w:t>
            </w:r>
          </w:p>
        </w:tc>
        <w:tc>
          <w:tcPr>
            <w:tcW w:w="8024" w:type="dxa"/>
            <w:noWrap w:val="0"/>
            <w:vAlign w:val="center"/>
          </w:tcPr>
          <w:p>
            <w:pPr>
              <w:tabs>
                <w:tab w:val="left" w:pos="8280"/>
              </w:tabs>
              <w:autoSpaceDE w:val="0"/>
              <w:autoSpaceDN w:val="0"/>
              <w:adjustRightInd w:val="0"/>
              <w:snapToGrid w:val="0"/>
              <w:spacing w:line="360" w:lineRule="auto"/>
              <w:ind w:right="32"/>
              <w:rPr>
                <w:rFonts w:ascii="宋体" w:hAnsi="宋体"/>
                <w:sz w:val="24"/>
                <w:szCs w:val="20"/>
              </w:rPr>
            </w:pPr>
            <w:r>
              <w:rPr>
                <w:rFonts w:hint="eastAsia" w:ascii="宋体" w:hAnsi="宋体"/>
                <w:sz w:val="24"/>
                <w:szCs w:val="20"/>
              </w:rPr>
              <w:t>本项目不接受联合体供应商参加（以响应函相关承诺格式内容响应）。</w:t>
            </w:r>
          </w:p>
        </w:tc>
      </w:tr>
    </w:tbl>
    <w:p>
      <w:pPr>
        <w:snapToGrid w:val="0"/>
        <w:spacing w:line="360" w:lineRule="auto"/>
        <w:rPr>
          <w:rFonts w:ascii="黑体" w:hAnsi="黑体" w:eastAsia="黑体"/>
          <w:b/>
          <w:sz w:val="32"/>
          <w:szCs w:val="32"/>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（二）符合性审查</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遴选小组根据《符合性审查表》对供应商的符合性文件逐项进行审查；</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符合性审查合格的供应商才进入后续评审，符合性审查不合格的为无效响应，不进入后续评审。若符合性审查通过的供应商不足三家，则该项目按废标处理。</w:t>
      </w:r>
    </w:p>
    <w:p>
      <w:pPr>
        <w:snapToGrid w:val="0"/>
        <w:spacing w:line="360" w:lineRule="auto"/>
        <w:ind w:firstLine="480" w:firstLineChars="200"/>
        <w:rPr>
          <w:rFonts w:hint="eastAsia" w:ascii="宋体" w:hAnsi="宋体" w:eastAsia="宋体"/>
          <w:sz w:val="24"/>
        </w:rPr>
      </w:pPr>
    </w:p>
    <w:tbl>
      <w:tblPr>
        <w:tblStyle w:val="2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888" w:type="dxa"/>
            <w:gridSpan w:val="2"/>
            <w:tcBorders>
              <w:top w:val="nil"/>
              <w:left w:val="nil"/>
              <w:bottom w:val="single" w:color="auto" w:sz="4" w:space="0"/>
              <w:right w:val="nil"/>
            </w:tcBorders>
            <w:noWrap w:val="0"/>
            <w:vAlign w:val="center"/>
          </w:tcPr>
          <w:p>
            <w:pPr>
              <w:tabs>
                <w:tab w:val="left" w:pos="8280"/>
              </w:tabs>
              <w:autoSpaceDE w:val="0"/>
              <w:autoSpaceDN w:val="0"/>
              <w:adjustRightInd w:val="0"/>
              <w:snapToGrid w:val="0"/>
              <w:spacing w:line="360" w:lineRule="auto"/>
              <w:ind w:right="32" w:firstLine="482" w:firstLineChars="200"/>
              <w:jc w:val="center"/>
              <w:rPr>
                <w:rFonts w:ascii="宋体" w:hAnsi="宋体"/>
                <w:sz w:val="24"/>
                <w:szCs w:val="24"/>
              </w:rPr>
            </w:pPr>
            <w:r>
              <w:rPr>
                <w:rFonts w:hint="eastAsia" w:ascii="宋体" w:hAnsi="宋体"/>
                <w:b/>
                <w:bCs/>
                <w:sz w:val="24"/>
                <w:szCs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firstLine="480" w:firstLineChars="200"/>
              <w:jc w:val="center"/>
              <w:rPr>
                <w:rFonts w:ascii="宋体" w:hAnsi="宋体"/>
                <w:sz w:val="24"/>
                <w:szCs w:val="24"/>
              </w:rPr>
            </w:pPr>
            <w:r>
              <w:rPr>
                <w:rFonts w:hint="eastAsia" w:ascii="宋体" w:hAnsi="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已提交响应函，并按对应格式文件签署、盖章。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已提交法定代表人证明书及授权委托书（按对应格式文件签署、盖章）。以非独立法人注册的分公司名义代表总公司申请的，须提供具有法人资格的总公司的营业执照复印件及总公司针对本项目参与的授权书。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响应文件内容完整，无重大错漏，并按要求签署、盖章。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响应有效期为递交响应文件的截止之日起不少于90天。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标注“★”的实质性响应条款满足遴选文件要求。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未含有遴选人不可接受的附加条件。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4"/>
              </w:rPr>
            </w:pPr>
            <w:r>
              <w:rPr>
                <w:rFonts w:hint="eastAsia" w:ascii="宋体" w:hAnsi="宋体"/>
                <w:sz w:val="24"/>
                <w:szCs w:val="24"/>
              </w:rPr>
              <w:t>7</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rPr>
                <w:rFonts w:ascii="宋体" w:hAnsi="宋体"/>
                <w:sz w:val="24"/>
                <w:szCs w:val="24"/>
              </w:rPr>
            </w:pPr>
            <w:r>
              <w:rPr>
                <w:rFonts w:hint="eastAsia" w:ascii="宋体" w:hAnsi="宋体"/>
                <w:sz w:val="24"/>
                <w:szCs w:val="24"/>
              </w:rPr>
              <w:t>未出现遴选文件所列的视为串通投标情形。</w:t>
            </w:r>
          </w:p>
        </w:tc>
      </w:tr>
    </w:tbl>
    <w:p>
      <w:pPr>
        <w:snapToGrid w:val="0"/>
        <w:spacing w:line="360" w:lineRule="auto"/>
        <w:rPr>
          <w:rFonts w:ascii="黑体" w:hAnsi="黑体" w:eastAsia="黑体"/>
          <w:b/>
          <w:sz w:val="32"/>
          <w:szCs w:val="32"/>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（三）遴选文件的澄清</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对响应文件中含义不明确、同类问题表述不一致或者有明显文字和计算错误的内容，遴选小组可以书面形式要求供应商作出必要的澄清、说明或者纠正。</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供应商的澄清、说明或者补正应当采用书面形式，由其授权的代表签字，并不得超出响应文件的范围或者改变响应文件的实质性内容。</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（四）供应商有以下情形之一的，视为供应商串通投标，其响应无效：</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出现影响采购公正的违法、违规行为的；</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不同供应商的响应文件由同一单位或者个人编制；</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不同供应商委托同一单位或者个人办理投标事宜；</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不同供应商的响应文件载明的项目管理成员为同一人；</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5</w:t>
      </w:r>
      <w:r>
        <w:rPr>
          <w:rFonts w:hint="eastAsia" w:ascii="宋体" w:hAnsi="宋体" w:eastAsia="宋体"/>
          <w:sz w:val="24"/>
          <w:lang w:eastAsia="zh-CN"/>
        </w:rPr>
        <w:t>、</w:t>
      </w:r>
      <w:r>
        <w:rPr>
          <w:rFonts w:hint="eastAsia" w:ascii="宋体" w:hAnsi="宋体" w:eastAsia="宋体"/>
          <w:sz w:val="24"/>
        </w:rPr>
        <w:t>不同供应商的响应文件异常一致或者报价呈规律性差异；</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6</w:t>
      </w:r>
      <w:r>
        <w:rPr>
          <w:rFonts w:hint="eastAsia" w:ascii="宋体" w:hAnsi="宋体" w:eastAsia="宋体"/>
          <w:sz w:val="24"/>
          <w:lang w:eastAsia="zh-CN"/>
        </w:rPr>
        <w:t>、</w:t>
      </w:r>
      <w:r>
        <w:rPr>
          <w:rFonts w:hint="eastAsia" w:ascii="宋体" w:hAnsi="宋体" w:eastAsia="宋体"/>
          <w:sz w:val="24"/>
        </w:rPr>
        <w:t>不同供应商的响应文件相互混装；</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7</w:t>
      </w:r>
      <w:r>
        <w:rPr>
          <w:rFonts w:hint="eastAsia" w:ascii="宋体" w:hAnsi="宋体" w:eastAsia="宋体"/>
          <w:sz w:val="24"/>
          <w:lang w:eastAsia="zh-CN"/>
        </w:rPr>
        <w:t>、</w:t>
      </w:r>
      <w:r>
        <w:rPr>
          <w:rFonts w:hint="eastAsia" w:ascii="宋体" w:hAnsi="宋体" w:eastAsia="宋体"/>
          <w:sz w:val="24"/>
        </w:rPr>
        <w:t>不同供应商的保证金从同一单位账户转出。</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（五）技术商务评审</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技术商务评审满分为100分。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667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9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分项内容</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要求</w:t>
            </w:r>
          </w:p>
        </w:tc>
        <w:tc>
          <w:tcPr>
            <w:tcW w:w="8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240" w:lineRule="auto"/>
              <w:ind w:right="0"/>
              <w:jc w:val="center"/>
              <w:textAlignment w:val="auto"/>
              <w:rPr>
                <w:rFonts w:ascii="宋体" w:hAnsi="宋体"/>
                <w:sz w:val="24"/>
                <w:szCs w:val="20"/>
              </w:rPr>
            </w:pPr>
            <w:r>
              <w:rPr>
                <w:rFonts w:hint="eastAsia" w:ascii="宋体" w:hAnsi="宋体"/>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498" w:type="dxa"/>
            <w:tcBorders>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32"/>
              <w:jc w:val="center"/>
              <w:textAlignment w:val="auto"/>
              <w:rPr>
                <w:rFonts w:hint="default" w:ascii="宋体" w:hAnsi="宋体"/>
                <w:color w:val="auto"/>
                <w:sz w:val="24"/>
                <w:szCs w:val="20"/>
                <w:highlight w:val="none"/>
                <w:lang w:val="en-US" w:eastAsia="zh-CN"/>
              </w:rPr>
            </w:pPr>
            <w:r>
              <w:rPr>
                <w:rFonts w:hint="eastAsia" w:ascii="宋体" w:hAnsi="宋体"/>
                <w:color w:val="auto"/>
                <w:sz w:val="24"/>
                <w:szCs w:val="20"/>
                <w:highlight w:val="none"/>
                <w:lang w:eastAsia="zh-CN"/>
              </w:rPr>
              <w:t>企业</w:t>
            </w:r>
            <w:r>
              <w:rPr>
                <w:rFonts w:hint="eastAsia" w:ascii="宋体" w:hAnsi="宋体"/>
                <w:color w:val="auto"/>
                <w:sz w:val="24"/>
                <w:szCs w:val="20"/>
                <w:highlight w:val="none"/>
                <w:lang w:val="en-US" w:eastAsia="zh-CN"/>
              </w:rPr>
              <w:t>认证</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82" w:beforeLines="100" w:line="360" w:lineRule="auto"/>
              <w:jc w:val="both"/>
              <w:textAlignment w:val="auto"/>
              <w:rPr>
                <w:rFonts w:ascii="宋体" w:hAnsi="宋体"/>
                <w:color w:val="auto"/>
                <w:sz w:val="24"/>
                <w:highlight w:val="none"/>
              </w:rPr>
            </w:pPr>
            <w:r>
              <w:rPr>
                <w:rFonts w:hint="eastAsia" w:ascii="宋体" w:hAnsi="宋体"/>
                <w:color w:val="auto"/>
                <w:sz w:val="24"/>
                <w:highlight w:val="none"/>
              </w:rPr>
              <w:t>具备有效的ISO质量管理体系认证、环境管理体系认证、职业健康管理体系认证、</w:t>
            </w:r>
            <w:r>
              <w:rPr>
                <w:rFonts w:hint="eastAsia" w:ascii="宋体" w:hAnsi="宋体"/>
                <w:color w:val="auto"/>
                <w:sz w:val="24"/>
                <w:highlight w:val="none"/>
                <w:lang w:eastAsia="zh-CN"/>
              </w:rPr>
              <w:t>信息安全管理体系认证</w:t>
            </w:r>
            <w:r>
              <w:rPr>
                <w:rFonts w:hint="eastAsia" w:ascii="宋体" w:hAnsi="宋体"/>
                <w:color w:val="auto"/>
                <w:sz w:val="24"/>
                <w:highlight w:val="none"/>
              </w:rPr>
              <w:t>,每具备其中一项得</w:t>
            </w:r>
            <w:r>
              <w:rPr>
                <w:rFonts w:hint="eastAsia" w:ascii="宋体" w:hAnsi="宋体"/>
                <w:color w:val="auto"/>
                <w:sz w:val="24"/>
                <w:highlight w:val="none"/>
                <w:lang w:val="en-US" w:eastAsia="zh-CN"/>
              </w:rPr>
              <w:t>1</w:t>
            </w:r>
            <w:r>
              <w:rPr>
                <w:rFonts w:hint="eastAsia" w:ascii="宋体" w:hAnsi="宋体"/>
                <w:color w:val="auto"/>
                <w:sz w:val="24"/>
                <w:highlight w:val="none"/>
              </w:rPr>
              <w:t>分，满分</w:t>
            </w:r>
            <w:r>
              <w:rPr>
                <w:rFonts w:hint="eastAsia" w:ascii="宋体" w:hAnsi="宋体"/>
                <w:color w:val="auto"/>
                <w:sz w:val="24"/>
                <w:highlight w:val="none"/>
                <w:lang w:val="en-US" w:eastAsia="zh-CN"/>
              </w:rPr>
              <w:t>4</w:t>
            </w:r>
            <w:r>
              <w:rPr>
                <w:rFonts w:hint="eastAsia" w:ascii="宋体" w:hAnsi="宋体"/>
                <w:color w:val="auto"/>
                <w:sz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szCs w:val="20"/>
                <w:highlight w:val="none"/>
                <w:lang w:eastAsia="zh-CN"/>
              </w:rPr>
            </w:pPr>
            <w:r>
              <w:rPr>
                <w:rFonts w:hint="eastAsia" w:ascii="宋体" w:hAnsi="宋体"/>
                <w:color w:val="auto"/>
                <w:sz w:val="24"/>
                <w:highlight w:val="none"/>
              </w:rPr>
              <w:t>注：提供以上证书复印件。</w:t>
            </w:r>
          </w:p>
        </w:tc>
        <w:tc>
          <w:tcPr>
            <w:tcW w:w="883"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color w:val="auto"/>
                <w:szCs w:val="21"/>
                <w:highlight w:val="none"/>
                <w:lang w:val="en-US" w:eastAsia="zh-CN"/>
              </w:rPr>
            </w:pPr>
            <w:r>
              <w:rPr>
                <w:rFonts w:hint="eastAsia" w:ascii="宋体" w:hAnsi="宋体"/>
                <w:color w:val="auto"/>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98"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lang w:eastAsia="zh-CN"/>
              </w:rPr>
            </w:pPr>
            <w:r>
              <w:rPr>
                <w:rFonts w:hint="eastAsia" w:ascii="宋体" w:hAnsi="宋体"/>
                <w:sz w:val="24"/>
              </w:rPr>
              <w:t>企业组织架构与制度建设</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ascii="宋体" w:hAnsi="宋体"/>
                <w:sz w:val="24"/>
              </w:rPr>
            </w:pPr>
            <w:r>
              <w:rPr>
                <w:rFonts w:hint="eastAsia" w:ascii="宋体" w:hAnsi="宋体"/>
                <w:sz w:val="24"/>
              </w:rPr>
              <w:t>根据响应供应商的企业组织架构，企业管理制度、员工培训制度的建设情况进行综合评价，</w:t>
            </w:r>
            <w:r>
              <w:rPr>
                <w:rFonts w:ascii="宋体" w:hAnsi="宋体"/>
                <w:sz w:val="24"/>
              </w:rPr>
              <w:t>优得</w:t>
            </w:r>
            <w:r>
              <w:rPr>
                <w:rFonts w:hint="eastAsia" w:ascii="宋体" w:hAnsi="宋体"/>
                <w:sz w:val="24"/>
              </w:rPr>
              <w:t>5</w:t>
            </w:r>
            <w:r>
              <w:rPr>
                <w:rFonts w:ascii="宋体" w:hAnsi="宋体"/>
                <w:sz w:val="24"/>
              </w:rPr>
              <w:t>分</w:t>
            </w:r>
            <w:r>
              <w:rPr>
                <w:rFonts w:hint="eastAsia" w:ascii="宋体" w:hAnsi="宋体"/>
                <w:sz w:val="24"/>
              </w:rPr>
              <w:t>，</w:t>
            </w:r>
            <w:r>
              <w:rPr>
                <w:rFonts w:ascii="宋体" w:hAnsi="宋体"/>
                <w:sz w:val="24"/>
              </w:rPr>
              <w:t>良得</w:t>
            </w:r>
            <w:r>
              <w:rPr>
                <w:rFonts w:hint="eastAsia" w:ascii="宋体" w:hAnsi="宋体"/>
                <w:sz w:val="24"/>
              </w:rPr>
              <w:t>4</w:t>
            </w:r>
            <w:r>
              <w:rPr>
                <w:rFonts w:ascii="宋体" w:hAnsi="宋体"/>
                <w:sz w:val="24"/>
              </w:rPr>
              <w:t>分</w:t>
            </w:r>
            <w:r>
              <w:rPr>
                <w:rFonts w:hint="eastAsia" w:ascii="宋体" w:hAnsi="宋体"/>
                <w:sz w:val="24"/>
              </w:rPr>
              <w:t>，中等得3分，一般</w:t>
            </w:r>
            <w:r>
              <w:rPr>
                <w:rFonts w:ascii="宋体" w:hAnsi="宋体"/>
                <w:sz w:val="24"/>
              </w:rPr>
              <w:t>得</w:t>
            </w:r>
            <w:r>
              <w:rPr>
                <w:rFonts w:hint="eastAsia" w:ascii="宋体" w:hAnsi="宋体"/>
                <w:sz w:val="24"/>
              </w:rPr>
              <w:t>2</w:t>
            </w:r>
            <w:r>
              <w:rPr>
                <w:rFonts w:ascii="宋体" w:hAnsi="宋体"/>
                <w:sz w:val="24"/>
              </w:rPr>
              <w:t>分</w:t>
            </w:r>
            <w:r>
              <w:rPr>
                <w:rFonts w:hint="eastAsia" w:ascii="宋体" w:hAnsi="宋体"/>
                <w:sz w:val="24"/>
              </w:rPr>
              <w:t>，差得1分，不提供不得分。</w:t>
            </w:r>
          </w:p>
          <w:p>
            <w:pPr>
              <w:snapToGrid w:val="0"/>
              <w:spacing w:line="360" w:lineRule="auto"/>
              <w:jc w:val="left"/>
              <w:rPr>
                <w:rFonts w:hint="eastAsia" w:ascii="宋体" w:hAnsi="宋体"/>
                <w:color w:val="auto"/>
                <w:sz w:val="24"/>
                <w:highlight w:val="none"/>
              </w:rPr>
            </w:pPr>
            <w:r>
              <w:rPr>
                <w:rFonts w:hint="eastAsia" w:ascii="宋体" w:hAnsi="宋体"/>
                <w:sz w:val="24"/>
              </w:rPr>
              <w:t>注：提供组织架构图、制度及相关说明。</w:t>
            </w:r>
          </w:p>
        </w:tc>
        <w:tc>
          <w:tcPr>
            <w:tcW w:w="883"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lang w:val="en-US" w:eastAsia="zh-CN"/>
              </w:rPr>
            </w:pPr>
            <w:r>
              <w:rPr>
                <w:rFonts w:hint="eastAsia" w:ascii="宋体" w:hAnsi="宋体" w:eastAsia="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场地条件与硬件设施</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rPr>
            </w:pPr>
            <w:r>
              <w:rPr>
                <w:rFonts w:hint="eastAsia" w:ascii="宋体" w:hAnsi="宋体"/>
                <w:sz w:val="24"/>
                <w:szCs w:val="20"/>
              </w:rPr>
              <w:t>根据响应供应商开展招投标活动的场所如</w:t>
            </w:r>
            <w:r>
              <w:rPr>
                <w:rFonts w:hint="eastAsia" w:ascii="宋体" w:hAnsi="宋体"/>
                <w:sz w:val="24"/>
                <w:szCs w:val="20"/>
                <w:lang w:val="en-US" w:eastAsia="zh-CN"/>
              </w:rPr>
              <w:t>甲级写字楼、</w:t>
            </w:r>
            <w:r>
              <w:rPr>
                <w:rFonts w:hint="eastAsia" w:ascii="宋体" w:hAnsi="宋体"/>
                <w:sz w:val="24"/>
                <w:szCs w:val="20"/>
              </w:rPr>
              <w:t>开评标室等的数量、装修状况、各功能区间布置的合理性</w:t>
            </w:r>
            <w:r>
              <w:rPr>
                <w:rFonts w:hint="eastAsia" w:ascii="宋体" w:hAnsi="宋体"/>
                <w:sz w:val="24"/>
                <w:szCs w:val="20"/>
                <w:lang w:val="en-US" w:eastAsia="zh-CN"/>
              </w:rPr>
              <w:t>，</w:t>
            </w:r>
            <w:r>
              <w:rPr>
                <w:rFonts w:hint="eastAsia" w:ascii="宋体" w:hAnsi="宋体"/>
                <w:sz w:val="24"/>
                <w:szCs w:val="20"/>
              </w:rPr>
              <w:t>以及各功能室配备的设备设施是否完备等因素进行综合评价。</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优得</w:t>
            </w:r>
            <w:r>
              <w:rPr>
                <w:rFonts w:hint="eastAsia" w:ascii="宋体" w:hAnsi="宋体"/>
                <w:sz w:val="24"/>
                <w:szCs w:val="20"/>
                <w:lang w:val="en-US" w:eastAsia="zh-CN"/>
              </w:rPr>
              <w:t>5</w:t>
            </w:r>
            <w:r>
              <w:rPr>
                <w:rFonts w:hint="eastAsia" w:ascii="宋体" w:hAnsi="宋体"/>
                <w:sz w:val="24"/>
                <w:szCs w:val="20"/>
              </w:rPr>
              <w:t>分，良得</w:t>
            </w:r>
            <w:r>
              <w:rPr>
                <w:rFonts w:hint="eastAsia" w:ascii="宋体" w:hAnsi="宋体"/>
                <w:sz w:val="24"/>
                <w:szCs w:val="20"/>
                <w:lang w:val="en-US" w:eastAsia="zh-CN"/>
              </w:rPr>
              <w:t>3</w:t>
            </w:r>
            <w:r>
              <w:rPr>
                <w:rFonts w:hint="eastAsia" w:ascii="宋体" w:hAnsi="宋体"/>
                <w:sz w:val="24"/>
                <w:szCs w:val="20"/>
              </w:rPr>
              <w:t>分，差得1分，不提供不得分。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注：提供场所彩色图片及资料数据说明。</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 w:val="24"/>
                <w:szCs w:val="20"/>
                <w:lang w:eastAsia="zh-CN"/>
              </w:rPr>
            </w:pPr>
            <w:r>
              <w:rPr>
                <w:rFonts w:hint="eastAsia" w:ascii="宋体" w:hAnsi="宋体"/>
                <w:sz w:val="24"/>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档案管理</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rPr>
            </w:pPr>
            <w:r>
              <w:rPr>
                <w:rFonts w:hint="eastAsia" w:ascii="宋体" w:hAnsi="宋体"/>
                <w:sz w:val="24"/>
                <w:szCs w:val="20"/>
              </w:rPr>
              <w:t>根据响应供应商的招标采购项目档案管理制度完备程度、档案管理人员配备及档案库房规范情况进行综合评价。</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优得</w:t>
            </w:r>
            <w:r>
              <w:rPr>
                <w:rFonts w:hint="eastAsia" w:ascii="宋体" w:hAnsi="宋体"/>
                <w:sz w:val="24"/>
                <w:szCs w:val="20"/>
                <w:lang w:val="en-US" w:eastAsia="zh-CN"/>
              </w:rPr>
              <w:t>10</w:t>
            </w:r>
            <w:r>
              <w:rPr>
                <w:rFonts w:hint="eastAsia" w:ascii="宋体" w:hAnsi="宋体"/>
                <w:sz w:val="24"/>
                <w:szCs w:val="20"/>
              </w:rPr>
              <w:t>分，良得</w:t>
            </w:r>
            <w:r>
              <w:rPr>
                <w:rFonts w:hint="eastAsia" w:ascii="宋体" w:hAnsi="宋体"/>
                <w:sz w:val="24"/>
                <w:szCs w:val="20"/>
                <w:lang w:val="en-US" w:eastAsia="zh-CN"/>
              </w:rPr>
              <w:t>5</w:t>
            </w:r>
            <w:r>
              <w:rPr>
                <w:rFonts w:hint="eastAsia" w:ascii="宋体" w:hAnsi="宋体"/>
                <w:sz w:val="24"/>
                <w:szCs w:val="20"/>
              </w:rPr>
              <w:t>分，差得</w:t>
            </w:r>
            <w:r>
              <w:rPr>
                <w:rFonts w:hint="eastAsia" w:ascii="宋体" w:hAnsi="宋体"/>
                <w:sz w:val="24"/>
                <w:szCs w:val="20"/>
                <w:lang w:val="en-US" w:eastAsia="zh-CN"/>
              </w:rPr>
              <w:t>1</w:t>
            </w:r>
            <w:r>
              <w:rPr>
                <w:rFonts w:hint="eastAsia" w:ascii="宋体" w:hAnsi="宋体"/>
                <w:sz w:val="24"/>
                <w:szCs w:val="20"/>
              </w:rPr>
              <w:t>分，不提供不得分。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注：提供档案管理制度、电子档案管理情况</w:t>
            </w:r>
            <w:r>
              <w:rPr>
                <w:rFonts w:hint="eastAsia" w:ascii="宋体" w:hAnsi="宋体"/>
                <w:sz w:val="24"/>
                <w:szCs w:val="20"/>
                <w:lang w:eastAsia="zh-CN"/>
              </w:rPr>
              <w:t>、调阅档案方式及时效、</w:t>
            </w:r>
            <w:r>
              <w:rPr>
                <w:rFonts w:hint="eastAsia" w:ascii="宋体" w:hAnsi="宋体"/>
                <w:sz w:val="24"/>
                <w:szCs w:val="20"/>
              </w:rPr>
              <w:t>档案管理人员名单及档案库房照片。</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电子招投标系统</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hint="eastAsia" w:ascii="宋体" w:hAnsi="宋体" w:eastAsia="宋体"/>
                <w:sz w:val="24"/>
                <w:szCs w:val="20"/>
                <w:lang w:eastAsia="zh-CN"/>
              </w:rPr>
            </w:pPr>
            <w:r>
              <w:rPr>
                <w:rFonts w:hint="eastAsia" w:ascii="宋体" w:hAnsi="宋体"/>
                <w:sz w:val="24"/>
                <w:szCs w:val="20"/>
              </w:rPr>
              <w:t>具有电子招投标系统交易平台的得</w:t>
            </w:r>
            <w:r>
              <w:rPr>
                <w:rFonts w:hint="eastAsia" w:ascii="宋体" w:hAnsi="宋体"/>
                <w:sz w:val="24"/>
                <w:szCs w:val="20"/>
                <w:lang w:val="en-US" w:eastAsia="zh-CN"/>
              </w:rPr>
              <w:t>3</w:t>
            </w:r>
            <w:r>
              <w:rPr>
                <w:rFonts w:hint="eastAsia" w:ascii="宋体" w:hAnsi="宋体"/>
                <w:sz w:val="24"/>
                <w:szCs w:val="20"/>
              </w:rPr>
              <w:t>分</w:t>
            </w:r>
            <w:r>
              <w:rPr>
                <w:rFonts w:hint="eastAsia" w:ascii="宋体" w:hAnsi="宋体"/>
                <w:sz w:val="24"/>
                <w:szCs w:val="20"/>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具有电子招投标系统交易平台软件著作权登记证书的得</w:t>
            </w:r>
            <w:r>
              <w:rPr>
                <w:rFonts w:hint="eastAsia" w:ascii="宋体" w:hAnsi="宋体"/>
                <w:sz w:val="24"/>
                <w:szCs w:val="20"/>
                <w:lang w:val="en-US" w:eastAsia="zh-CN"/>
              </w:rPr>
              <w:t>3</w:t>
            </w:r>
            <w:r>
              <w:rPr>
                <w:rFonts w:hint="eastAsia" w:ascii="宋体" w:hAnsi="宋体"/>
                <w:sz w:val="24"/>
                <w:szCs w:val="20"/>
              </w:rPr>
              <w:t>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注：需为非政府采购网交易平台。提供电子招投标系统登录界面截图、著作权登记证书复印件。</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自有专家库设置</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color w:val="auto"/>
                <w:sz w:val="24"/>
                <w:szCs w:val="20"/>
                <w:highlight w:val="none"/>
              </w:rPr>
            </w:pPr>
            <w:r>
              <w:rPr>
                <w:rFonts w:hint="eastAsia" w:ascii="宋体" w:hAnsi="宋体"/>
                <w:color w:val="auto"/>
                <w:sz w:val="24"/>
                <w:szCs w:val="20"/>
                <w:highlight w:val="none"/>
              </w:rPr>
              <w:t>拥有自有专家库，库内专家货物类、工程类、服务类专业类别齐全，每一类专家库具有不少于</w:t>
            </w:r>
            <w:r>
              <w:rPr>
                <w:rFonts w:hint="eastAsia" w:ascii="宋体" w:hAnsi="宋体"/>
                <w:color w:val="auto"/>
                <w:sz w:val="24"/>
                <w:szCs w:val="20"/>
                <w:highlight w:val="none"/>
                <w:lang w:val="en-US" w:eastAsia="zh-CN"/>
              </w:rPr>
              <w:t>10</w:t>
            </w:r>
            <w:r>
              <w:rPr>
                <w:rFonts w:hint="eastAsia" w:ascii="宋体" w:hAnsi="宋体"/>
                <w:color w:val="auto"/>
                <w:sz w:val="24"/>
                <w:szCs w:val="20"/>
                <w:highlight w:val="none"/>
              </w:rPr>
              <w:t>位专家，</w:t>
            </w:r>
            <w:r>
              <w:rPr>
                <w:rFonts w:hint="eastAsia" w:ascii="宋体" w:hAnsi="宋体"/>
                <w:color w:val="auto"/>
                <w:sz w:val="24"/>
                <w:szCs w:val="20"/>
                <w:highlight w:val="none"/>
                <w:lang w:val="en-US" w:eastAsia="zh-CN"/>
              </w:rPr>
              <w:t>库内专家不低于50位，</w:t>
            </w:r>
            <w:r>
              <w:rPr>
                <w:rFonts w:hint="eastAsia" w:ascii="宋体" w:hAnsi="宋体"/>
                <w:color w:val="auto"/>
                <w:sz w:val="24"/>
                <w:szCs w:val="20"/>
                <w:highlight w:val="none"/>
              </w:rPr>
              <w:t>以上条件完全满足的得</w:t>
            </w:r>
            <w:r>
              <w:rPr>
                <w:rFonts w:hint="eastAsia" w:ascii="宋体" w:hAnsi="宋体"/>
                <w:color w:val="auto"/>
                <w:sz w:val="24"/>
                <w:szCs w:val="20"/>
                <w:highlight w:val="none"/>
                <w:lang w:val="en-US" w:eastAsia="zh-CN"/>
              </w:rPr>
              <w:t>10</w:t>
            </w:r>
            <w:r>
              <w:rPr>
                <w:rFonts w:hint="eastAsia" w:ascii="宋体" w:hAnsi="宋体"/>
                <w:color w:val="auto"/>
                <w:sz w:val="24"/>
                <w:szCs w:val="20"/>
                <w:highlight w:val="none"/>
              </w:rPr>
              <w:t>分；</w:t>
            </w:r>
            <w:r>
              <w:rPr>
                <w:rFonts w:hint="eastAsia" w:ascii="宋体" w:hAnsi="宋体"/>
                <w:color w:val="auto"/>
                <w:sz w:val="24"/>
                <w:szCs w:val="20"/>
                <w:highlight w:val="none"/>
                <w:lang w:eastAsia="zh-CN"/>
              </w:rPr>
              <w:t>无或其他</w:t>
            </w:r>
            <w:r>
              <w:rPr>
                <w:rFonts w:hint="eastAsia" w:ascii="宋体" w:hAnsi="宋体"/>
                <w:color w:val="auto"/>
                <w:sz w:val="24"/>
                <w:szCs w:val="20"/>
                <w:highlight w:val="none"/>
              </w:rPr>
              <w:t>不得分。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default" w:ascii="宋体" w:hAnsi="宋体" w:eastAsia="宋体"/>
                <w:sz w:val="24"/>
                <w:szCs w:val="20"/>
                <w:lang w:val="en-US" w:eastAsia="zh-CN"/>
              </w:rPr>
            </w:pPr>
            <w:r>
              <w:rPr>
                <w:rFonts w:hint="eastAsia" w:ascii="宋体" w:hAnsi="宋体"/>
                <w:color w:val="auto"/>
                <w:sz w:val="24"/>
                <w:szCs w:val="20"/>
                <w:highlight w:val="none"/>
              </w:rPr>
              <w:t>注：</w:t>
            </w:r>
            <w:r>
              <w:rPr>
                <w:rFonts w:hint="eastAsia" w:ascii="宋体" w:hAnsi="宋体"/>
                <w:color w:val="auto"/>
                <w:sz w:val="24"/>
                <w:szCs w:val="20"/>
                <w:highlight w:val="none"/>
                <w:lang w:eastAsia="zh-CN"/>
              </w:rPr>
              <w:t>（</w:t>
            </w:r>
            <w:r>
              <w:rPr>
                <w:rFonts w:hint="eastAsia" w:ascii="宋体" w:hAnsi="宋体"/>
                <w:color w:val="auto"/>
                <w:sz w:val="24"/>
                <w:szCs w:val="20"/>
                <w:highlight w:val="none"/>
              </w:rPr>
              <w:t>提供专家库系统登录界面和抽取专家系统界面，专家数量数据界面。</w:t>
            </w:r>
            <w:r>
              <w:rPr>
                <w:rFonts w:hint="eastAsia" w:ascii="宋体" w:hAnsi="宋体"/>
                <w:color w:val="auto"/>
                <w:sz w:val="24"/>
                <w:szCs w:val="20"/>
                <w:highlight w:val="none"/>
                <w:lang w:eastAsia="zh-CN"/>
              </w:rPr>
              <w:t>提供专家库内不少于</w:t>
            </w:r>
            <w:r>
              <w:rPr>
                <w:rFonts w:hint="eastAsia" w:ascii="宋体" w:hAnsi="宋体"/>
                <w:color w:val="auto"/>
                <w:sz w:val="24"/>
                <w:szCs w:val="20"/>
                <w:highlight w:val="none"/>
                <w:lang w:val="en-US" w:eastAsia="zh-CN"/>
              </w:rPr>
              <w:t>50名专家的相关信息（至少包括身份证、职称证复印件，否则本项不得分。）</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法律保障支持</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rPr>
            </w:pPr>
            <w:r>
              <w:rPr>
                <w:rFonts w:hint="eastAsia" w:ascii="宋体" w:hAnsi="宋体"/>
                <w:sz w:val="24"/>
                <w:szCs w:val="20"/>
              </w:rPr>
              <w:t>响应供应商聘任律师事务所法律顾问，有得</w:t>
            </w:r>
            <w:r>
              <w:rPr>
                <w:rFonts w:hint="eastAsia" w:ascii="宋体" w:hAnsi="宋体"/>
                <w:sz w:val="24"/>
                <w:szCs w:val="20"/>
                <w:lang w:val="en-US" w:eastAsia="zh-CN"/>
              </w:rPr>
              <w:t>6</w:t>
            </w:r>
            <w:r>
              <w:rPr>
                <w:rFonts w:hint="eastAsia" w:ascii="宋体" w:hAnsi="宋体"/>
                <w:sz w:val="24"/>
                <w:szCs w:val="20"/>
              </w:rPr>
              <w:t>分，无得0分。       注：提供响应供应商与律师事务所签定的合同复印件。</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 w:val="24"/>
                <w:szCs w:val="20"/>
                <w:lang w:eastAsia="zh-CN"/>
              </w:rPr>
            </w:pPr>
            <w:r>
              <w:rPr>
                <w:rFonts w:hint="eastAsia" w:ascii="宋体" w:hAnsi="宋体"/>
                <w:sz w:val="24"/>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98"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质疑、投诉处理能力</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rPr>
            </w:pPr>
            <w:r>
              <w:rPr>
                <w:rFonts w:hint="eastAsia" w:ascii="宋体" w:hAnsi="宋体"/>
                <w:sz w:val="24"/>
                <w:szCs w:val="20"/>
              </w:rPr>
              <w:t>建立质疑情况档案，设定质疑预防机制；对供应商对招标文件、招标过程及招标结果提出的质疑的处理，依据提供的预防机制及质疑处理方案的合理性、科学性、可操作性进行综合评价。</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rPr>
            </w:pPr>
            <w:r>
              <w:rPr>
                <w:rFonts w:hint="eastAsia" w:ascii="宋体" w:hAnsi="宋体"/>
                <w:sz w:val="24"/>
                <w:szCs w:val="20"/>
              </w:rPr>
              <w:t>优得</w:t>
            </w:r>
            <w:r>
              <w:rPr>
                <w:rFonts w:hint="eastAsia" w:ascii="宋体" w:hAnsi="宋体"/>
                <w:sz w:val="24"/>
                <w:szCs w:val="20"/>
                <w:lang w:val="en-US" w:eastAsia="zh-CN"/>
              </w:rPr>
              <w:t>6</w:t>
            </w:r>
            <w:r>
              <w:rPr>
                <w:rFonts w:hint="eastAsia" w:ascii="宋体" w:hAnsi="宋体"/>
                <w:sz w:val="24"/>
                <w:szCs w:val="20"/>
              </w:rPr>
              <w:t>分，良得</w:t>
            </w:r>
            <w:r>
              <w:rPr>
                <w:rFonts w:hint="eastAsia" w:ascii="宋体" w:hAnsi="宋体"/>
                <w:sz w:val="24"/>
                <w:szCs w:val="20"/>
                <w:lang w:val="en-US" w:eastAsia="zh-CN"/>
              </w:rPr>
              <w:t>4</w:t>
            </w:r>
            <w:r>
              <w:rPr>
                <w:rFonts w:hint="eastAsia" w:ascii="宋体" w:hAnsi="宋体"/>
                <w:sz w:val="24"/>
                <w:szCs w:val="20"/>
              </w:rPr>
              <w:t>分，差得</w:t>
            </w:r>
            <w:r>
              <w:rPr>
                <w:rFonts w:hint="eastAsia" w:ascii="宋体" w:hAnsi="宋体"/>
                <w:sz w:val="24"/>
                <w:szCs w:val="20"/>
                <w:lang w:val="en-US" w:eastAsia="zh-CN"/>
              </w:rPr>
              <w:t>1</w:t>
            </w:r>
            <w:r>
              <w:rPr>
                <w:rFonts w:hint="eastAsia" w:ascii="宋体" w:hAnsi="宋体"/>
                <w:sz w:val="24"/>
                <w:szCs w:val="20"/>
              </w:rPr>
              <w:t>分，不提供不得分。</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498" w:type="dxa"/>
            <w:vMerge w:val="restart"/>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服务经验</w:t>
            </w: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highlight w:val="none"/>
              </w:rPr>
            </w:pPr>
            <w:r>
              <w:rPr>
                <w:rFonts w:hint="eastAsia" w:ascii="宋体" w:hAnsi="宋体"/>
                <w:sz w:val="24"/>
                <w:szCs w:val="20"/>
                <w:highlight w:val="none"/>
                <w:lang w:eastAsia="zh-CN"/>
              </w:rPr>
              <w:t>具有三甲医院</w:t>
            </w:r>
            <w:r>
              <w:rPr>
                <w:rFonts w:hint="eastAsia" w:ascii="宋体" w:hAnsi="宋体"/>
                <w:sz w:val="24"/>
                <w:szCs w:val="20"/>
                <w:highlight w:val="none"/>
              </w:rPr>
              <w:t>招标代理</w:t>
            </w:r>
            <w:r>
              <w:rPr>
                <w:rFonts w:hint="eastAsia" w:ascii="宋体" w:hAnsi="宋体"/>
                <w:sz w:val="24"/>
                <w:szCs w:val="20"/>
                <w:highlight w:val="none"/>
                <w:lang w:eastAsia="zh-CN"/>
              </w:rPr>
              <w:t>经验</w:t>
            </w:r>
            <w:r>
              <w:rPr>
                <w:rFonts w:hint="eastAsia" w:ascii="宋体" w:hAnsi="宋体"/>
                <w:sz w:val="24"/>
                <w:szCs w:val="20"/>
                <w:highlight w:val="none"/>
              </w:rPr>
              <w:t>，每服务一个用户得1</w:t>
            </w:r>
            <w:r>
              <w:rPr>
                <w:rFonts w:hint="eastAsia" w:ascii="宋体" w:hAnsi="宋体"/>
                <w:sz w:val="24"/>
                <w:szCs w:val="20"/>
                <w:highlight w:val="none"/>
                <w:lang w:val="en-US" w:eastAsia="zh-CN"/>
              </w:rPr>
              <w:t>.5</w:t>
            </w:r>
            <w:r>
              <w:rPr>
                <w:rFonts w:hint="eastAsia" w:ascii="宋体" w:hAnsi="宋体"/>
                <w:sz w:val="24"/>
                <w:szCs w:val="20"/>
                <w:highlight w:val="none"/>
              </w:rPr>
              <w:t>分，本小项最高得</w:t>
            </w:r>
            <w:r>
              <w:rPr>
                <w:rFonts w:hint="eastAsia" w:ascii="宋体" w:hAnsi="宋体"/>
                <w:sz w:val="24"/>
                <w:szCs w:val="20"/>
                <w:highlight w:val="none"/>
                <w:lang w:val="en-US" w:eastAsia="zh-CN"/>
              </w:rPr>
              <w:t>15</w:t>
            </w:r>
            <w:r>
              <w:rPr>
                <w:rFonts w:hint="eastAsia" w:ascii="宋体" w:hAnsi="宋体"/>
                <w:sz w:val="24"/>
                <w:szCs w:val="20"/>
                <w:highlight w:val="none"/>
              </w:rPr>
              <w:t>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highlight w:val="none"/>
              </w:rPr>
            </w:pPr>
            <w:r>
              <w:rPr>
                <w:rFonts w:hint="eastAsia" w:ascii="宋体" w:hAnsi="宋体"/>
                <w:sz w:val="24"/>
                <w:szCs w:val="20"/>
                <w:highlight w:val="none"/>
              </w:rPr>
              <w:t>注：提供</w:t>
            </w:r>
            <w:r>
              <w:rPr>
                <w:rFonts w:hint="eastAsia" w:ascii="宋体" w:hAnsi="宋体"/>
                <w:sz w:val="24"/>
                <w:szCs w:val="20"/>
                <w:highlight w:val="none"/>
                <w:lang w:eastAsia="zh-CN"/>
              </w:rPr>
              <w:t>完整项目委托协议</w:t>
            </w:r>
            <w:r>
              <w:rPr>
                <w:rFonts w:hint="eastAsia" w:ascii="宋体" w:hAnsi="宋体"/>
                <w:sz w:val="24"/>
                <w:szCs w:val="20"/>
                <w:highlight w:val="none"/>
              </w:rPr>
              <w:t>复印件。</w:t>
            </w:r>
            <w:r>
              <w:rPr>
                <w:rFonts w:hint="eastAsia" w:ascii="宋体" w:hAnsi="宋体"/>
                <w:sz w:val="24"/>
                <w:highlight w:val="none"/>
              </w:rPr>
              <w:t>同一单位不同年度不累计得分。</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98" w:type="dxa"/>
            <w:vMerge w:val="continue"/>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firstLine="480" w:firstLineChars="200"/>
              <w:rPr>
                <w:rFonts w:ascii="宋体" w:hAnsi="宋体"/>
                <w:sz w:val="24"/>
                <w:szCs w:val="20"/>
              </w:rPr>
            </w:pPr>
          </w:p>
        </w:tc>
        <w:tc>
          <w:tcPr>
            <w:tcW w:w="66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val="0"/>
              <w:spacing w:before="382" w:beforeLines="100" w:line="360" w:lineRule="auto"/>
              <w:ind w:right="0"/>
              <w:textAlignment w:val="auto"/>
              <w:rPr>
                <w:rFonts w:ascii="宋体" w:hAnsi="宋体"/>
                <w:sz w:val="24"/>
                <w:szCs w:val="20"/>
                <w:highlight w:val="none"/>
              </w:rPr>
            </w:pPr>
            <w:r>
              <w:rPr>
                <w:rFonts w:hint="eastAsia" w:ascii="宋体" w:hAnsi="宋体"/>
                <w:sz w:val="24"/>
                <w:szCs w:val="20"/>
                <w:highlight w:val="none"/>
              </w:rPr>
              <w:t>201</w:t>
            </w:r>
            <w:r>
              <w:rPr>
                <w:rFonts w:hint="eastAsia" w:ascii="宋体" w:hAnsi="宋体"/>
                <w:sz w:val="24"/>
                <w:szCs w:val="20"/>
                <w:highlight w:val="none"/>
                <w:lang w:val="en-US" w:eastAsia="zh-CN"/>
              </w:rPr>
              <w:t>9</w:t>
            </w:r>
            <w:r>
              <w:rPr>
                <w:rFonts w:hint="eastAsia" w:ascii="宋体" w:hAnsi="宋体"/>
                <w:sz w:val="24"/>
                <w:szCs w:val="20"/>
                <w:highlight w:val="none"/>
              </w:rPr>
              <w:t>年1月1日以来，</w:t>
            </w:r>
            <w:r>
              <w:rPr>
                <w:rFonts w:hint="eastAsia" w:ascii="宋体" w:hAnsi="宋体"/>
                <w:sz w:val="24"/>
                <w:szCs w:val="20"/>
                <w:highlight w:val="none"/>
                <w:lang w:val="en-US" w:eastAsia="zh-CN"/>
              </w:rPr>
              <w:t>完成</w:t>
            </w:r>
            <w:r>
              <w:rPr>
                <w:rFonts w:hint="eastAsia" w:ascii="宋体" w:hAnsi="宋体"/>
                <w:sz w:val="24"/>
                <w:szCs w:val="20"/>
                <w:highlight w:val="none"/>
                <w:lang w:eastAsia="zh-CN"/>
              </w:rPr>
              <w:t>医院或卫生直属单位</w:t>
            </w:r>
            <w:r>
              <w:rPr>
                <w:rFonts w:hint="eastAsia" w:ascii="宋体" w:hAnsi="宋体"/>
                <w:sz w:val="24"/>
                <w:szCs w:val="20"/>
                <w:highlight w:val="none"/>
              </w:rPr>
              <w:t>委托的招标采购项目经验：</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highlight w:val="none"/>
              </w:rPr>
            </w:pPr>
            <w:r>
              <w:rPr>
                <w:rFonts w:hint="eastAsia" w:ascii="宋体" w:hAnsi="宋体"/>
                <w:sz w:val="24"/>
                <w:szCs w:val="20"/>
                <w:highlight w:val="none"/>
              </w:rPr>
              <w:fldChar w:fldCharType="begin"/>
            </w:r>
            <w:r>
              <w:rPr>
                <w:rFonts w:hint="eastAsia" w:ascii="宋体" w:hAnsi="宋体"/>
                <w:sz w:val="24"/>
                <w:szCs w:val="20"/>
                <w:highlight w:val="none"/>
              </w:rPr>
              <w:instrText xml:space="preserve"> = 1 \* GB3 \* MERGEFORMAT </w:instrText>
            </w:r>
            <w:r>
              <w:rPr>
                <w:rFonts w:hint="eastAsia" w:ascii="宋体" w:hAnsi="宋体"/>
                <w:sz w:val="24"/>
                <w:szCs w:val="20"/>
                <w:highlight w:val="none"/>
              </w:rPr>
              <w:fldChar w:fldCharType="separate"/>
            </w:r>
            <w:r>
              <w:rPr>
                <w:rFonts w:hint="eastAsia" w:ascii="宋体" w:hAnsi="宋体"/>
                <w:sz w:val="24"/>
                <w:szCs w:val="20"/>
                <w:highlight w:val="none"/>
              </w:rPr>
              <w:t>①</w:t>
            </w:r>
            <w:r>
              <w:rPr>
                <w:rFonts w:hint="eastAsia" w:ascii="宋体" w:hAnsi="宋体"/>
                <w:sz w:val="24"/>
                <w:szCs w:val="20"/>
                <w:highlight w:val="none"/>
              </w:rPr>
              <w:fldChar w:fldCharType="end"/>
            </w:r>
            <w:r>
              <w:rPr>
                <w:rFonts w:hint="eastAsia" w:ascii="宋体" w:hAnsi="宋体"/>
                <w:sz w:val="24"/>
                <w:szCs w:val="20"/>
                <w:highlight w:val="none"/>
                <w:lang w:eastAsia="zh-CN"/>
              </w:rPr>
              <w:t>提供国际招标货物类</w:t>
            </w:r>
            <w:r>
              <w:rPr>
                <w:rFonts w:hint="eastAsia" w:ascii="宋体" w:hAnsi="宋体"/>
                <w:sz w:val="24"/>
                <w:szCs w:val="20"/>
                <w:highlight w:val="none"/>
              </w:rPr>
              <w:t>项目</w:t>
            </w:r>
            <w:r>
              <w:rPr>
                <w:rFonts w:hint="eastAsia" w:ascii="宋体" w:hAnsi="宋体"/>
                <w:sz w:val="24"/>
                <w:szCs w:val="20"/>
                <w:highlight w:val="none"/>
                <w:lang w:eastAsia="zh-CN"/>
              </w:rPr>
              <w:t>采购，</w:t>
            </w:r>
            <w:r>
              <w:rPr>
                <w:rFonts w:hint="eastAsia" w:ascii="宋体" w:hAnsi="宋体"/>
                <w:sz w:val="24"/>
                <w:szCs w:val="20"/>
                <w:highlight w:val="none"/>
              </w:rPr>
              <w:t>单个</w:t>
            </w:r>
            <w:r>
              <w:rPr>
                <w:rFonts w:hint="eastAsia" w:ascii="宋体" w:hAnsi="宋体"/>
                <w:sz w:val="24"/>
                <w:szCs w:val="20"/>
                <w:highlight w:val="none"/>
                <w:lang w:eastAsia="zh-CN"/>
              </w:rPr>
              <w:t>项目</w:t>
            </w:r>
            <w:r>
              <w:rPr>
                <w:rFonts w:hint="eastAsia" w:ascii="宋体" w:hAnsi="宋体"/>
                <w:sz w:val="24"/>
                <w:szCs w:val="20"/>
                <w:highlight w:val="none"/>
                <w:lang w:val="en-US" w:eastAsia="zh-CN"/>
              </w:rPr>
              <w:t>1</w:t>
            </w:r>
            <w:r>
              <w:rPr>
                <w:rFonts w:hint="eastAsia" w:ascii="宋体" w:hAnsi="宋体"/>
                <w:sz w:val="24"/>
                <w:szCs w:val="20"/>
                <w:highlight w:val="none"/>
              </w:rPr>
              <w:t>000万元或以上业绩</w:t>
            </w:r>
            <w:r>
              <w:rPr>
                <w:rFonts w:hint="eastAsia" w:ascii="宋体" w:hAnsi="宋体"/>
                <w:sz w:val="24"/>
                <w:szCs w:val="20"/>
                <w:highlight w:val="none"/>
                <w:lang w:eastAsia="zh-CN"/>
              </w:rPr>
              <w:t>的，得</w:t>
            </w:r>
            <w:r>
              <w:rPr>
                <w:rFonts w:hint="eastAsia" w:ascii="宋体" w:hAnsi="宋体"/>
                <w:sz w:val="24"/>
                <w:szCs w:val="20"/>
                <w:highlight w:val="none"/>
                <w:lang w:val="en-US" w:eastAsia="zh-CN"/>
              </w:rPr>
              <w:t>5分</w:t>
            </w:r>
            <w:r>
              <w:rPr>
                <w:rFonts w:hint="eastAsia" w:ascii="宋体" w:hAnsi="宋体"/>
                <w:sz w:val="24"/>
                <w:szCs w:val="20"/>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sz w:val="24"/>
                <w:szCs w:val="20"/>
                <w:highlight w:val="none"/>
              </w:rPr>
            </w:pPr>
            <w:r>
              <w:rPr>
                <w:rFonts w:hint="eastAsia" w:ascii="宋体" w:hAnsi="宋体"/>
                <w:sz w:val="24"/>
                <w:szCs w:val="20"/>
                <w:highlight w:val="none"/>
              </w:rPr>
              <w:fldChar w:fldCharType="begin"/>
            </w:r>
            <w:r>
              <w:rPr>
                <w:rFonts w:hint="eastAsia" w:ascii="宋体" w:hAnsi="宋体"/>
                <w:sz w:val="24"/>
                <w:szCs w:val="20"/>
                <w:highlight w:val="none"/>
              </w:rPr>
              <w:instrText xml:space="preserve"> = 2 \* GB3 \* MERGEFORMAT </w:instrText>
            </w:r>
            <w:r>
              <w:rPr>
                <w:rFonts w:hint="eastAsia" w:ascii="宋体" w:hAnsi="宋体"/>
                <w:sz w:val="24"/>
                <w:szCs w:val="20"/>
                <w:highlight w:val="none"/>
              </w:rPr>
              <w:fldChar w:fldCharType="separate"/>
            </w:r>
            <w:r>
              <w:rPr>
                <w:rFonts w:hint="eastAsia" w:ascii="宋体" w:hAnsi="宋体"/>
                <w:sz w:val="24"/>
                <w:szCs w:val="20"/>
                <w:highlight w:val="none"/>
              </w:rPr>
              <w:t>②</w:t>
            </w:r>
            <w:r>
              <w:rPr>
                <w:rFonts w:hint="eastAsia" w:ascii="宋体" w:hAnsi="宋体"/>
                <w:sz w:val="24"/>
                <w:szCs w:val="20"/>
                <w:highlight w:val="none"/>
              </w:rPr>
              <w:fldChar w:fldCharType="end"/>
            </w:r>
            <w:r>
              <w:rPr>
                <w:rFonts w:hint="eastAsia" w:ascii="宋体" w:hAnsi="宋体"/>
                <w:sz w:val="24"/>
                <w:szCs w:val="20"/>
                <w:highlight w:val="none"/>
                <w:lang w:eastAsia="zh-CN"/>
              </w:rPr>
              <w:t>提供国内招标货物类</w:t>
            </w:r>
            <w:r>
              <w:rPr>
                <w:rFonts w:hint="eastAsia" w:ascii="宋体" w:hAnsi="宋体"/>
                <w:sz w:val="24"/>
                <w:szCs w:val="20"/>
                <w:highlight w:val="none"/>
              </w:rPr>
              <w:t>项目</w:t>
            </w:r>
            <w:r>
              <w:rPr>
                <w:rFonts w:hint="eastAsia" w:ascii="宋体" w:hAnsi="宋体"/>
                <w:sz w:val="24"/>
                <w:szCs w:val="20"/>
                <w:highlight w:val="none"/>
                <w:lang w:eastAsia="zh-CN"/>
              </w:rPr>
              <w:t>采购，</w:t>
            </w:r>
            <w:r>
              <w:rPr>
                <w:rFonts w:hint="eastAsia" w:ascii="宋体" w:hAnsi="宋体"/>
                <w:sz w:val="24"/>
                <w:szCs w:val="20"/>
                <w:highlight w:val="none"/>
              </w:rPr>
              <w:t>单个</w:t>
            </w:r>
            <w:r>
              <w:rPr>
                <w:rFonts w:hint="eastAsia" w:ascii="宋体" w:hAnsi="宋体"/>
                <w:sz w:val="24"/>
                <w:szCs w:val="20"/>
                <w:highlight w:val="none"/>
                <w:lang w:eastAsia="zh-CN"/>
              </w:rPr>
              <w:t>设备类项目</w:t>
            </w:r>
            <w:r>
              <w:rPr>
                <w:rFonts w:hint="eastAsia" w:ascii="宋体" w:hAnsi="宋体"/>
                <w:sz w:val="24"/>
                <w:szCs w:val="20"/>
                <w:highlight w:val="none"/>
                <w:lang w:val="en-US" w:eastAsia="zh-CN"/>
              </w:rPr>
              <w:t>1</w:t>
            </w:r>
            <w:r>
              <w:rPr>
                <w:rFonts w:hint="eastAsia" w:ascii="宋体" w:hAnsi="宋体"/>
                <w:sz w:val="24"/>
                <w:szCs w:val="20"/>
                <w:highlight w:val="none"/>
              </w:rPr>
              <w:t>000万元或以上业绩</w:t>
            </w:r>
            <w:r>
              <w:rPr>
                <w:rFonts w:hint="eastAsia" w:ascii="宋体" w:hAnsi="宋体"/>
                <w:sz w:val="24"/>
                <w:szCs w:val="20"/>
                <w:highlight w:val="none"/>
                <w:lang w:eastAsia="zh-CN"/>
              </w:rPr>
              <w:t>的，得</w:t>
            </w:r>
            <w:r>
              <w:rPr>
                <w:rFonts w:hint="eastAsia" w:ascii="宋体" w:hAnsi="宋体"/>
                <w:sz w:val="24"/>
                <w:szCs w:val="20"/>
                <w:highlight w:val="none"/>
                <w:lang w:val="en-US" w:eastAsia="zh-CN"/>
              </w:rPr>
              <w:t>5分</w:t>
            </w:r>
            <w:r>
              <w:rPr>
                <w:rFonts w:hint="eastAsia" w:ascii="宋体" w:hAnsi="宋体"/>
                <w:sz w:val="24"/>
                <w:szCs w:val="20"/>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sz w:val="24"/>
                <w:szCs w:val="20"/>
                <w:highlight w:val="none"/>
              </w:rPr>
            </w:pPr>
            <w:r>
              <w:rPr>
                <w:rFonts w:hint="eastAsia" w:ascii="宋体" w:hAnsi="宋体"/>
                <w:sz w:val="24"/>
                <w:szCs w:val="20"/>
                <w:highlight w:val="none"/>
                <w:lang w:val="en-US" w:eastAsia="zh-CN"/>
              </w:rPr>
              <w:t>③</w:t>
            </w:r>
            <w:r>
              <w:rPr>
                <w:rFonts w:hint="eastAsia" w:ascii="宋体" w:hAnsi="宋体"/>
                <w:sz w:val="24"/>
                <w:szCs w:val="20"/>
                <w:highlight w:val="none"/>
                <w:lang w:eastAsia="zh-CN"/>
              </w:rPr>
              <w:t>提供国内招标服务类</w:t>
            </w:r>
            <w:r>
              <w:rPr>
                <w:rFonts w:hint="eastAsia" w:ascii="宋体" w:hAnsi="宋体"/>
                <w:sz w:val="24"/>
                <w:szCs w:val="20"/>
                <w:highlight w:val="none"/>
              </w:rPr>
              <w:t>项目</w:t>
            </w:r>
            <w:r>
              <w:rPr>
                <w:rFonts w:hint="eastAsia" w:ascii="宋体" w:hAnsi="宋体"/>
                <w:sz w:val="24"/>
                <w:szCs w:val="20"/>
                <w:highlight w:val="none"/>
                <w:lang w:eastAsia="zh-CN"/>
              </w:rPr>
              <w:t>采购，</w:t>
            </w:r>
            <w:r>
              <w:rPr>
                <w:rFonts w:hint="eastAsia" w:ascii="宋体" w:hAnsi="宋体"/>
                <w:sz w:val="24"/>
                <w:szCs w:val="20"/>
                <w:highlight w:val="none"/>
              </w:rPr>
              <w:t>单个</w:t>
            </w:r>
            <w:r>
              <w:rPr>
                <w:rFonts w:hint="eastAsia" w:ascii="宋体" w:hAnsi="宋体"/>
                <w:sz w:val="24"/>
                <w:szCs w:val="20"/>
                <w:highlight w:val="none"/>
                <w:lang w:eastAsia="zh-CN"/>
              </w:rPr>
              <w:t>项目</w:t>
            </w:r>
            <w:r>
              <w:rPr>
                <w:rFonts w:hint="eastAsia" w:ascii="宋体" w:hAnsi="宋体"/>
                <w:sz w:val="24"/>
                <w:szCs w:val="20"/>
                <w:highlight w:val="none"/>
                <w:lang w:val="en-US" w:eastAsia="zh-CN"/>
              </w:rPr>
              <w:t>1</w:t>
            </w:r>
            <w:r>
              <w:rPr>
                <w:rFonts w:hint="eastAsia" w:ascii="宋体" w:hAnsi="宋体"/>
                <w:sz w:val="24"/>
                <w:szCs w:val="20"/>
                <w:highlight w:val="none"/>
              </w:rPr>
              <w:t>000万元或以上业绩</w:t>
            </w:r>
            <w:r>
              <w:rPr>
                <w:rFonts w:hint="eastAsia" w:ascii="宋体" w:hAnsi="宋体"/>
                <w:sz w:val="24"/>
                <w:szCs w:val="20"/>
                <w:highlight w:val="none"/>
                <w:lang w:eastAsia="zh-CN"/>
              </w:rPr>
              <w:t>的，</w:t>
            </w:r>
            <w:r>
              <w:rPr>
                <w:rFonts w:hint="eastAsia" w:ascii="宋体" w:hAnsi="宋体"/>
                <w:sz w:val="24"/>
                <w:szCs w:val="20"/>
                <w:highlight w:val="none"/>
                <w:lang w:val="en-US" w:eastAsia="zh-CN"/>
              </w:rPr>
              <w:t>5分</w:t>
            </w:r>
            <w:r>
              <w:rPr>
                <w:rFonts w:hint="eastAsia" w:ascii="宋体" w:hAnsi="宋体"/>
                <w:sz w:val="24"/>
                <w:szCs w:val="20"/>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sz w:val="24"/>
                <w:szCs w:val="20"/>
                <w:highlight w:val="none"/>
              </w:rPr>
            </w:pPr>
            <w:r>
              <w:rPr>
                <w:rFonts w:hint="eastAsia" w:ascii="宋体" w:hAnsi="宋体"/>
                <w:sz w:val="24"/>
                <w:szCs w:val="20"/>
                <w:highlight w:val="none"/>
                <w:lang w:val="en-US" w:eastAsia="zh-CN"/>
              </w:rPr>
              <w:t>④</w:t>
            </w:r>
            <w:r>
              <w:rPr>
                <w:rFonts w:hint="eastAsia" w:ascii="宋体" w:hAnsi="宋体"/>
                <w:sz w:val="24"/>
                <w:szCs w:val="20"/>
                <w:highlight w:val="none"/>
                <w:lang w:eastAsia="zh-CN"/>
              </w:rPr>
              <w:t>提供国内招标工程类</w:t>
            </w:r>
            <w:r>
              <w:rPr>
                <w:rFonts w:hint="eastAsia" w:ascii="宋体" w:hAnsi="宋体"/>
                <w:sz w:val="24"/>
                <w:szCs w:val="20"/>
                <w:highlight w:val="none"/>
              </w:rPr>
              <w:t>项目</w:t>
            </w:r>
            <w:r>
              <w:rPr>
                <w:rFonts w:hint="eastAsia" w:ascii="宋体" w:hAnsi="宋体"/>
                <w:sz w:val="24"/>
                <w:szCs w:val="20"/>
                <w:highlight w:val="none"/>
                <w:lang w:eastAsia="zh-CN"/>
              </w:rPr>
              <w:t>采购，</w:t>
            </w:r>
            <w:r>
              <w:rPr>
                <w:rFonts w:hint="eastAsia" w:ascii="宋体" w:hAnsi="宋体"/>
                <w:sz w:val="24"/>
                <w:szCs w:val="20"/>
                <w:highlight w:val="none"/>
              </w:rPr>
              <w:t>单个</w:t>
            </w:r>
            <w:r>
              <w:rPr>
                <w:rFonts w:hint="eastAsia" w:ascii="宋体" w:hAnsi="宋体"/>
                <w:sz w:val="24"/>
                <w:szCs w:val="20"/>
                <w:highlight w:val="none"/>
                <w:lang w:eastAsia="zh-CN"/>
              </w:rPr>
              <w:t>项目</w:t>
            </w:r>
            <w:r>
              <w:rPr>
                <w:rFonts w:hint="eastAsia" w:ascii="宋体" w:hAnsi="宋体"/>
                <w:sz w:val="24"/>
                <w:szCs w:val="20"/>
                <w:highlight w:val="none"/>
                <w:lang w:val="en-US" w:eastAsia="zh-CN"/>
              </w:rPr>
              <w:t>1</w:t>
            </w:r>
            <w:r>
              <w:rPr>
                <w:rFonts w:hint="eastAsia" w:ascii="宋体" w:hAnsi="宋体"/>
                <w:sz w:val="24"/>
                <w:szCs w:val="20"/>
                <w:highlight w:val="none"/>
              </w:rPr>
              <w:t>000万元或以上业绩</w:t>
            </w:r>
            <w:r>
              <w:rPr>
                <w:rFonts w:hint="eastAsia" w:ascii="宋体" w:hAnsi="宋体"/>
                <w:sz w:val="24"/>
                <w:szCs w:val="20"/>
                <w:highlight w:val="none"/>
                <w:lang w:eastAsia="zh-CN"/>
              </w:rPr>
              <w:t>的，得</w:t>
            </w:r>
            <w:r>
              <w:rPr>
                <w:rFonts w:hint="eastAsia" w:ascii="宋体" w:hAnsi="宋体"/>
                <w:sz w:val="24"/>
                <w:szCs w:val="20"/>
                <w:highlight w:val="none"/>
                <w:lang w:val="en-US" w:eastAsia="zh-CN"/>
              </w:rPr>
              <w:t>5分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ascii="宋体" w:hAnsi="宋体"/>
                <w:sz w:val="24"/>
                <w:szCs w:val="20"/>
                <w:highlight w:val="none"/>
              </w:rPr>
            </w:pPr>
            <w:r>
              <w:rPr>
                <w:rFonts w:hint="eastAsia" w:ascii="宋体" w:hAnsi="宋体"/>
                <w:sz w:val="24"/>
                <w:szCs w:val="20"/>
                <w:highlight w:val="none"/>
              </w:rPr>
              <w:t>注：以上项目不重复加分。提供所承担的采购项目的招标公告截图（经验</w:t>
            </w:r>
            <w:r>
              <w:rPr>
                <w:rFonts w:hint="eastAsia" w:ascii="宋体" w:hAnsi="宋体"/>
                <w:sz w:val="24"/>
                <w:szCs w:val="20"/>
                <w:highlight w:val="none"/>
              </w:rPr>
              <w:fldChar w:fldCharType="begin"/>
            </w:r>
            <w:r>
              <w:rPr>
                <w:rFonts w:hint="eastAsia" w:ascii="宋体" w:hAnsi="宋体"/>
                <w:sz w:val="24"/>
                <w:szCs w:val="20"/>
                <w:highlight w:val="none"/>
              </w:rPr>
              <w:instrText xml:space="preserve"> = 1 \* GB3 \* MERGEFORMAT </w:instrText>
            </w:r>
            <w:r>
              <w:rPr>
                <w:rFonts w:hint="eastAsia" w:ascii="宋体" w:hAnsi="宋体"/>
                <w:sz w:val="24"/>
                <w:szCs w:val="20"/>
                <w:highlight w:val="none"/>
              </w:rPr>
              <w:fldChar w:fldCharType="separate"/>
            </w:r>
            <w:r>
              <w:rPr>
                <w:rFonts w:hint="eastAsia" w:ascii="宋体" w:hAnsi="宋体"/>
                <w:sz w:val="24"/>
                <w:szCs w:val="20"/>
                <w:highlight w:val="none"/>
              </w:rPr>
              <w:t>①</w:t>
            </w:r>
            <w:r>
              <w:rPr>
                <w:rFonts w:hint="eastAsia" w:ascii="宋体" w:hAnsi="宋体"/>
                <w:sz w:val="24"/>
                <w:szCs w:val="20"/>
                <w:highlight w:val="none"/>
              </w:rPr>
              <w:fldChar w:fldCharType="end"/>
            </w:r>
            <w:r>
              <w:rPr>
                <w:rFonts w:hint="eastAsia" w:ascii="宋体" w:hAnsi="宋体"/>
                <w:sz w:val="24"/>
                <w:szCs w:val="20"/>
                <w:highlight w:val="none"/>
              </w:rPr>
              <w:t>需提供机电产品招标投标电子交易平台的招标公告截图</w:t>
            </w:r>
            <w:r>
              <w:rPr>
                <w:rFonts w:hint="eastAsia" w:ascii="宋体" w:hAnsi="宋体"/>
                <w:sz w:val="24"/>
                <w:szCs w:val="20"/>
                <w:highlight w:val="none"/>
                <w:lang w:eastAsia="zh-CN"/>
              </w:rPr>
              <w:t>；</w:t>
            </w:r>
            <w:r>
              <w:rPr>
                <w:rFonts w:hint="eastAsia" w:ascii="宋体" w:hAnsi="宋体"/>
                <w:sz w:val="24"/>
                <w:szCs w:val="20"/>
                <w:highlight w:val="none"/>
              </w:rPr>
              <w:t>经验</w:t>
            </w:r>
            <w:r>
              <w:rPr>
                <w:rFonts w:hint="eastAsia" w:ascii="宋体" w:hAnsi="宋体"/>
                <w:sz w:val="24"/>
                <w:szCs w:val="20"/>
                <w:highlight w:val="none"/>
                <w:lang w:eastAsia="zh-CN"/>
              </w:rPr>
              <w:t>②、③</w:t>
            </w:r>
            <w:r>
              <w:rPr>
                <w:rFonts w:hint="eastAsia" w:ascii="宋体" w:hAnsi="宋体"/>
                <w:sz w:val="24"/>
                <w:szCs w:val="20"/>
                <w:highlight w:val="none"/>
              </w:rPr>
              <w:t>需提供</w:t>
            </w:r>
            <w:r>
              <w:rPr>
                <w:rFonts w:hint="eastAsia" w:ascii="宋体" w:hAnsi="宋体"/>
                <w:sz w:val="24"/>
                <w:szCs w:val="20"/>
                <w:highlight w:val="none"/>
                <w:lang w:eastAsia="zh-CN"/>
              </w:rPr>
              <w:t>中国政府采购网或广东省政府采购网</w:t>
            </w:r>
            <w:r>
              <w:rPr>
                <w:rFonts w:hint="eastAsia" w:ascii="宋体" w:hAnsi="宋体"/>
                <w:sz w:val="24"/>
                <w:szCs w:val="20"/>
                <w:highlight w:val="none"/>
              </w:rPr>
              <w:t>的招标公告截图</w:t>
            </w:r>
            <w:r>
              <w:rPr>
                <w:rFonts w:hint="eastAsia" w:ascii="宋体" w:hAnsi="宋体"/>
                <w:sz w:val="24"/>
                <w:szCs w:val="20"/>
                <w:highlight w:val="none"/>
                <w:lang w:eastAsia="zh-CN"/>
              </w:rPr>
              <w:t>；</w:t>
            </w:r>
            <w:r>
              <w:rPr>
                <w:rFonts w:hint="eastAsia" w:ascii="宋体" w:hAnsi="宋体"/>
                <w:sz w:val="24"/>
                <w:szCs w:val="20"/>
                <w:highlight w:val="none"/>
              </w:rPr>
              <w:t>经验</w:t>
            </w:r>
            <w:r>
              <w:rPr>
                <w:rFonts w:hint="eastAsia" w:ascii="宋体" w:hAnsi="宋体"/>
                <w:sz w:val="24"/>
                <w:szCs w:val="20"/>
                <w:highlight w:val="none"/>
                <w:lang w:val="en-US" w:eastAsia="zh-CN"/>
              </w:rPr>
              <w:t>④</w:t>
            </w:r>
            <w:r>
              <w:rPr>
                <w:rFonts w:hint="eastAsia" w:ascii="宋体" w:hAnsi="宋体"/>
                <w:sz w:val="24"/>
                <w:szCs w:val="20"/>
                <w:highlight w:val="none"/>
                <w:lang w:eastAsia="zh-CN"/>
              </w:rPr>
              <w:t>需</w:t>
            </w:r>
            <w:r>
              <w:rPr>
                <w:rFonts w:hint="eastAsia" w:ascii="宋体" w:hAnsi="宋体"/>
                <w:sz w:val="24"/>
                <w:szCs w:val="20"/>
                <w:highlight w:val="none"/>
              </w:rPr>
              <w:t>提供</w:t>
            </w:r>
            <w:r>
              <w:rPr>
                <w:rFonts w:hint="eastAsia" w:ascii="宋体" w:hAnsi="宋体"/>
                <w:sz w:val="24"/>
                <w:szCs w:val="20"/>
                <w:highlight w:val="none"/>
                <w:lang w:eastAsia="zh-CN"/>
              </w:rPr>
              <w:t>公共资源</w:t>
            </w:r>
            <w:r>
              <w:rPr>
                <w:rFonts w:hint="eastAsia" w:ascii="宋体" w:hAnsi="宋体"/>
                <w:sz w:val="24"/>
                <w:szCs w:val="20"/>
                <w:highlight w:val="none"/>
              </w:rPr>
              <w:t>交易</w:t>
            </w:r>
            <w:r>
              <w:rPr>
                <w:rFonts w:hint="eastAsia" w:ascii="宋体" w:hAnsi="宋体"/>
                <w:sz w:val="24"/>
                <w:szCs w:val="20"/>
                <w:highlight w:val="none"/>
                <w:lang w:eastAsia="zh-CN"/>
              </w:rPr>
              <w:t>中心</w:t>
            </w:r>
            <w:r>
              <w:rPr>
                <w:rFonts w:hint="eastAsia" w:ascii="宋体" w:hAnsi="宋体"/>
                <w:sz w:val="24"/>
                <w:szCs w:val="20"/>
                <w:highlight w:val="none"/>
              </w:rPr>
              <w:t>的招标公告</w:t>
            </w:r>
            <w:r>
              <w:rPr>
                <w:rFonts w:hint="eastAsia" w:ascii="宋体" w:hAnsi="宋体"/>
                <w:sz w:val="24"/>
                <w:szCs w:val="20"/>
                <w:highlight w:val="none"/>
                <w:lang w:eastAsia="zh-CN"/>
              </w:rPr>
              <w:t>、中标候选人公示</w:t>
            </w:r>
            <w:r>
              <w:rPr>
                <w:rFonts w:hint="eastAsia" w:ascii="宋体" w:hAnsi="宋体"/>
                <w:sz w:val="24"/>
                <w:szCs w:val="20"/>
                <w:highlight w:val="none"/>
              </w:rPr>
              <w:t>截图），以上材料缺一不可。</w:t>
            </w:r>
          </w:p>
        </w:tc>
        <w:tc>
          <w:tcPr>
            <w:tcW w:w="883"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8"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ascii="宋体" w:hAnsi="宋体"/>
                <w:sz w:val="24"/>
                <w:szCs w:val="20"/>
              </w:rPr>
            </w:pPr>
            <w:r>
              <w:rPr>
                <w:rFonts w:hint="eastAsia" w:ascii="宋体" w:hAnsi="宋体"/>
                <w:sz w:val="24"/>
                <w:szCs w:val="20"/>
              </w:rPr>
              <w:t>投入本项目人员情况</w:t>
            </w:r>
          </w:p>
        </w:tc>
        <w:tc>
          <w:tcPr>
            <w:tcW w:w="6622" w:type="dxa"/>
            <w:tcBorders>
              <w:left w:val="single" w:color="auto" w:sz="4" w:space="0"/>
              <w:right w:val="single" w:color="auto" w:sz="4" w:space="0"/>
            </w:tcBorders>
            <w:noWrap w:val="0"/>
            <w:vAlign w:val="center"/>
          </w:tcPr>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before="382" w:beforeLines="100" w:line="360" w:lineRule="auto"/>
              <w:ind w:leftChars="0" w:right="0" w:rightChars="0"/>
              <w:textAlignment w:val="auto"/>
              <w:rPr>
                <w:rFonts w:hint="eastAsia" w:ascii="宋体" w:hAnsi="宋体"/>
                <w:sz w:val="24"/>
                <w:szCs w:val="20"/>
                <w:highlight w:val="none"/>
                <w:lang w:eastAsia="zh-CN"/>
              </w:rPr>
            </w:pPr>
            <w:r>
              <w:rPr>
                <w:rFonts w:hint="eastAsia" w:ascii="宋体" w:hAnsi="宋体"/>
                <w:sz w:val="24"/>
                <w:szCs w:val="20"/>
                <w:highlight w:val="none"/>
                <w:lang w:val="en-US" w:eastAsia="zh-CN"/>
              </w:rPr>
              <w:t>1.拟</w:t>
            </w:r>
            <w:r>
              <w:rPr>
                <w:rFonts w:hint="eastAsia" w:ascii="宋体" w:hAnsi="宋体"/>
                <w:sz w:val="24"/>
                <w:szCs w:val="20"/>
                <w:highlight w:val="none"/>
              </w:rPr>
              <w:t>投入本项目的负责人</w:t>
            </w:r>
            <w:r>
              <w:rPr>
                <w:rFonts w:hint="eastAsia" w:ascii="宋体" w:hAnsi="宋体"/>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ascii="宋体" w:hAnsi="宋体" w:eastAsia="宋体"/>
                <w:sz w:val="24"/>
                <w:highlight w:val="none"/>
              </w:rPr>
            </w:pPr>
            <w:r>
              <w:rPr>
                <w:rFonts w:hint="eastAsia" w:ascii="宋体" w:hAnsi="宋体" w:eastAsia="宋体"/>
                <w:sz w:val="24"/>
                <w:highlight w:val="none"/>
              </w:rPr>
              <w:t>（1）不少于10年政府采购工作经验，得</w:t>
            </w:r>
            <w:r>
              <w:rPr>
                <w:rFonts w:hint="default" w:ascii="宋体" w:hAnsi="宋体" w:eastAsia="宋体"/>
                <w:sz w:val="24"/>
                <w:highlight w:val="none"/>
                <w:lang w:val="en-US"/>
              </w:rPr>
              <w:t>3</w:t>
            </w:r>
            <w:r>
              <w:rPr>
                <w:rFonts w:hint="eastAsia" w:ascii="宋体" w:hAnsi="宋体" w:eastAsia="宋体"/>
                <w:sz w:val="24"/>
                <w:highlight w:val="none"/>
              </w:rPr>
              <w:t>分。</w:t>
            </w:r>
          </w:p>
          <w:p>
            <w:pPr>
              <w:keepNext w:val="0"/>
              <w:keepLines w:val="0"/>
              <w:pageBreakBefore w:val="0"/>
              <w:widowControl w:val="0"/>
              <w:kinsoku/>
              <w:wordWrap/>
              <w:overflowPunct/>
              <w:topLinePunct w:val="0"/>
              <w:bidi w:val="0"/>
              <w:snapToGrid w:val="0"/>
              <w:spacing w:line="360" w:lineRule="auto"/>
              <w:ind w:right="0"/>
              <w:textAlignment w:val="auto"/>
              <w:rPr>
                <w:rFonts w:ascii="宋体" w:hAnsi="宋体" w:eastAsia="宋体"/>
                <w:sz w:val="24"/>
                <w:highlight w:val="none"/>
              </w:rPr>
            </w:pPr>
            <w:r>
              <w:rPr>
                <w:rFonts w:hint="eastAsia" w:ascii="宋体" w:hAnsi="宋体" w:eastAsia="宋体"/>
                <w:sz w:val="24"/>
                <w:highlight w:val="none"/>
              </w:rPr>
              <w:t>（</w:t>
            </w:r>
            <w:r>
              <w:rPr>
                <w:rFonts w:hint="eastAsia" w:ascii="宋体" w:hAnsi="宋体"/>
                <w:sz w:val="24"/>
                <w:highlight w:val="none"/>
                <w:lang w:val="en-US" w:eastAsia="zh-CN"/>
              </w:rPr>
              <w:t>2</w:t>
            </w:r>
            <w:r>
              <w:rPr>
                <w:rFonts w:hint="eastAsia" w:ascii="宋体" w:hAnsi="宋体" w:eastAsia="宋体"/>
                <w:sz w:val="24"/>
                <w:highlight w:val="none"/>
              </w:rPr>
              <w:t>）具有中级职称，得</w:t>
            </w:r>
            <w:r>
              <w:rPr>
                <w:rFonts w:hint="default" w:ascii="宋体" w:hAnsi="宋体" w:eastAsia="宋体"/>
                <w:sz w:val="24"/>
                <w:highlight w:val="none"/>
                <w:lang w:val="en-US"/>
              </w:rPr>
              <w:t>1</w:t>
            </w:r>
            <w:r>
              <w:rPr>
                <w:rFonts w:hint="eastAsia" w:ascii="宋体" w:hAnsi="宋体" w:eastAsia="宋体"/>
                <w:sz w:val="24"/>
                <w:highlight w:val="none"/>
              </w:rPr>
              <w:t>分；具有高级职称，得</w:t>
            </w:r>
            <w:r>
              <w:rPr>
                <w:rFonts w:hint="default" w:ascii="宋体" w:hAnsi="宋体" w:eastAsia="宋体"/>
                <w:sz w:val="24"/>
                <w:highlight w:val="none"/>
                <w:lang w:val="en-US"/>
              </w:rPr>
              <w:t>2</w:t>
            </w:r>
            <w:r>
              <w:rPr>
                <w:rFonts w:hint="eastAsia" w:ascii="宋体" w:hAnsi="宋体" w:eastAsia="宋体"/>
                <w:sz w:val="24"/>
                <w:highlight w:val="none"/>
              </w:rPr>
              <w:t>分；该小项不累计得分。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leftChars="0" w:right="0" w:rightChars="0"/>
              <w:textAlignment w:val="auto"/>
              <w:rPr>
                <w:rFonts w:hint="eastAsia" w:ascii="宋体" w:hAnsi="宋体"/>
                <w:sz w:val="24"/>
                <w:szCs w:val="20"/>
                <w:highlight w:val="none"/>
                <w:lang w:eastAsia="zh-CN"/>
              </w:rPr>
            </w:pPr>
            <w:r>
              <w:rPr>
                <w:rFonts w:hint="eastAsia" w:ascii="宋体" w:hAnsi="宋体" w:eastAsia="宋体"/>
                <w:sz w:val="24"/>
                <w:highlight w:val="none"/>
              </w:rPr>
              <w:t>注：本项最高得</w:t>
            </w:r>
            <w:r>
              <w:rPr>
                <w:rFonts w:hint="default" w:ascii="宋体" w:hAnsi="宋体" w:eastAsia="宋体"/>
                <w:sz w:val="24"/>
                <w:highlight w:val="none"/>
                <w:lang w:val="en-US"/>
              </w:rPr>
              <w:t>5</w:t>
            </w:r>
            <w:r>
              <w:rPr>
                <w:rFonts w:hint="eastAsia" w:ascii="宋体" w:hAnsi="宋体" w:eastAsia="宋体"/>
                <w:sz w:val="24"/>
                <w:highlight w:val="none"/>
              </w:rPr>
              <w:t>分。提供</w:t>
            </w:r>
            <w:r>
              <w:rPr>
                <w:rFonts w:hint="eastAsia" w:ascii="宋体" w:hAnsi="宋体"/>
                <w:sz w:val="24"/>
                <w:highlight w:val="none"/>
              </w:rPr>
              <w:t>2021年1月以来任一个月，</w:t>
            </w:r>
            <w:r>
              <w:rPr>
                <w:rFonts w:hint="eastAsia" w:ascii="宋体" w:hAnsi="宋体" w:eastAsia="宋体"/>
                <w:sz w:val="24"/>
                <w:highlight w:val="none"/>
              </w:rPr>
              <w:t>投标人为项目负责人缴纳的社保证明材料、个人工作履历材料及相关证书材料）</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sz w:val="24"/>
                <w:szCs w:val="20"/>
                <w:highlight w:val="none"/>
              </w:rPr>
            </w:pPr>
            <w:r>
              <w:rPr>
                <w:rFonts w:hint="eastAsia" w:ascii="宋体" w:hAnsi="宋体"/>
                <w:sz w:val="24"/>
                <w:szCs w:val="20"/>
                <w:highlight w:val="none"/>
                <w:lang w:val="en-US" w:eastAsia="zh-CN"/>
              </w:rPr>
              <w:t>2.</w:t>
            </w:r>
            <w:r>
              <w:rPr>
                <w:rFonts w:hint="eastAsia" w:ascii="宋体" w:hAnsi="宋体"/>
                <w:sz w:val="24"/>
                <w:szCs w:val="20"/>
                <w:highlight w:val="none"/>
              </w:rPr>
              <w:t>拟投入本项目的项目经理：</w:t>
            </w:r>
            <w:r>
              <w:rPr>
                <w:rFonts w:hint="eastAsia" w:ascii="宋体" w:hAnsi="宋体"/>
                <w:sz w:val="24"/>
                <w:szCs w:val="20"/>
                <w:highlight w:val="none"/>
                <w:lang w:eastAsia="zh-CN"/>
              </w:rPr>
              <w:t>具有</w:t>
            </w:r>
            <w:r>
              <w:rPr>
                <w:rFonts w:hint="eastAsia" w:ascii="宋体" w:hAnsi="宋体"/>
                <w:sz w:val="24"/>
                <w:szCs w:val="20"/>
                <w:highlight w:val="none"/>
              </w:rPr>
              <w:t>法律或法学硕士学历的得</w:t>
            </w:r>
            <w:r>
              <w:rPr>
                <w:rFonts w:hint="eastAsia" w:ascii="宋体" w:hAnsi="宋体"/>
                <w:sz w:val="24"/>
                <w:szCs w:val="20"/>
                <w:highlight w:val="none"/>
                <w:lang w:val="en-US" w:eastAsia="zh-CN"/>
              </w:rPr>
              <w:t>2</w:t>
            </w:r>
            <w:r>
              <w:rPr>
                <w:rFonts w:hint="eastAsia" w:ascii="宋体" w:hAnsi="宋体"/>
                <w:sz w:val="24"/>
                <w:szCs w:val="20"/>
                <w:highlight w:val="none"/>
              </w:rPr>
              <w:t>分（提供硕士学历证书</w:t>
            </w:r>
            <w:r>
              <w:rPr>
                <w:rFonts w:hint="eastAsia" w:ascii="宋体" w:hAnsi="宋体"/>
                <w:sz w:val="24"/>
                <w:szCs w:val="20"/>
                <w:highlight w:val="none"/>
                <w:lang w:eastAsia="zh-CN"/>
              </w:rPr>
              <w:t>、学位证书</w:t>
            </w:r>
            <w:r>
              <w:rPr>
                <w:rFonts w:hint="eastAsia" w:ascii="宋体" w:hAnsi="宋体"/>
                <w:sz w:val="24"/>
                <w:szCs w:val="20"/>
                <w:highlight w:val="none"/>
              </w:rPr>
              <w:t>复印件加盖公章）；项目经理</w:t>
            </w:r>
            <w:r>
              <w:rPr>
                <w:rFonts w:hint="eastAsia" w:ascii="宋体" w:hAnsi="宋体"/>
                <w:sz w:val="24"/>
                <w:szCs w:val="20"/>
                <w:highlight w:val="none"/>
                <w:lang w:eastAsia="zh-CN"/>
              </w:rPr>
              <w:t>经过国家司法考试（国家法律职业资格考试）并获得</w:t>
            </w:r>
            <w:r>
              <w:rPr>
                <w:rFonts w:hint="eastAsia" w:ascii="宋体" w:hAnsi="宋体"/>
                <w:sz w:val="24"/>
                <w:szCs w:val="20"/>
                <w:highlight w:val="none"/>
              </w:rPr>
              <w:t>资格证书的得</w:t>
            </w:r>
            <w:r>
              <w:rPr>
                <w:rFonts w:hint="eastAsia" w:ascii="宋体" w:hAnsi="宋体"/>
                <w:sz w:val="24"/>
                <w:szCs w:val="20"/>
                <w:highlight w:val="none"/>
                <w:lang w:val="en-US" w:eastAsia="zh-CN"/>
              </w:rPr>
              <w:t>3</w:t>
            </w:r>
            <w:r>
              <w:rPr>
                <w:rFonts w:hint="eastAsia" w:ascii="宋体" w:hAnsi="宋体"/>
                <w:sz w:val="24"/>
                <w:szCs w:val="20"/>
                <w:highlight w:val="none"/>
              </w:rPr>
              <w:t>分；</w:t>
            </w:r>
            <w:r>
              <w:rPr>
                <w:rFonts w:hint="eastAsia" w:ascii="宋体" w:hAnsi="宋体"/>
                <w:sz w:val="24"/>
                <w:szCs w:val="20"/>
                <w:highlight w:val="none"/>
                <w:lang w:eastAsia="zh-CN"/>
              </w:rPr>
              <w:t>不</w:t>
            </w:r>
            <w:r>
              <w:rPr>
                <w:rFonts w:hint="eastAsia" w:ascii="宋体" w:hAnsi="宋体"/>
                <w:sz w:val="24"/>
                <w:szCs w:val="20"/>
                <w:highlight w:val="none"/>
              </w:rPr>
              <w:t>提供</w:t>
            </w:r>
            <w:r>
              <w:rPr>
                <w:rFonts w:hint="eastAsia" w:ascii="宋体" w:hAnsi="宋体"/>
                <w:sz w:val="24"/>
                <w:szCs w:val="20"/>
                <w:highlight w:val="none"/>
                <w:lang w:eastAsia="zh-CN"/>
              </w:rPr>
              <w:t>不得分</w:t>
            </w:r>
            <w:r>
              <w:rPr>
                <w:rFonts w:hint="eastAsia" w:ascii="宋体" w:hAnsi="宋体"/>
                <w:sz w:val="24"/>
                <w:szCs w:val="20"/>
                <w:highlight w:val="none"/>
              </w:rPr>
              <w:t>，本项最高得</w:t>
            </w:r>
            <w:r>
              <w:rPr>
                <w:rFonts w:hint="eastAsia" w:ascii="宋体" w:hAnsi="宋体"/>
                <w:sz w:val="24"/>
                <w:szCs w:val="20"/>
                <w:highlight w:val="none"/>
                <w:lang w:val="en-US" w:eastAsia="zh-CN"/>
              </w:rPr>
              <w:t>5</w:t>
            </w:r>
            <w:r>
              <w:rPr>
                <w:rFonts w:hint="eastAsia" w:ascii="宋体" w:hAnsi="宋体"/>
                <w:sz w:val="24"/>
                <w:szCs w:val="20"/>
                <w:highlight w:val="none"/>
              </w:rPr>
              <w:t>分；</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eastAsia="宋体"/>
                <w:sz w:val="24"/>
                <w:szCs w:val="20"/>
                <w:highlight w:val="none"/>
                <w:lang w:eastAsia="zh-CN"/>
              </w:rPr>
            </w:pPr>
            <w:r>
              <w:rPr>
                <w:rFonts w:hint="eastAsia" w:ascii="宋体" w:hAnsi="宋体"/>
                <w:sz w:val="24"/>
                <w:szCs w:val="20"/>
                <w:highlight w:val="none"/>
              </w:rPr>
              <w:t>需提供拟投入本项目人员的身份证、证书复印件</w:t>
            </w:r>
            <w:r>
              <w:rPr>
                <w:rFonts w:hint="eastAsia" w:ascii="宋体" w:hAnsi="宋体"/>
                <w:sz w:val="24"/>
                <w:szCs w:val="20"/>
                <w:highlight w:val="none"/>
                <w:lang w:eastAsia="zh-CN"/>
              </w:rPr>
              <w:t>、近半年任意一个月的</w:t>
            </w:r>
            <w:r>
              <w:rPr>
                <w:rFonts w:hint="eastAsia" w:ascii="宋体" w:hAnsi="宋体"/>
                <w:sz w:val="24"/>
                <w:szCs w:val="20"/>
                <w:highlight w:val="none"/>
              </w:rPr>
              <w:t>社保证明</w:t>
            </w:r>
            <w:r>
              <w:rPr>
                <w:rFonts w:hint="eastAsia" w:ascii="宋体" w:hAnsi="宋体"/>
                <w:sz w:val="24"/>
                <w:szCs w:val="20"/>
                <w:highlight w:val="none"/>
                <w:lang w:eastAsia="zh-CN"/>
              </w:rPr>
              <w:t>。</w:t>
            </w:r>
          </w:p>
        </w:tc>
        <w:tc>
          <w:tcPr>
            <w:tcW w:w="883" w:type="dxa"/>
            <w:tcBorders>
              <w:left w:val="single" w:color="auto" w:sz="4" w:space="0"/>
              <w:right w:val="single" w:color="auto" w:sz="4" w:space="0"/>
            </w:tcBorders>
            <w:noWrap w:val="0"/>
            <w:vAlign w:val="center"/>
          </w:tcPr>
          <w:p>
            <w:pPr>
              <w:tabs>
                <w:tab w:val="left" w:pos="8280"/>
              </w:tabs>
              <w:autoSpaceDE w:val="0"/>
              <w:autoSpaceDN w:val="0"/>
              <w:adjustRightInd w:val="0"/>
              <w:snapToGrid w:val="0"/>
              <w:spacing w:line="360" w:lineRule="auto"/>
              <w:ind w:right="32"/>
              <w:jc w:val="center"/>
              <w:rPr>
                <w:rFonts w:hint="default" w:ascii="宋体" w:hAnsi="宋体" w:eastAsia="宋体"/>
                <w:sz w:val="24"/>
                <w:szCs w:val="20"/>
                <w:lang w:val="en-US" w:eastAsia="zh-CN"/>
              </w:rPr>
            </w:pPr>
            <w:r>
              <w:rPr>
                <w:rFonts w:hint="eastAsia" w:ascii="宋体" w:hAnsi="宋体"/>
                <w:sz w:val="24"/>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8"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eastAsia="宋体"/>
                <w:sz w:val="24"/>
              </w:rPr>
              <w:t>财务状况</w:t>
            </w:r>
          </w:p>
        </w:tc>
        <w:tc>
          <w:tcPr>
            <w:tcW w:w="662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ascii="宋体" w:hAnsi="宋体"/>
                <w:sz w:val="24"/>
              </w:rPr>
            </w:pPr>
            <w:r>
              <w:rPr>
                <w:rFonts w:hint="eastAsia" w:ascii="宋体" w:hAnsi="宋体"/>
                <w:sz w:val="24"/>
              </w:rPr>
              <w:t>提供会计师事务所出具的</w:t>
            </w:r>
            <w:r>
              <w:rPr>
                <w:rFonts w:hint="eastAsia" w:ascii="宋体" w:hAnsi="宋体" w:eastAsia="宋体"/>
                <w:sz w:val="24"/>
              </w:rPr>
              <w:t>2018-2020</w:t>
            </w:r>
            <w:r>
              <w:rPr>
                <w:rFonts w:hint="eastAsia" w:ascii="宋体" w:hAnsi="宋体"/>
                <w:sz w:val="24"/>
              </w:rPr>
              <w:t>年度审计报告及财务报表，连续三年不亏损得</w:t>
            </w:r>
            <w:r>
              <w:rPr>
                <w:rFonts w:hint="eastAsia" w:ascii="宋体" w:hAnsi="宋体"/>
                <w:sz w:val="24"/>
                <w:lang w:val="en-US" w:eastAsia="zh-CN"/>
              </w:rPr>
              <w:t>3</w:t>
            </w:r>
            <w:r>
              <w:rPr>
                <w:rFonts w:hint="eastAsia" w:ascii="宋体" w:hAnsi="宋体"/>
                <w:sz w:val="24"/>
              </w:rPr>
              <w:t>分，其中两年不亏损的得2分，一年不亏损的得1分；未能提供证明文件的不得分。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szCs w:val="20"/>
                <w:highlight w:val="cyan"/>
              </w:rPr>
            </w:pPr>
            <w:r>
              <w:rPr>
                <w:rFonts w:hint="eastAsia" w:ascii="宋体" w:hAnsi="宋体"/>
                <w:sz w:val="24"/>
              </w:rPr>
              <w:t>注：须提供证明材料复印件。因成立年限未达到出具当年审计报告的情况，对应年度</w:t>
            </w:r>
            <w:r>
              <w:rPr>
                <w:rFonts w:hint="eastAsia" w:ascii="宋体" w:hAnsi="宋体" w:eastAsia="宋体"/>
                <w:sz w:val="24"/>
              </w:rPr>
              <w:t>视为不</w:t>
            </w:r>
            <w:r>
              <w:rPr>
                <w:rFonts w:hint="eastAsia" w:ascii="宋体" w:hAnsi="宋体"/>
                <w:sz w:val="24"/>
              </w:rPr>
              <w:t>亏损。</w:t>
            </w:r>
          </w:p>
        </w:tc>
        <w:tc>
          <w:tcPr>
            <w:tcW w:w="883" w:type="dxa"/>
            <w:tcBorders>
              <w:left w:val="single" w:color="auto" w:sz="4" w:space="0"/>
              <w:right w:val="single" w:color="auto" w:sz="4" w:space="0"/>
            </w:tcBorders>
            <w:noWrap w:val="0"/>
            <w:vAlign w:val="center"/>
          </w:tcPr>
          <w:p>
            <w:pPr>
              <w:snapToGrid w:val="0"/>
              <w:spacing w:line="360" w:lineRule="auto"/>
              <w:jc w:val="center"/>
              <w:rPr>
                <w:rFonts w:hint="eastAsia" w:ascii="宋体" w:hAnsi="宋体" w:eastAsia="宋体"/>
                <w:sz w:val="24"/>
                <w:szCs w:val="20"/>
                <w:lang w:val="en-US" w:eastAsia="zh-CN"/>
              </w:rPr>
            </w:pPr>
            <w:r>
              <w:rPr>
                <w:rFonts w:hint="eastAsia" w:ascii="宋体" w:hAnsi="宋体"/>
                <w:sz w:val="24"/>
                <w:lang w:val="en-US" w:eastAsia="zh-CN"/>
              </w:rPr>
              <w:t>3</w:t>
            </w:r>
          </w:p>
        </w:tc>
      </w:tr>
    </w:tbl>
    <w:p>
      <w:pPr>
        <w:snapToGrid w:val="0"/>
        <w:spacing w:line="360" w:lineRule="auto"/>
        <w:ind w:firstLine="480" w:firstLineChars="200"/>
        <w:rPr>
          <w:rFonts w:hint="eastAsia" w:ascii="宋体" w:hAnsi="宋体" w:eastAsia="宋体"/>
          <w:sz w:val="24"/>
        </w:rPr>
      </w:pP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（六）计算综合总得分</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评委在评分表评分完毕并签名送交遴选工作小组，由遴选工作小组计算各供应商的综合总得分（以四舍五入的方式精确到小数点后两位）。</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综合总得分：在全体评委的技术商务评分（各技术商务细项评分总和），取其算术平均值。</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按总得分由高至低排出有效响应供应商的名次。综合总得分相同的，按供应商注册成立时间先后进行排序。</w:t>
      </w:r>
    </w:p>
    <w:p>
      <w:pPr>
        <w:snapToGrid w:val="0"/>
        <w:spacing w:before="340" w:after="330" w:line="360" w:lineRule="auto"/>
        <w:outlineLvl w:val="1"/>
        <w:rPr>
          <w:rFonts w:hint="eastAsia" w:ascii="宋体" w:hAnsi="宋体" w:eastAsia="宋体"/>
          <w:b/>
          <w:sz w:val="24"/>
        </w:rPr>
      </w:pPr>
      <w:bookmarkStart w:id="70" w:name="_Toc26152"/>
      <w:r>
        <w:rPr>
          <w:rFonts w:hint="eastAsia" w:ascii="宋体" w:hAnsi="宋体" w:eastAsia="宋体"/>
          <w:b/>
          <w:sz w:val="24"/>
        </w:rPr>
        <w:t>三、定标和授标</w:t>
      </w:r>
      <w:bookmarkEnd w:id="70"/>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遴选小组将综合总得分由高到低的排名顺序推荐前6名响应供应商为中选人（若有效响应供应商不少于3家且不多于6家时，所有有效响应供应商均进入推荐中选人名单中）。</w:t>
      </w:r>
    </w:p>
    <w:p>
      <w:pPr>
        <w:snapToGrid w:val="0"/>
        <w:spacing w:line="360" w:lineRule="auto"/>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由</w:t>
      </w:r>
      <w:r>
        <w:rPr>
          <w:rFonts w:hint="eastAsia" w:ascii="宋体" w:hAnsi="宋体"/>
          <w:sz w:val="24"/>
          <w:lang w:val="en-US" w:eastAsia="zh-CN"/>
        </w:rPr>
        <w:t>招标委员会办公室</w:t>
      </w:r>
      <w:r>
        <w:rPr>
          <w:rFonts w:hint="eastAsia" w:ascii="宋体" w:hAnsi="宋体" w:eastAsia="宋体"/>
          <w:sz w:val="24"/>
        </w:rPr>
        <w:t>负责整理《遴选报告书》,全体评委审核《遴选报告书》并签名确认。</w:t>
      </w:r>
    </w:p>
    <w:p>
      <w:pPr>
        <w:snapToGrid w:val="0"/>
        <w:spacing w:line="360" w:lineRule="auto"/>
        <w:ind w:firstLine="480" w:firstLineChars="200"/>
        <w:rPr>
          <w:rFonts w:hint="eastAsia" w:ascii="宋体" w:hAnsi="宋体" w:eastAsia="宋体"/>
          <w:sz w:val="24"/>
        </w:rPr>
      </w:pPr>
      <w:r>
        <w:rPr>
          <w:rFonts w:hint="eastAsia" w:ascii="宋体" w:hAnsi="宋体"/>
          <w:sz w:val="24"/>
          <w:lang w:val="en-US" w:eastAsia="zh-CN"/>
        </w:rPr>
        <w:t>3</w:t>
      </w:r>
      <w:r>
        <w:rPr>
          <w:rFonts w:hint="eastAsia" w:ascii="宋体" w:hAnsi="宋体" w:eastAsia="宋体"/>
          <w:sz w:val="24"/>
          <w:lang w:eastAsia="zh-CN"/>
        </w:rPr>
        <w:t>、</w:t>
      </w:r>
      <w:r>
        <w:rPr>
          <w:rFonts w:hint="eastAsia" w:ascii="宋体" w:hAnsi="宋体" w:eastAsia="宋体"/>
          <w:sz w:val="24"/>
        </w:rPr>
        <w:t>中选结果将在</w:t>
      </w:r>
      <w:r>
        <w:rPr>
          <w:rFonts w:hint="eastAsia" w:ascii="宋体" w:hAnsi="宋体"/>
          <w:sz w:val="24"/>
          <w:lang w:val="en-US" w:eastAsia="zh-CN"/>
        </w:rPr>
        <w:t>汕头大学医学院官网及</w:t>
      </w:r>
      <w:r>
        <w:rPr>
          <w:rFonts w:hint="eastAsia" w:ascii="宋体" w:hAnsi="宋体" w:eastAsia="宋体"/>
          <w:sz w:val="24"/>
        </w:rPr>
        <w:t>汕头大学·香港中文大学联合汕头国际眼科中心官网主页信息公告栏上发布公示。</w:t>
      </w:r>
    </w:p>
    <w:p>
      <w:pPr>
        <w:snapToGrid w:val="0"/>
        <w:spacing w:line="360" w:lineRule="auto"/>
        <w:ind w:firstLine="480" w:firstLineChars="200"/>
        <w:rPr>
          <w:rFonts w:hint="eastAsia" w:ascii="宋体" w:hAnsi="宋体" w:eastAsia="宋体"/>
          <w:sz w:val="24"/>
        </w:rPr>
      </w:pPr>
      <w:r>
        <w:rPr>
          <w:rFonts w:hint="eastAsia" w:ascii="宋体" w:hAnsi="宋体"/>
          <w:sz w:val="24"/>
          <w:lang w:val="en-US" w:eastAsia="zh-CN"/>
        </w:rPr>
        <w:t>4</w:t>
      </w:r>
      <w:r>
        <w:rPr>
          <w:rFonts w:hint="eastAsia" w:ascii="宋体" w:hAnsi="宋体" w:eastAsia="宋体"/>
          <w:sz w:val="24"/>
          <w:lang w:eastAsia="zh-CN"/>
        </w:rPr>
        <w:t>、</w:t>
      </w:r>
      <w:r>
        <w:rPr>
          <w:rFonts w:hint="eastAsia" w:ascii="宋体" w:hAnsi="宋体" w:eastAsia="宋体"/>
          <w:sz w:val="24"/>
        </w:rPr>
        <w:t>对公示结果无质疑投诉后，由</w:t>
      </w:r>
      <w:r>
        <w:rPr>
          <w:rFonts w:hint="eastAsia" w:ascii="宋体" w:hAnsi="宋体"/>
          <w:sz w:val="24"/>
          <w:lang w:eastAsia="zh-CN"/>
        </w:rPr>
        <w:t>汕头国际眼科中心</w:t>
      </w:r>
      <w:r>
        <w:rPr>
          <w:rFonts w:hint="eastAsia" w:ascii="宋体" w:hAnsi="宋体" w:eastAsia="宋体"/>
          <w:sz w:val="24"/>
        </w:rPr>
        <w:t>向中选人发出《中选通知书》，不在中选名单之列者即为落选人，</w:t>
      </w:r>
      <w:r>
        <w:rPr>
          <w:rFonts w:hint="eastAsia" w:ascii="宋体" w:hAnsi="宋体"/>
          <w:sz w:val="24"/>
          <w:lang w:eastAsia="zh-CN"/>
        </w:rPr>
        <w:t>我院</w:t>
      </w:r>
      <w:r>
        <w:rPr>
          <w:rFonts w:hint="eastAsia" w:ascii="宋体" w:hAnsi="宋体" w:eastAsia="宋体"/>
          <w:sz w:val="24"/>
        </w:rPr>
        <w:t>不再以其它方式另行通知。</w:t>
      </w:r>
    </w:p>
    <w:bookmarkEnd w:id="59"/>
    <w:bookmarkEnd w:id="60"/>
    <w:bookmarkEnd w:id="61"/>
    <w:bookmarkEnd w:id="62"/>
    <w:p>
      <w:pPr>
        <w:rPr>
          <w:rFonts w:ascii="宋体" w:hAnsi="宋体"/>
          <w:b/>
          <w:sz w:val="24"/>
          <w:highlight w:val="yellow"/>
        </w:rPr>
      </w:pPr>
      <w:r>
        <w:rPr>
          <w:rFonts w:ascii="宋体" w:hAnsi="宋体"/>
          <w:b/>
          <w:sz w:val="24"/>
          <w:highlight w:val="yellow"/>
        </w:rPr>
        <w:br w:type="page"/>
      </w:r>
    </w:p>
    <w:p>
      <w:pPr>
        <w:snapToGrid w:val="0"/>
        <w:spacing w:line="360" w:lineRule="auto"/>
        <w:ind w:firstLine="643" w:firstLineChars="200"/>
        <w:jc w:val="center"/>
        <w:outlineLvl w:val="0"/>
        <w:rPr>
          <w:rFonts w:hint="default" w:ascii="黑体" w:hAnsi="黑体" w:eastAsia="黑体"/>
          <w:b/>
          <w:sz w:val="32"/>
          <w:szCs w:val="32"/>
          <w:lang w:val="en-US" w:eastAsia="zh-CN"/>
        </w:rPr>
      </w:pPr>
      <w:bookmarkStart w:id="71" w:name="_Toc12932"/>
      <w:r>
        <w:rPr>
          <w:rFonts w:hint="eastAsia" w:ascii="黑体" w:hAnsi="黑体" w:eastAsia="黑体"/>
          <w:b/>
          <w:sz w:val="32"/>
          <w:szCs w:val="32"/>
        </w:rPr>
        <w:t>第</w:t>
      </w:r>
      <w:r>
        <w:rPr>
          <w:rFonts w:hint="eastAsia" w:ascii="黑体" w:hAnsi="黑体" w:eastAsia="黑体"/>
          <w:b/>
          <w:sz w:val="32"/>
          <w:szCs w:val="32"/>
          <w:lang w:val="en-US" w:eastAsia="zh-CN"/>
        </w:rPr>
        <w:t>五</w:t>
      </w:r>
      <w:r>
        <w:rPr>
          <w:rFonts w:hint="eastAsia" w:ascii="黑体" w:hAnsi="黑体" w:eastAsia="黑体"/>
          <w:b/>
          <w:sz w:val="32"/>
          <w:szCs w:val="32"/>
        </w:rPr>
        <w:t xml:space="preserve">部分 </w:t>
      </w:r>
      <w:r>
        <w:rPr>
          <w:rFonts w:hint="eastAsia" w:ascii="黑体" w:hAnsi="黑体" w:eastAsia="黑体"/>
          <w:b/>
          <w:sz w:val="32"/>
          <w:szCs w:val="32"/>
          <w:lang w:val="en-US" w:eastAsia="zh-CN"/>
        </w:rPr>
        <w:t>合同书格式</w:t>
      </w:r>
      <w:bookmarkEnd w:id="71"/>
    </w:p>
    <w:p>
      <w:pPr>
        <w:spacing w:after="60" w:line="360" w:lineRule="auto"/>
        <w:jc w:val="center"/>
        <w:rPr>
          <w:rFonts w:ascii="宋体" w:hAnsi="宋体"/>
          <w:sz w:val="72"/>
          <w:szCs w:val="72"/>
        </w:rPr>
      </w:pPr>
    </w:p>
    <w:p>
      <w:pPr>
        <w:spacing w:after="60" w:line="360" w:lineRule="auto"/>
        <w:jc w:val="center"/>
        <w:outlineLvl w:val="1"/>
        <w:rPr>
          <w:rFonts w:ascii="宋体" w:hAnsi="宋体"/>
          <w:sz w:val="72"/>
          <w:szCs w:val="72"/>
        </w:rPr>
      </w:pPr>
      <w:bookmarkStart w:id="72" w:name="_Toc27160"/>
      <w:bookmarkStart w:id="73" w:name="_Toc18367"/>
      <w:r>
        <w:rPr>
          <w:rFonts w:ascii="宋体" w:hAnsi="宋体"/>
          <w:sz w:val="72"/>
          <w:szCs w:val="72"/>
        </w:rPr>
        <w:t>合同</w:t>
      </w:r>
      <w:bookmarkEnd w:id="72"/>
      <w:bookmarkEnd w:id="73"/>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outlineLvl w:val="1"/>
        <w:rPr>
          <w:rFonts w:ascii="宋体" w:hAnsi="宋体"/>
          <w:b/>
          <w:sz w:val="32"/>
          <w:szCs w:val="32"/>
        </w:rPr>
      </w:pPr>
      <w:bookmarkStart w:id="74" w:name="_Toc20820"/>
      <w:bookmarkStart w:id="75" w:name="_Toc11732"/>
      <w:r>
        <w:rPr>
          <w:rFonts w:ascii="宋体" w:hAnsi="宋体"/>
          <w:b/>
          <w:sz w:val="32"/>
          <w:szCs w:val="32"/>
        </w:rPr>
        <w:t>（合同编号：）</w:t>
      </w:r>
      <w:bookmarkEnd w:id="74"/>
      <w:bookmarkEnd w:id="75"/>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ind w:firstLine="2249" w:firstLineChars="700"/>
        <w:outlineLvl w:val="1"/>
        <w:rPr>
          <w:rFonts w:ascii="宋体" w:hAnsi="宋体"/>
          <w:b/>
          <w:sz w:val="32"/>
          <w:szCs w:val="32"/>
          <w:u w:val="single"/>
        </w:rPr>
      </w:pPr>
      <w:bookmarkStart w:id="76" w:name="_Toc1513"/>
      <w:bookmarkStart w:id="77" w:name="_Toc11241"/>
      <w:r>
        <w:rPr>
          <w:rFonts w:ascii="宋体" w:hAnsi="宋体"/>
          <w:b/>
          <w:sz w:val="32"/>
          <w:szCs w:val="32"/>
          <w:u w:val="single"/>
        </w:rPr>
        <w:t>甲方：</w:t>
      </w:r>
      <w:bookmarkEnd w:id="76"/>
      <w:bookmarkEnd w:id="77"/>
      <w:r>
        <w:rPr>
          <w:rFonts w:ascii="宋体" w:hAnsi="宋体"/>
          <w:b/>
          <w:sz w:val="32"/>
          <w:szCs w:val="32"/>
          <w:u w:val="single"/>
        </w:rPr>
        <w:t xml:space="preserve">                       </w:t>
      </w:r>
    </w:p>
    <w:p>
      <w:pPr>
        <w:spacing w:after="60" w:line="360" w:lineRule="auto"/>
        <w:ind w:firstLine="2233"/>
        <w:outlineLvl w:val="1"/>
        <w:rPr>
          <w:rFonts w:ascii="宋体" w:hAnsi="宋体"/>
          <w:b/>
          <w:sz w:val="32"/>
          <w:szCs w:val="32"/>
          <w:u w:val="single"/>
        </w:rPr>
      </w:pPr>
      <w:bookmarkStart w:id="78" w:name="_Toc11452"/>
      <w:bookmarkStart w:id="79" w:name="_Toc13470"/>
      <w:r>
        <w:rPr>
          <w:rFonts w:ascii="宋体" w:hAnsi="宋体"/>
          <w:b/>
          <w:sz w:val="32"/>
          <w:szCs w:val="32"/>
          <w:u w:val="single"/>
        </w:rPr>
        <w:t>乙方：</w:t>
      </w:r>
      <w:bookmarkEnd w:id="78"/>
      <w:bookmarkEnd w:id="79"/>
      <w:r>
        <w:rPr>
          <w:rFonts w:ascii="宋体" w:hAnsi="宋体"/>
          <w:b/>
          <w:sz w:val="32"/>
          <w:szCs w:val="32"/>
          <w:u w:val="single"/>
        </w:rPr>
        <w:t xml:space="preserve">                       </w:t>
      </w:r>
    </w:p>
    <w:p>
      <w:pPr>
        <w:adjustRightInd w:val="0"/>
        <w:snapToGrid w:val="0"/>
        <w:spacing w:line="288" w:lineRule="auto"/>
        <w:ind w:firstLine="2249" w:firstLineChars="700"/>
        <w:outlineLvl w:val="1"/>
        <w:rPr>
          <w:rFonts w:ascii="宋体" w:hAnsi="宋体"/>
          <w:b/>
          <w:sz w:val="32"/>
          <w:u w:val="single"/>
        </w:rPr>
      </w:pPr>
      <w:bookmarkStart w:id="80" w:name="_Toc8253"/>
      <w:bookmarkStart w:id="81" w:name="_Toc5588"/>
      <w:r>
        <w:rPr>
          <w:rFonts w:ascii="宋体" w:hAnsi="宋体"/>
          <w:b/>
          <w:sz w:val="32"/>
          <w:szCs w:val="32"/>
        </w:rPr>
        <w:t>合同签订时间：</w:t>
      </w:r>
      <w:r>
        <w:rPr>
          <w:rFonts w:ascii="宋体" w:hAnsi="宋体"/>
          <w:b/>
          <w:sz w:val="32"/>
          <w:szCs w:val="32"/>
          <w:u w:val="single"/>
        </w:rPr>
        <w:t xml:space="preserve">     年   月   日</w:t>
      </w:r>
      <w:bookmarkEnd w:id="80"/>
      <w:bookmarkEnd w:id="81"/>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hint="eastAsia" w:ascii="宋体" w:hAnsi="宋体" w:eastAsia="宋体" w:cs="宋体"/>
          <w:lang w:eastAsia="zh-CN"/>
        </w:rPr>
      </w:pPr>
    </w:p>
    <w:p>
      <w:pPr>
        <w:snapToGrid w:val="0"/>
        <w:spacing w:line="360" w:lineRule="auto"/>
        <w:ind w:firstLine="420"/>
        <w:rPr>
          <w:rFonts w:ascii="宋体" w:hAnsi="宋体"/>
          <w:sz w:val="24"/>
          <w:szCs w:val="22"/>
        </w:rPr>
      </w:pPr>
      <w:r>
        <w:rPr>
          <w:rFonts w:hint="eastAsia" w:ascii="宋体" w:hAnsi="宋体" w:cs="宋体"/>
          <w:sz w:val="24"/>
          <w:szCs w:val="22"/>
        </w:rPr>
        <w:t>甲方（</w:t>
      </w:r>
      <w:r>
        <w:rPr>
          <w:rFonts w:hint="eastAsia" w:ascii="宋体" w:hAnsi="宋体"/>
          <w:sz w:val="24"/>
          <w:szCs w:val="20"/>
        </w:rPr>
        <w:t>遴选人</w:t>
      </w:r>
      <w:r>
        <w:rPr>
          <w:rFonts w:hint="eastAsia" w:ascii="宋体" w:hAnsi="宋体" w:cs="宋体"/>
          <w:sz w:val="24"/>
          <w:szCs w:val="22"/>
        </w:rPr>
        <w:t>）：合同编号：</w:t>
      </w:r>
    </w:p>
    <w:p>
      <w:pPr>
        <w:snapToGrid w:val="0"/>
        <w:spacing w:line="360" w:lineRule="auto"/>
        <w:ind w:firstLine="420"/>
        <w:rPr>
          <w:rFonts w:ascii="宋体" w:hAnsi="宋体"/>
          <w:sz w:val="24"/>
          <w:szCs w:val="22"/>
        </w:rPr>
      </w:pPr>
      <w:r>
        <w:rPr>
          <w:rFonts w:hint="eastAsia" w:ascii="宋体" w:hAnsi="宋体" w:cs="宋体"/>
          <w:sz w:val="24"/>
          <w:szCs w:val="22"/>
        </w:rPr>
        <w:t>乙方（中选人）：签约地点：</w:t>
      </w:r>
    </w:p>
    <w:p>
      <w:pPr>
        <w:snapToGrid w:val="0"/>
        <w:spacing w:line="360" w:lineRule="auto"/>
        <w:rPr>
          <w:rFonts w:ascii="宋体" w:hAnsi="宋体"/>
        </w:rPr>
      </w:pPr>
    </w:p>
    <w:p>
      <w:pPr>
        <w:snapToGrid w:val="0"/>
        <w:spacing w:line="360" w:lineRule="auto"/>
        <w:ind w:firstLine="420"/>
        <w:rPr>
          <w:rFonts w:hint="eastAsia" w:ascii="宋体" w:hAnsi="宋体" w:eastAsia="宋体" w:cs="宋体"/>
          <w:sz w:val="24"/>
          <w:szCs w:val="20"/>
        </w:rPr>
      </w:pPr>
      <w:r>
        <w:rPr>
          <w:rFonts w:hint="eastAsia" w:ascii="宋体" w:hAnsi="宋体" w:eastAsia="宋体" w:cs="宋体"/>
          <w:sz w:val="24"/>
          <w:szCs w:val="20"/>
        </w:rPr>
        <w:t>根据《中华人民共和国民法典》、《中华人民共和国招标投标法》及年月日____________________项目招标文件（项目编号：）的要求，经双方协商一致，签订本合同。</w:t>
      </w:r>
    </w:p>
    <w:p>
      <w:pPr>
        <w:topLinePunct/>
        <w:spacing w:before="156" w:beforeLines="50" w:line="360" w:lineRule="auto"/>
        <w:outlineLvl w:val="1"/>
        <w:rPr>
          <w:rFonts w:ascii="宋体" w:hAnsi="宋体" w:cs="Arial"/>
          <w:b/>
          <w:spacing w:val="-6"/>
          <w:sz w:val="24"/>
          <w:szCs w:val="20"/>
        </w:rPr>
      </w:pPr>
      <w:bookmarkStart w:id="82" w:name="_Toc13215"/>
      <w:bookmarkStart w:id="83" w:name="_Toc11450"/>
      <w:r>
        <w:rPr>
          <w:rFonts w:hint="eastAsia" w:ascii="宋体" w:hAnsi="宋体" w:cs="Arial"/>
          <w:b/>
          <w:spacing w:val="-6"/>
          <w:sz w:val="24"/>
          <w:szCs w:val="20"/>
        </w:rPr>
        <w:t>一、收费标准</w:t>
      </w:r>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spacing w:val="-6"/>
          <w:sz w:val="24"/>
          <w:szCs w:val="20"/>
        </w:rPr>
      </w:pPr>
      <w:r>
        <w:rPr>
          <w:rFonts w:hint="eastAsia" w:ascii="宋体" w:hAnsi="宋体" w:eastAsia="宋体" w:cs="宋体"/>
          <w:spacing w:val="-6"/>
          <w:sz w:val="24"/>
          <w:szCs w:val="20"/>
        </w:rPr>
        <w:t>项目招标代理服务费用，由乙方自行向成交供应商收取。服务费收取标准参照《广东省物价局粤价函〔2013〕1233号》规定的标准费率下浮20%。</w:t>
      </w:r>
    </w:p>
    <w:p>
      <w:pPr>
        <w:topLinePunct/>
        <w:spacing w:before="156" w:beforeLines="50" w:line="360" w:lineRule="auto"/>
        <w:outlineLvl w:val="1"/>
        <w:rPr>
          <w:rFonts w:hint="eastAsia" w:ascii="宋体" w:hAnsi="宋体" w:eastAsia="宋体" w:cs="Arial"/>
          <w:b/>
          <w:spacing w:val="-6"/>
          <w:sz w:val="24"/>
          <w:szCs w:val="20"/>
        </w:rPr>
      </w:pPr>
      <w:bookmarkStart w:id="84" w:name="_Toc15270"/>
      <w:bookmarkStart w:id="85" w:name="_Toc13686"/>
      <w:r>
        <w:rPr>
          <w:rFonts w:hint="eastAsia" w:ascii="宋体" w:hAnsi="宋体" w:eastAsia="宋体" w:cs="Arial"/>
          <w:b/>
          <w:spacing w:val="-6"/>
          <w:sz w:val="24"/>
          <w:szCs w:val="20"/>
        </w:rPr>
        <w:t>二、服务要求</w:t>
      </w:r>
      <w:bookmarkEnd w:id="84"/>
      <w:bookmarkEnd w:id="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0"/>
        </w:rPr>
      </w:pPr>
      <w:r>
        <w:rPr>
          <w:rFonts w:hint="eastAsia" w:ascii="宋体" w:hAnsi="宋体" w:cs="宋体"/>
          <w:kern w:val="0"/>
          <w:sz w:val="24"/>
          <w:szCs w:val="20"/>
        </w:rPr>
        <w:t>乙方应依据国家相关法规、制度、办法为甲方提供代理服务。凡因乙方本身的行为导致违反相关法规、制度、办法而造成的法律责任及经济损失或赔偿，由乙方独自承担。</w:t>
      </w:r>
    </w:p>
    <w:p>
      <w:pPr>
        <w:spacing w:line="360" w:lineRule="auto"/>
        <w:rPr>
          <w:rFonts w:ascii="宋体" w:hAnsi="宋体" w:cs="宋体"/>
          <w:kern w:val="0"/>
          <w:sz w:val="24"/>
          <w:szCs w:val="20"/>
        </w:rPr>
      </w:pPr>
      <w:r>
        <w:rPr>
          <w:rFonts w:hint="eastAsia" w:ascii="宋体" w:hAnsi="宋体" w:cs="宋体"/>
          <w:kern w:val="0"/>
          <w:sz w:val="24"/>
          <w:szCs w:val="20"/>
        </w:rPr>
        <w:t>（一）服务内容</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乙方须依据政府采购法及相关法规为甲方实施的采购项目提供采购代理服务，具体包括但不限于如下内容：</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eastAsia="zh-CN"/>
        </w:rPr>
        <w:t>、</w:t>
      </w:r>
      <w:r>
        <w:rPr>
          <w:rFonts w:hint="eastAsia" w:ascii="宋体" w:hAnsi="宋体" w:cs="宋体"/>
          <w:kern w:val="0"/>
          <w:sz w:val="24"/>
          <w:szCs w:val="20"/>
        </w:rPr>
        <w:t>编制招标工作计划，对项目提供咨询服务；</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w:t>
      </w:r>
      <w:r>
        <w:rPr>
          <w:rFonts w:hint="eastAsia" w:ascii="宋体" w:hAnsi="宋体" w:cs="宋体"/>
          <w:kern w:val="0"/>
          <w:sz w:val="24"/>
          <w:szCs w:val="20"/>
          <w:lang w:eastAsia="zh-CN"/>
        </w:rPr>
        <w:t>、</w:t>
      </w:r>
      <w:r>
        <w:rPr>
          <w:rFonts w:hint="eastAsia" w:ascii="宋体" w:hAnsi="宋体" w:cs="宋体"/>
          <w:kern w:val="0"/>
          <w:sz w:val="24"/>
          <w:szCs w:val="20"/>
        </w:rPr>
        <w:t>编制、发售、解释、组织论证采购文件，办理遴选文件备案；</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w:t>
      </w:r>
      <w:r>
        <w:rPr>
          <w:rFonts w:hint="eastAsia" w:ascii="宋体" w:hAnsi="宋体" w:cs="宋体"/>
          <w:kern w:val="0"/>
          <w:sz w:val="24"/>
          <w:szCs w:val="20"/>
          <w:lang w:eastAsia="zh-CN"/>
        </w:rPr>
        <w:t>、</w:t>
      </w:r>
      <w:r>
        <w:rPr>
          <w:rFonts w:hint="eastAsia" w:ascii="宋体" w:hAnsi="宋体" w:cs="宋体"/>
          <w:kern w:val="0"/>
          <w:sz w:val="24"/>
          <w:szCs w:val="20"/>
        </w:rPr>
        <w:t>在政府采购监督管理部门或其他主管部门指定媒体上发布采购信息公告；</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w:t>
      </w:r>
      <w:r>
        <w:rPr>
          <w:rFonts w:hint="eastAsia" w:ascii="宋体" w:hAnsi="宋体" w:cs="宋体"/>
          <w:kern w:val="0"/>
          <w:sz w:val="24"/>
          <w:szCs w:val="20"/>
          <w:lang w:eastAsia="zh-CN"/>
        </w:rPr>
        <w:t>、</w:t>
      </w:r>
      <w:r>
        <w:rPr>
          <w:rFonts w:hint="eastAsia" w:ascii="宋体" w:hAnsi="宋体" w:cs="宋体"/>
          <w:kern w:val="0"/>
          <w:sz w:val="24"/>
          <w:szCs w:val="20"/>
        </w:rPr>
        <w:t>制定评审方法、步骤、标准；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w:t>
      </w:r>
      <w:r>
        <w:rPr>
          <w:rFonts w:hint="eastAsia" w:ascii="宋体" w:hAnsi="宋体" w:cs="宋体"/>
          <w:kern w:val="0"/>
          <w:sz w:val="24"/>
          <w:szCs w:val="20"/>
          <w:lang w:eastAsia="zh-CN"/>
        </w:rPr>
        <w:t>、</w:t>
      </w:r>
      <w:r>
        <w:rPr>
          <w:rFonts w:hint="eastAsia" w:ascii="宋体" w:hAnsi="宋体" w:cs="宋体"/>
          <w:kern w:val="0"/>
          <w:sz w:val="24"/>
          <w:szCs w:val="20"/>
        </w:rPr>
        <w:t>依法抽取专家组建评标委员会；</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w:t>
      </w:r>
      <w:r>
        <w:rPr>
          <w:rFonts w:hint="eastAsia" w:ascii="宋体" w:hAnsi="宋体" w:cs="宋体"/>
          <w:kern w:val="0"/>
          <w:sz w:val="24"/>
          <w:szCs w:val="20"/>
          <w:lang w:eastAsia="zh-CN"/>
        </w:rPr>
        <w:t>、</w:t>
      </w:r>
      <w:r>
        <w:rPr>
          <w:rFonts w:hint="eastAsia" w:ascii="宋体" w:hAnsi="宋体" w:cs="宋体"/>
          <w:kern w:val="0"/>
          <w:sz w:val="24"/>
          <w:szCs w:val="20"/>
        </w:rPr>
        <w:t>邀请有关监督部门进行现场监督；</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w:t>
      </w:r>
      <w:r>
        <w:rPr>
          <w:rFonts w:hint="eastAsia" w:ascii="宋体" w:hAnsi="宋体" w:cs="宋体"/>
          <w:kern w:val="0"/>
          <w:sz w:val="24"/>
          <w:szCs w:val="20"/>
          <w:lang w:eastAsia="zh-CN"/>
        </w:rPr>
        <w:t>、</w:t>
      </w:r>
      <w:r>
        <w:rPr>
          <w:rFonts w:hint="eastAsia" w:ascii="宋体" w:hAnsi="宋体" w:cs="宋体"/>
          <w:kern w:val="0"/>
          <w:sz w:val="24"/>
          <w:szCs w:val="20"/>
        </w:rPr>
        <w:t>落实评审地点，主持评审活动，并做好评审记录；</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w:t>
      </w:r>
      <w:r>
        <w:rPr>
          <w:rFonts w:hint="eastAsia" w:ascii="宋体" w:hAnsi="宋体" w:cs="宋体"/>
          <w:kern w:val="0"/>
          <w:sz w:val="24"/>
          <w:szCs w:val="20"/>
          <w:lang w:eastAsia="zh-CN"/>
        </w:rPr>
        <w:t>、</w:t>
      </w:r>
      <w:r>
        <w:rPr>
          <w:rFonts w:hint="eastAsia" w:ascii="宋体" w:hAnsi="宋体" w:cs="宋体"/>
          <w:kern w:val="0"/>
          <w:sz w:val="24"/>
          <w:szCs w:val="20"/>
        </w:rPr>
        <w:t>组织评审工作；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9</w:t>
      </w:r>
      <w:r>
        <w:rPr>
          <w:rFonts w:hint="eastAsia" w:ascii="宋体" w:hAnsi="宋体" w:cs="宋体"/>
          <w:kern w:val="0"/>
          <w:sz w:val="24"/>
          <w:szCs w:val="20"/>
          <w:lang w:eastAsia="zh-CN"/>
        </w:rPr>
        <w:t>、</w:t>
      </w:r>
      <w:r>
        <w:rPr>
          <w:rFonts w:hint="eastAsia" w:ascii="宋体" w:hAnsi="宋体" w:cs="宋体"/>
          <w:kern w:val="0"/>
          <w:sz w:val="24"/>
          <w:szCs w:val="20"/>
        </w:rPr>
        <w:t>整理评审报告送采购人及有关部门；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10</w:t>
      </w:r>
      <w:r>
        <w:rPr>
          <w:rFonts w:hint="eastAsia" w:ascii="宋体" w:hAnsi="宋体" w:cs="宋体"/>
          <w:kern w:val="0"/>
          <w:sz w:val="24"/>
          <w:szCs w:val="20"/>
          <w:lang w:eastAsia="zh-CN"/>
        </w:rPr>
        <w:t>、</w:t>
      </w:r>
      <w:r>
        <w:rPr>
          <w:rFonts w:hint="eastAsia" w:ascii="宋体" w:hAnsi="宋体" w:cs="宋体"/>
          <w:kern w:val="0"/>
          <w:sz w:val="24"/>
          <w:szCs w:val="20"/>
        </w:rPr>
        <w:t>在政府采购监督管理部门或其他主管部门指定媒体上发布中标/成交公告，发送中标/成交通知书；</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11</w:t>
      </w:r>
      <w:r>
        <w:rPr>
          <w:rFonts w:hint="eastAsia" w:ascii="宋体" w:hAnsi="宋体" w:cs="宋体"/>
          <w:kern w:val="0"/>
          <w:sz w:val="24"/>
          <w:szCs w:val="20"/>
          <w:lang w:eastAsia="zh-CN"/>
        </w:rPr>
        <w:t>、</w:t>
      </w:r>
      <w:r>
        <w:rPr>
          <w:rFonts w:hint="eastAsia" w:ascii="宋体" w:hAnsi="宋体" w:cs="宋体"/>
          <w:kern w:val="0"/>
          <w:sz w:val="24"/>
          <w:szCs w:val="20"/>
        </w:rPr>
        <w:t>答复潜在投标人的询问和质疑，协助处理投标人的投诉；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12</w:t>
      </w:r>
      <w:r>
        <w:rPr>
          <w:rFonts w:hint="eastAsia" w:ascii="宋体" w:hAnsi="宋体" w:cs="宋体"/>
          <w:kern w:val="0"/>
          <w:sz w:val="24"/>
          <w:szCs w:val="20"/>
          <w:lang w:eastAsia="zh-CN"/>
        </w:rPr>
        <w:t>、</w:t>
      </w:r>
      <w:r>
        <w:rPr>
          <w:rFonts w:hint="eastAsia" w:ascii="宋体" w:hAnsi="宋体" w:cs="宋体"/>
          <w:kern w:val="0"/>
          <w:sz w:val="24"/>
          <w:szCs w:val="20"/>
        </w:rPr>
        <w:t>采购活动有关文件报送备案、编制存档资料（同时制作一份存档资料交甲方）、招标全流程文件等档案完整的保存不少于15年；必要时，配合甲方或上级主管部门对采购项目的检查或调取、补漏相关资料。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13</w:t>
      </w:r>
      <w:r>
        <w:rPr>
          <w:rFonts w:hint="eastAsia" w:ascii="宋体" w:hAnsi="宋体" w:cs="宋体"/>
          <w:kern w:val="0"/>
          <w:sz w:val="24"/>
          <w:szCs w:val="20"/>
          <w:lang w:eastAsia="zh-CN"/>
        </w:rPr>
        <w:t>、</w:t>
      </w:r>
      <w:r>
        <w:rPr>
          <w:rFonts w:hint="eastAsia" w:ascii="宋体" w:hAnsi="宋体" w:cs="宋体"/>
          <w:kern w:val="0"/>
          <w:sz w:val="24"/>
          <w:szCs w:val="20"/>
        </w:rPr>
        <w:t>采购代理机构承担组织项目采购活动全过程的全部费用，包括但不限于：资格预审、评审专家评审费、论证费、需重新招标或开评标所发生的费用、资格预审文件和遴选文件等相关文件和资料的制作费用以及其他完成代理服务所需的直接或间接的所有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14</w:t>
      </w:r>
      <w:r>
        <w:rPr>
          <w:rFonts w:hint="eastAsia" w:ascii="宋体" w:hAnsi="宋体" w:cs="宋体"/>
          <w:kern w:val="0"/>
          <w:sz w:val="24"/>
          <w:szCs w:val="20"/>
          <w:lang w:eastAsia="zh-CN"/>
        </w:rPr>
        <w:t>、</w:t>
      </w:r>
      <w:r>
        <w:rPr>
          <w:rFonts w:hint="eastAsia" w:ascii="宋体" w:hAnsi="宋体" w:cs="宋体"/>
          <w:kern w:val="0"/>
          <w:sz w:val="24"/>
          <w:szCs w:val="20"/>
        </w:rPr>
        <w:t>法律法规规定的其他事项。</w:t>
      </w:r>
    </w:p>
    <w:p>
      <w:pPr>
        <w:spacing w:line="360" w:lineRule="auto"/>
        <w:rPr>
          <w:rFonts w:ascii="宋体" w:hAnsi="宋体" w:cs="宋体"/>
          <w:kern w:val="0"/>
          <w:sz w:val="24"/>
          <w:szCs w:val="20"/>
        </w:rPr>
      </w:pPr>
      <w:r>
        <w:rPr>
          <w:rFonts w:hint="eastAsia" w:ascii="宋体" w:hAnsi="宋体" w:cs="宋体"/>
          <w:kern w:val="0"/>
          <w:sz w:val="24"/>
          <w:szCs w:val="20"/>
        </w:rPr>
        <w:t>（二）服务响应时间</w:t>
      </w:r>
    </w:p>
    <w:p>
      <w:pPr>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乙方接到委托并前期资料齐备的前提下，3个工作日内提供招标文件初稿；</w:t>
      </w:r>
    </w:p>
    <w:p>
      <w:pPr>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对于咨询或修改文件等事宜，应当天响应并及时办理；</w:t>
      </w:r>
    </w:p>
    <w:p>
      <w:pPr>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招标完成时间不超具体项目代理委托合同要求；</w:t>
      </w:r>
    </w:p>
    <w:p>
      <w:pPr>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招标工作完成后5个工作日内，应按代理协议约定向委托人提交招标工作归档资料及有关文件。</w:t>
      </w:r>
    </w:p>
    <w:p>
      <w:pPr>
        <w:spacing w:line="360" w:lineRule="auto"/>
        <w:rPr>
          <w:rFonts w:ascii="宋体" w:hAnsi="宋体" w:cs="宋体"/>
          <w:kern w:val="0"/>
          <w:sz w:val="24"/>
          <w:szCs w:val="20"/>
        </w:rPr>
      </w:pPr>
      <w:r>
        <w:rPr>
          <w:rFonts w:hint="eastAsia" w:ascii="宋体" w:hAnsi="宋体" w:cs="宋体"/>
          <w:kern w:val="0"/>
          <w:sz w:val="24"/>
          <w:szCs w:val="20"/>
        </w:rPr>
        <w:t>（三）服务人员配置</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乙方应指定专人负责与甲方的对接及总协调。工程、货物、服务类采购代理人员专业配置合理，满足工作需要，人员数量充足。</w:t>
      </w:r>
    </w:p>
    <w:p>
      <w:pPr>
        <w:widowControl/>
        <w:spacing w:line="360" w:lineRule="auto"/>
        <w:jc w:val="left"/>
        <w:outlineLvl w:val="1"/>
        <w:rPr>
          <w:rFonts w:ascii="宋体" w:hAnsi="宋体"/>
          <w:b/>
          <w:sz w:val="24"/>
          <w:szCs w:val="20"/>
        </w:rPr>
      </w:pPr>
      <w:bookmarkStart w:id="86" w:name="_Toc10009"/>
      <w:bookmarkStart w:id="87" w:name="_Toc20045"/>
      <w:r>
        <w:rPr>
          <w:rFonts w:hint="eastAsia" w:ascii="宋体" w:hAnsi="宋体"/>
          <w:b/>
          <w:sz w:val="24"/>
          <w:szCs w:val="20"/>
        </w:rPr>
        <w:t>三、服务期</w:t>
      </w:r>
      <w:bookmarkEnd w:id="86"/>
      <w:bookmarkEnd w:id="87"/>
    </w:p>
    <w:p>
      <w:pPr>
        <w:widowControl/>
        <w:spacing w:line="360" w:lineRule="auto"/>
        <w:ind w:firstLine="470" w:firstLineChars="196"/>
        <w:jc w:val="left"/>
        <w:rPr>
          <w:rFonts w:ascii="宋体" w:hAnsi="宋体" w:cs="宋体"/>
          <w:kern w:val="0"/>
          <w:sz w:val="24"/>
          <w:szCs w:val="20"/>
        </w:rPr>
      </w:pPr>
      <w:r>
        <w:rPr>
          <w:rFonts w:hint="eastAsia" w:ascii="宋体" w:hAnsi="宋体" w:cs="宋体"/>
          <w:kern w:val="0"/>
          <w:sz w:val="24"/>
          <w:szCs w:val="20"/>
        </w:rPr>
        <w:t>服务期限为</w:t>
      </w:r>
      <w:r>
        <w:rPr>
          <w:rFonts w:hint="eastAsia" w:ascii="宋体" w:hAnsi="宋体"/>
          <w:sz w:val="24"/>
          <w:szCs w:val="20"/>
        </w:rPr>
        <w:t>三年（   年   月   日至   年    月   日）</w:t>
      </w:r>
      <w:r>
        <w:rPr>
          <w:rFonts w:hint="eastAsia" w:ascii="宋体" w:hAnsi="宋体" w:cs="宋体"/>
          <w:kern w:val="0"/>
          <w:sz w:val="24"/>
          <w:szCs w:val="20"/>
        </w:rPr>
        <w:t>。</w:t>
      </w:r>
    </w:p>
    <w:p>
      <w:pPr>
        <w:widowControl/>
        <w:spacing w:line="360" w:lineRule="auto"/>
        <w:jc w:val="left"/>
        <w:outlineLvl w:val="1"/>
        <w:rPr>
          <w:rFonts w:ascii="宋体" w:hAnsi="宋体"/>
          <w:b/>
          <w:sz w:val="24"/>
          <w:szCs w:val="20"/>
        </w:rPr>
      </w:pPr>
      <w:bookmarkStart w:id="88" w:name="_Toc26965"/>
      <w:bookmarkStart w:id="89" w:name="_Toc11099"/>
      <w:r>
        <w:rPr>
          <w:rFonts w:hint="eastAsia" w:ascii="宋体" w:hAnsi="宋体"/>
          <w:b/>
          <w:sz w:val="24"/>
          <w:szCs w:val="20"/>
        </w:rPr>
        <w:t>四、禁止事项</w:t>
      </w:r>
      <w:bookmarkEnd w:id="88"/>
      <w:bookmarkEnd w:id="89"/>
    </w:p>
    <w:p>
      <w:pPr>
        <w:widowControl/>
        <w:spacing w:line="360" w:lineRule="auto"/>
        <w:ind w:firstLine="470" w:firstLineChars="196"/>
        <w:jc w:val="left"/>
        <w:rPr>
          <w:rFonts w:ascii="宋体" w:hAnsi="宋体" w:cs="宋体"/>
          <w:kern w:val="0"/>
          <w:sz w:val="24"/>
          <w:szCs w:val="20"/>
        </w:rPr>
      </w:pPr>
      <w:r>
        <w:rPr>
          <w:rFonts w:hint="eastAsia" w:ascii="宋体" w:hAnsi="宋体" w:cs="宋体"/>
          <w:kern w:val="0"/>
          <w:sz w:val="24"/>
          <w:szCs w:val="20"/>
        </w:rPr>
        <w:t>代理机构应按采购项目委托协议完成采购代理业务，如出现下列情况的，将终止合同。乙方应承担相应的法律责任并赔偿甲方因此遭受的损失。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0"/>
        </w:rPr>
      </w:pPr>
      <w:r>
        <w:rPr>
          <w:rFonts w:hint="eastAsia" w:ascii="宋体" w:hAnsi="宋体" w:cs="宋体"/>
          <w:kern w:val="0"/>
          <w:sz w:val="24"/>
          <w:szCs w:val="20"/>
          <w:lang w:val="en-US" w:eastAsia="zh-CN"/>
        </w:rPr>
        <w:t>1、</w:t>
      </w:r>
      <w:r>
        <w:rPr>
          <w:rFonts w:hint="eastAsia" w:ascii="宋体" w:hAnsi="宋体" w:cs="宋体"/>
          <w:kern w:val="0"/>
          <w:sz w:val="24"/>
          <w:szCs w:val="20"/>
        </w:rPr>
        <w:t>累计2次不接受采购人的代理业务的；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2、应当采用公开招标方式而擅自采用其他方式采购的；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3、违反委托代理协议泄露与采购代理业务有关的情况和资料的；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4、以不合理的条件对供应商实行差别待遇或者歧视待遇的；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5、与供应商或采购人恶意串通的；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6、在采购过程中接受贿赂或者获取其他不正当利益的；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7、开标前泄露已获取招标文件的潜在投标人的名称、数量或者其他可能影响公平竞争的有关招标投标情况的；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8、擅自修改采购文件或者评审结果的；</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9、拒绝有关部门依法实施监督检查的；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10、甲方委托乙方的采购项目被投诉成立的（即广东省财政厅出具的关于该采购项目的投诉处理决定中被判定为投诉成立的，以广东省政府采购网发布的公告或通报为准）。</w:t>
      </w:r>
    </w:p>
    <w:p>
      <w:pPr>
        <w:widowControl/>
        <w:spacing w:line="360" w:lineRule="auto"/>
        <w:jc w:val="left"/>
        <w:outlineLvl w:val="1"/>
        <w:rPr>
          <w:rFonts w:ascii="宋体" w:hAnsi="宋体" w:cs="Arial"/>
          <w:b/>
          <w:spacing w:val="-6"/>
          <w:sz w:val="24"/>
          <w:szCs w:val="20"/>
        </w:rPr>
      </w:pPr>
      <w:bookmarkStart w:id="90" w:name="_Toc23814"/>
      <w:bookmarkStart w:id="91" w:name="_Toc26033"/>
      <w:r>
        <w:rPr>
          <w:rFonts w:hint="eastAsia" w:ascii="宋体" w:hAnsi="宋体" w:cs="Arial"/>
          <w:b/>
          <w:spacing w:val="-6"/>
          <w:sz w:val="24"/>
          <w:szCs w:val="20"/>
        </w:rPr>
        <w:t>五、项目质量评价、年度考核及中期考核</w:t>
      </w:r>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eastAsia="zh-CN"/>
        </w:rPr>
        <w:t>、</w:t>
      </w:r>
      <w:r>
        <w:rPr>
          <w:rFonts w:hint="eastAsia" w:hAnsi="宋体"/>
          <w:sz w:val="24"/>
          <w:szCs w:val="20"/>
        </w:rPr>
        <w:t>项目质量评价：</w:t>
      </w:r>
      <w:r>
        <w:rPr>
          <w:rFonts w:hint="eastAsia" w:ascii="宋体" w:hAnsi="宋体" w:cs="宋体"/>
          <w:kern w:val="0"/>
          <w:sz w:val="24"/>
          <w:szCs w:val="20"/>
        </w:rPr>
        <w:t>每个项目完成后，甲方对承担项目的代理机构的服务质量进行评价，获得项目质量评价分。该分数作为年度考核与中期考核的计算依据，若考核期间委托项目数为零，则该代理机构不参与考核。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0"/>
        </w:rPr>
      </w:pPr>
      <w:r>
        <w:rPr>
          <w:rFonts w:hint="eastAsia" w:ascii="宋体" w:hAnsi="宋体" w:cs="宋体"/>
          <w:kern w:val="0"/>
          <w:sz w:val="24"/>
          <w:szCs w:val="20"/>
        </w:rPr>
        <w:t>2</w:t>
      </w:r>
      <w:r>
        <w:rPr>
          <w:rFonts w:hint="eastAsia" w:ascii="宋体" w:hAnsi="宋体" w:cs="宋体"/>
          <w:kern w:val="0"/>
          <w:sz w:val="24"/>
          <w:szCs w:val="20"/>
          <w:lang w:eastAsia="zh-CN"/>
        </w:rPr>
        <w:t>、</w:t>
      </w:r>
      <w:r>
        <w:rPr>
          <w:rFonts w:hint="eastAsia" w:ascii="宋体" w:hAnsi="宋体" w:cs="宋体"/>
          <w:kern w:val="0"/>
          <w:sz w:val="24"/>
          <w:szCs w:val="20"/>
        </w:rPr>
        <w:t>年度考核：年度考核得分以各代理机构在本服务年度内的项目质量评价总得分除以其受托项目数计算。年度考核不合格（低于60分）者，终止服务合同。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0"/>
        </w:rPr>
      </w:pPr>
      <w:r>
        <w:rPr>
          <w:rFonts w:ascii="宋体" w:hAnsi="宋体" w:cs="宋体"/>
          <w:kern w:val="0"/>
          <w:sz w:val="24"/>
          <w:szCs w:val="20"/>
        </w:rPr>
        <w:t>3</w:t>
      </w:r>
      <w:r>
        <w:rPr>
          <w:rFonts w:hint="eastAsia" w:ascii="宋体" w:hAnsi="宋体" w:cs="宋体"/>
          <w:kern w:val="0"/>
          <w:sz w:val="24"/>
          <w:szCs w:val="20"/>
          <w:lang w:eastAsia="zh-CN"/>
        </w:rPr>
        <w:t>、</w:t>
      </w:r>
      <w:r>
        <w:rPr>
          <w:rFonts w:hint="eastAsia" w:ascii="宋体" w:hAnsi="宋体" w:cs="宋体"/>
          <w:kern w:val="0"/>
          <w:sz w:val="24"/>
          <w:szCs w:val="20"/>
        </w:rPr>
        <w:t>中期考核：合同期内服务至第六个季度时，若有效合同期内的招标代理机构数不少于3家，则在剔除年度考核不合格代理机构后，按各代理机构的项目质量评价平均得分（服务期内的项目质量评价总得分除以受托项目数）由高至低进行排序，淘汰排名末位的代理机构（若最低得分相同，则淘汰本次遴选项目评审综合得分较低者），终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0"/>
        </w:rPr>
      </w:pPr>
      <w:r>
        <w:rPr>
          <w:rFonts w:hint="eastAsia" w:ascii="宋体" w:hAnsi="宋体" w:cs="宋体"/>
          <w:kern w:val="0"/>
          <w:sz w:val="24"/>
          <w:szCs w:val="20"/>
        </w:rPr>
        <w:t>4</w:t>
      </w:r>
      <w:r>
        <w:rPr>
          <w:rFonts w:hint="eastAsia" w:ascii="宋体" w:hAnsi="宋体" w:cs="宋体"/>
          <w:kern w:val="0"/>
          <w:sz w:val="24"/>
          <w:szCs w:val="20"/>
          <w:lang w:eastAsia="zh-CN"/>
        </w:rPr>
        <w:t>、</w:t>
      </w:r>
      <w:r>
        <w:rPr>
          <w:rFonts w:hint="eastAsia" w:ascii="宋体" w:hAnsi="宋体" w:cs="宋体"/>
          <w:kern w:val="0"/>
          <w:sz w:val="24"/>
          <w:szCs w:val="20"/>
        </w:rPr>
        <w:t>年度考核和中期考核期间，乙方组织非甲方委托的招标采购项目被投诉成立的（即广东省财政厅出具的关于该采购项目的投诉处理决定中被判定为投诉成立的，以广东省政府采购网发布的公告或通报时间为准），每个投诉项目扣除考核分10分。</w:t>
      </w:r>
    </w:p>
    <w:p>
      <w:pPr>
        <w:topLinePunct/>
        <w:spacing w:before="156" w:beforeLines="50" w:line="360" w:lineRule="auto"/>
        <w:outlineLvl w:val="1"/>
        <w:rPr>
          <w:rFonts w:hint="eastAsia" w:ascii="宋体" w:hAnsi="宋体" w:cs="Arial"/>
          <w:b/>
          <w:spacing w:val="-6"/>
          <w:sz w:val="24"/>
          <w:szCs w:val="20"/>
        </w:rPr>
      </w:pPr>
      <w:bookmarkStart w:id="92" w:name="_Toc28380"/>
      <w:bookmarkStart w:id="93" w:name="_Toc29940"/>
      <w:r>
        <w:rPr>
          <w:rFonts w:hint="eastAsia" w:ascii="宋体" w:hAnsi="宋体" w:cs="Arial"/>
          <w:b/>
          <w:spacing w:val="-6"/>
          <w:sz w:val="24"/>
          <w:szCs w:val="20"/>
        </w:rPr>
        <w:t>六、争议解决方式</w:t>
      </w:r>
      <w:bookmarkEnd w:id="92"/>
      <w:bookmarkEnd w:id="9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0"/>
        </w:rPr>
      </w:pPr>
      <w:r>
        <w:rPr>
          <w:rFonts w:hint="eastAsia" w:ascii="宋体" w:hAnsi="宋体" w:cs="宋体"/>
          <w:kern w:val="0"/>
          <w:sz w:val="24"/>
          <w:szCs w:val="20"/>
        </w:rPr>
        <w:t>签约双方在履约中发生争执和分歧，双方应通过友好协商解决，若经协商不能达成协议时，则由合同签订地人民法院提起诉讼。受理期间，双方应继续执行合同其余部分</w:t>
      </w:r>
      <w:r>
        <w:rPr>
          <w:rFonts w:hint="eastAsia" w:ascii="宋体" w:hAnsi="宋体" w:cs="宋体"/>
          <w:kern w:val="0"/>
          <w:sz w:val="24"/>
          <w:szCs w:val="20"/>
          <w:lang w:eastAsia="zh-CN"/>
        </w:rPr>
        <w:t>。</w:t>
      </w:r>
    </w:p>
    <w:p>
      <w:pPr>
        <w:topLinePunct/>
        <w:spacing w:before="156" w:beforeLines="50" w:line="360" w:lineRule="auto"/>
        <w:outlineLvl w:val="1"/>
        <w:rPr>
          <w:rFonts w:ascii="宋体" w:hAnsi="宋体" w:cs="Arial"/>
          <w:b/>
          <w:spacing w:val="-6"/>
          <w:sz w:val="24"/>
          <w:szCs w:val="20"/>
        </w:rPr>
      </w:pPr>
      <w:bookmarkStart w:id="94" w:name="_Toc13335"/>
      <w:bookmarkStart w:id="95" w:name="_Toc24132"/>
      <w:r>
        <w:rPr>
          <w:rFonts w:hint="eastAsia" w:ascii="宋体" w:hAnsi="宋体" w:cs="Arial"/>
          <w:b/>
          <w:spacing w:val="-6"/>
          <w:sz w:val="24"/>
          <w:szCs w:val="20"/>
        </w:rPr>
        <w:t>七、合同生效、失效与终止</w:t>
      </w:r>
      <w:bookmarkEnd w:id="94"/>
      <w:bookmarkEnd w:id="9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1</w:t>
      </w:r>
      <w:r>
        <w:rPr>
          <w:rFonts w:hint="eastAsia" w:ascii="宋体" w:hAnsi="宋体"/>
          <w:sz w:val="24"/>
          <w:szCs w:val="20"/>
          <w:lang w:eastAsia="zh-CN"/>
        </w:rPr>
        <w:t>、</w:t>
      </w:r>
      <w:r>
        <w:rPr>
          <w:rFonts w:hint="eastAsia" w:ascii="宋体" w:hAnsi="宋体"/>
          <w:sz w:val="24"/>
          <w:szCs w:val="20"/>
        </w:rPr>
        <w:t>合同生效：合同经双方授权代表签字并经单位盖章后生效。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2</w:t>
      </w:r>
      <w:r>
        <w:rPr>
          <w:rFonts w:hint="eastAsia" w:ascii="宋体" w:hAnsi="宋体"/>
          <w:sz w:val="24"/>
          <w:szCs w:val="20"/>
          <w:lang w:eastAsia="zh-CN"/>
        </w:rPr>
        <w:t>、</w:t>
      </w:r>
      <w:r>
        <w:rPr>
          <w:rFonts w:hint="eastAsia" w:ascii="宋体" w:hAnsi="宋体"/>
          <w:sz w:val="24"/>
          <w:szCs w:val="20"/>
        </w:rPr>
        <w:t>如果由于人力不可抗拒的因素而造成合同终止履行。乙方在收到有关证明后，立即停止相关的服务。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3</w:t>
      </w:r>
      <w:r>
        <w:rPr>
          <w:rFonts w:hint="eastAsia" w:ascii="宋体" w:hAnsi="宋体"/>
          <w:sz w:val="24"/>
          <w:szCs w:val="20"/>
          <w:lang w:eastAsia="zh-CN"/>
        </w:rPr>
        <w:t>、</w:t>
      </w:r>
      <w:r>
        <w:rPr>
          <w:rFonts w:hint="eastAsia" w:ascii="宋体" w:hAnsi="宋体"/>
          <w:sz w:val="24"/>
          <w:szCs w:val="20"/>
        </w:rPr>
        <w:t>因一方原因导致合同无法继续履行时，应及时通知另一方，征得另一方同意后终止合同，并由责任方赔偿对方由此造成的经济损失。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4</w:t>
      </w:r>
      <w:r>
        <w:rPr>
          <w:rFonts w:hint="eastAsia" w:ascii="宋体" w:hAnsi="宋体"/>
          <w:sz w:val="24"/>
          <w:szCs w:val="20"/>
          <w:lang w:eastAsia="zh-CN"/>
        </w:rPr>
        <w:t>、</w:t>
      </w:r>
      <w:r>
        <w:rPr>
          <w:rFonts w:hint="eastAsia" w:ascii="宋体" w:hAnsi="宋体"/>
          <w:sz w:val="24"/>
          <w:szCs w:val="20"/>
        </w:rPr>
        <w:t>如果甲方或乙方严重违反合同条款，则合同的另一方可终止合同，并及时通知对方。违约方应当赔偿守约方因此造成的损失。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5</w:t>
      </w:r>
      <w:r>
        <w:rPr>
          <w:rFonts w:hint="eastAsia" w:ascii="宋体" w:hAnsi="宋体"/>
          <w:sz w:val="24"/>
          <w:szCs w:val="20"/>
          <w:lang w:eastAsia="zh-CN"/>
        </w:rPr>
        <w:t>、</w:t>
      </w:r>
      <w:r>
        <w:rPr>
          <w:rFonts w:hint="eastAsia" w:ascii="宋体" w:hAnsi="宋体"/>
          <w:sz w:val="24"/>
          <w:szCs w:val="20"/>
        </w:rPr>
        <w:t>如果协议终止后，协议中的保密条款等按其性质仍应有效的相关条款，双方均应继续严格遵守并保留追究相对方违反保密等义务的法律责任的权利。</w:t>
      </w:r>
    </w:p>
    <w:p>
      <w:pPr>
        <w:topLinePunct/>
        <w:spacing w:before="156" w:beforeLines="50" w:line="360" w:lineRule="auto"/>
        <w:outlineLvl w:val="1"/>
        <w:rPr>
          <w:rFonts w:ascii="宋体" w:hAnsi="宋体" w:cs="Arial"/>
          <w:b/>
          <w:spacing w:val="-6"/>
          <w:sz w:val="24"/>
          <w:szCs w:val="20"/>
        </w:rPr>
      </w:pPr>
      <w:bookmarkStart w:id="96" w:name="_Toc5378"/>
      <w:bookmarkStart w:id="97" w:name="_Toc530"/>
      <w:r>
        <w:rPr>
          <w:rFonts w:hint="eastAsia" w:ascii="宋体" w:hAnsi="宋体" w:cs="Arial"/>
          <w:b/>
          <w:spacing w:val="-6"/>
          <w:sz w:val="24"/>
          <w:szCs w:val="20"/>
        </w:rPr>
        <w:t>八、其他约定条款</w:t>
      </w:r>
      <w:bookmarkEnd w:id="96"/>
      <w:bookmarkEnd w:id="9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1</w:t>
      </w:r>
      <w:r>
        <w:rPr>
          <w:rFonts w:hint="eastAsia" w:ascii="宋体" w:hAnsi="宋体"/>
          <w:sz w:val="24"/>
          <w:szCs w:val="20"/>
          <w:lang w:eastAsia="zh-CN"/>
        </w:rPr>
        <w:t>、</w:t>
      </w:r>
      <w:r>
        <w:rPr>
          <w:rFonts w:hint="eastAsia" w:ascii="宋体" w:hAnsi="宋体"/>
          <w:sz w:val="24"/>
          <w:szCs w:val="20"/>
        </w:rPr>
        <w:t>中标通知书、遴选文件、响应文件及本合同之所有附件均为组成部分，与本合同具有同等法律效力，解释的顺序以文件生成时间在后的为准。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2</w:t>
      </w:r>
      <w:r>
        <w:rPr>
          <w:rFonts w:hint="eastAsia" w:ascii="宋体" w:hAnsi="宋体"/>
          <w:sz w:val="24"/>
          <w:szCs w:val="20"/>
          <w:lang w:eastAsia="zh-CN"/>
        </w:rPr>
        <w:t>、</w:t>
      </w:r>
      <w:r>
        <w:rPr>
          <w:rFonts w:hint="eastAsia" w:ascii="宋体" w:hAnsi="宋体"/>
          <w:sz w:val="24"/>
          <w:szCs w:val="20"/>
        </w:rPr>
        <w:t>在执行本合同的过程中，所有经甲乙双方签署确认的文件（包括会议纪要、补充协议、合同修改书、往来信函等）均为本合同的有效组成部分，其生效日期为双方均签字盖章或确认之日。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3</w:t>
      </w:r>
      <w:r>
        <w:rPr>
          <w:rFonts w:hint="eastAsia" w:ascii="宋体" w:hAnsi="宋体"/>
          <w:sz w:val="24"/>
          <w:szCs w:val="20"/>
          <w:lang w:eastAsia="zh-CN"/>
        </w:rPr>
        <w:t>、</w:t>
      </w:r>
      <w:r>
        <w:rPr>
          <w:rFonts w:hint="eastAsia" w:ascii="宋体" w:hAnsi="宋体"/>
          <w:sz w:val="24"/>
          <w:szCs w:val="20"/>
        </w:rPr>
        <w:t>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0"/>
        </w:rPr>
      </w:pPr>
      <w:r>
        <w:rPr>
          <w:rFonts w:hint="eastAsia" w:ascii="宋体" w:hAnsi="宋体"/>
          <w:sz w:val="24"/>
          <w:szCs w:val="20"/>
        </w:rPr>
        <w:t>4</w:t>
      </w:r>
      <w:r>
        <w:rPr>
          <w:rFonts w:hint="eastAsia" w:ascii="宋体" w:hAnsi="宋体"/>
          <w:sz w:val="24"/>
          <w:szCs w:val="20"/>
          <w:lang w:eastAsia="zh-CN"/>
        </w:rPr>
        <w:t>、</w:t>
      </w:r>
      <w:r>
        <w:rPr>
          <w:rFonts w:hint="eastAsia" w:ascii="宋体" w:hAnsi="宋体"/>
          <w:sz w:val="24"/>
          <w:szCs w:val="20"/>
        </w:rPr>
        <w:t>本合同书一式肆份，均为正本，具有同等法律效力，甲乙双方各执贰份。</w:t>
      </w:r>
    </w:p>
    <w:p>
      <w:pPr>
        <w:spacing w:line="360" w:lineRule="auto"/>
        <w:rPr>
          <w:rFonts w:ascii="宋体" w:hAnsi="宋体"/>
          <w:sz w:val="24"/>
          <w:szCs w:val="20"/>
        </w:rPr>
      </w:pPr>
    </w:p>
    <w:p>
      <w:pPr>
        <w:spacing w:line="360" w:lineRule="auto"/>
        <w:rPr>
          <w:rFonts w:ascii="宋体" w:hAnsi="宋体"/>
          <w:sz w:val="24"/>
          <w:szCs w:val="20"/>
        </w:rPr>
      </w:pPr>
      <w:r>
        <w:rPr>
          <w:rFonts w:hint="eastAsia" w:ascii="宋体" w:hAnsi="宋体"/>
          <w:sz w:val="24"/>
          <w:szCs w:val="20"/>
        </w:rPr>
        <w:t>以下无正文。</w:t>
      </w:r>
    </w:p>
    <w:p>
      <w:pPr>
        <w:widowControl/>
        <w:spacing w:line="360" w:lineRule="auto"/>
        <w:jc w:val="left"/>
        <w:rPr>
          <w:rFonts w:ascii="宋体" w:hAnsi="宋体"/>
          <w:sz w:val="24"/>
          <w:szCs w:val="20"/>
        </w:rPr>
      </w:pPr>
    </w:p>
    <w:p>
      <w:pPr>
        <w:topLinePunct/>
        <w:spacing w:line="360" w:lineRule="auto"/>
        <w:rPr>
          <w:rFonts w:hint="eastAsia" w:ascii="宋体" w:hAnsi="宋体"/>
          <w:sz w:val="24"/>
          <w:szCs w:val="20"/>
          <w:lang w:eastAsia="zh-CN"/>
        </w:rPr>
      </w:pPr>
      <w:r>
        <w:rPr>
          <w:rFonts w:hint="eastAsia" w:ascii="宋体" w:hAnsi="宋体"/>
          <w:sz w:val="24"/>
          <w:szCs w:val="20"/>
        </w:rPr>
        <w:t>甲方（盖章）：</w:t>
      </w:r>
      <w:r>
        <w:rPr>
          <w:rFonts w:hint="eastAsia" w:ascii="宋体" w:hAnsi="宋体"/>
          <w:sz w:val="24"/>
          <w:szCs w:val="20"/>
          <w:lang w:eastAsia="zh-CN"/>
        </w:rPr>
        <w:t>汕头大学·香港中文大学联合</w:t>
      </w:r>
      <w:r>
        <w:rPr>
          <w:rFonts w:hint="eastAsia" w:ascii="宋体" w:hAnsi="宋体"/>
          <w:sz w:val="24"/>
          <w:szCs w:val="20"/>
          <w:lang w:val="en-US" w:eastAsia="zh-CN"/>
        </w:rPr>
        <w:t xml:space="preserve">       </w:t>
      </w:r>
      <w:r>
        <w:rPr>
          <w:rFonts w:hint="eastAsia" w:ascii="宋体" w:hAnsi="宋体"/>
          <w:sz w:val="24"/>
          <w:szCs w:val="20"/>
        </w:rPr>
        <w:t xml:space="preserve">乙方（盖章）： </w:t>
      </w:r>
    </w:p>
    <w:p>
      <w:pPr>
        <w:topLinePunct/>
        <w:spacing w:line="360" w:lineRule="auto"/>
        <w:ind w:firstLine="2160" w:firstLineChars="900"/>
        <w:rPr>
          <w:rFonts w:ascii="宋体" w:hAnsi="宋体"/>
          <w:sz w:val="24"/>
          <w:szCs w:val="20"/>
        </w:rPr>
      </w:pPr>
      <w:r>
        <w:rPr>
          <w:rFonts w:hint="eastAsia" w:ascii="宋体" w:hAnsi="宋体"/>
          <w:sz w:val="24"/>
          <w:szCs w:val="20"/>
          <w:lang w:eastAsia="zh-CN"/>
        </w:rPr>
        <w:t>汕头国际眼科中心</w:t>
      </w:r>
      <w:r>
        <w:rPr>
          <w:rFonts w:hint="eastAsia" w:ascii="宋体" w:hAnsi="宋体"/>
          <w:sz w:val="24"/>
          <w:szCs w:val="20"/>
        </w:rPr>
        <w:t xml:space="preserve">       </w:t>
      </w:r>
    </w:p>
    <w:p>
      <w:pPr>
        <w:topLinePunct/>
        <w:spacing w:line="360" w:lineRule="auto"/>
        <w:rPr>
          <w:rFonts w:ascii="宋体" w:hAnsi="宋体"/>
          <w:sz w:val="24"/>
          <w:szCs w:val="20"/>
        </w:rPr>
      </w:pPr>
    </w:p>
    <w:p>
      <w:pPr>
        <w:topLinePunct/>
        <w:spacing w:line="360" w:lineRule="auto"/>
        <w:rPr>
          <w:rFonts w:ascii="宋体" w:hAnsi="宋体"/>
          <w:sz w:val="24"/>
          <w:szCs w:val="20"/>
        </w:rPr>
      </w:pPr>
      <w:r>
        <w:rPr>
          <w:rFonts w:hint="eastAsia" w:ascii="宋体" w:hAnsi="宋体"/>
          <w:sz w:val="24"/>
          <w:szCs w:val="20"/>
        </w:rPr>
        <w:t xml:space="preserve">代表：                                    </w:t>
      </w:r>
      <w:r>
        <w:rPr>
          <w:rFonts w:hint="eastAsia" w:ascii="宋体" w:hAnsi="宋体"/>
          <w:sz w:val="24"/>
          <w:szCs w:val="20"/>
          <w:lang w:val="en-US" w:eastAsia="zh-CN"/>
        </w:rPr>
        <w:t xml:space="preserve">    </w:t>
      </w:r>
      <w:r>
        <w:rPr>
          <w:rFonts w:hint="eastAsia" w:ascii="宋体" w:hAnsi="宋体"/>
          <w:sz w:val="24"/>
          <w:szCs w:val="20"/>
        </w:rPr>
        <w:t xml:space="preserve">代表： </w:t>
      </w:r>
    </w:p>
    <w:p>
      <w:pPr>
        <w:widowControl/>
        <w:wordWrap w:val="0"/>
        <w:spacing w:line="360" w:lineRule="auto"/>
        <w:rPr>
          <w:rFonts w:ascii="宋体" w:hAnsi="宋体"/>
          <w:sz w:val="24"/>
          <w:szCs w:val="20"/>
        </w:rPr>
      </w:pPr>
    </w:p>
    <w:p>
      <w:pPr>
        <w:widowControl/>
        <w:wordWrap w:val="0"/>
        <w:spacing w:line="360" w:lineRule="auto"/>
        <w:rPr>
          <w:rFonts w:ascii="宋体" w:hAnsi="宋体"/>
          <w:sz w:val="24"/>
          <w:szCs w:val="20"/>
        </w:rPr>
      </w:pPr>
      <w:r>
        <w:rPr>
          <w:rFonts w:hint="eastAsia" w:ascii="宋体" w:hAnsi="宋体"/>
          <w:sz w:val="24"/>
          <w:szCs w:val="20"/>
        </w:rPr>
        <w:t>签约时间：   年  月  日                       签约时间：   年  月  日</w:t>
      </w:r>
    </w:p>
    <w:p>
      <w:pPr>
        <w:rPr>
          <w:rFonts w:hint="default" w:ascii="宋体" w:hAnsi="宋体" w:eastAsia="宋体"/>
          <w:sz w:val="28"/>
          <w:szCs w:val="21"/>
          <w:lang w:val="en-US" w:eastAsia="zh-CN"/>
        </w:rPr>
      </w:pPr>
      <w:r>
        <w:rPr>
          <w:rFonts w:hint="default" w:ascii="宋体" w:hAnsi="宋体" w:eastAsia="宋体"/>
          <w:sz w:val="28"/>
          <w:szCs w:val="21"/>
          <w:lang w:val="en-US" w:eastAsia="zh-CN"/>
        </w:rPr>
        <w:br w:type="page"/>
      </w:r>
    </w:p>
    <w:p>
      <w:pPr>
        <w:numPr>
          <w:ilvl w:val="0"/>
          <w:numId w:val="3"/>
        </w:numPr>
        <w:jc w:val="center"/>
        <w:outlineLvl w:val="0"/>
        <w:rPr>
          <w:rFonts w:hint="default" w:ascii="黑体" w:hAnsi="黑体" w:eastAsia="黑体"/>
          <w:b/>
          <w:sz w:val="32"/>
          <w:szCs w:val="32"/>
          <w:lang w:val="en-US" w:eastAsia="zh-CN"/>
        </w:rPr>
      </w:pPr>
      <w:bookmarkStart w:id="98" w:name="_Toc18137"/>
      <w:r>
        <w:rPr>
          <w:rFonts w:hint="eastAsia" w:ascii="黑体" w:hAnsi="黑体" w:eastAsia="黑体"/>
          <w:b/>
          <w:sz w:val="32"/>
          <w:szCs w:val="32"/>
          <w:lang w:val="en-US" w:eastAsia="zh-CN"/>
        </w:rPr>
        <w:t>响应文件格式</w:t>
      </w:r>
      <w:bookmarkEnd w:id="98"/>
    </w:p>
    <w:p>
      <w:pPr>
        <w:bidi w:val="0"/>
        <w:rPr>
          <w:rFonts w:hint="default" w:ascii="Times New Roman" w:hAnsi="Times New Roman" w:eastAsia="宋体" w:cs="Times New Roman"/>
          <w:kern w:val="2"/>
          <w:sz w:val="28"/>
          <w:szCs w:val="24"/>
          <w:lang w:val="en-US" w:eastAsia="zh-CN" w:bidi="ar-SA"/>
        </w:rPr>
      </w:pPr>
    </w:p>
    <w:p>
      <w:pPr>
        <w:bidi w:val="0"/>
        <w:rPr>
          <w:rFonts w:hint="default"/>
          <w:lang w:val="en-US" w:eastAsia="zh-CN"/>
        </w:rPr>
      </w:pPr>
    </w:p>
    <w:p>
      <w:pPr>
        <w:bidi w:val="0"/>
        <w:rPr>
          <w:rFonts w:hint="default"/>
          <w:lang w:val="en-US" w:eastAsia="zh-CN"/>
        </w:rPr>
      </w:pPr>
    </w:p>
    <w:p>
      <w:pPr>
        <w:autoSpaceDE w:val="0"/>
        <w:autoSpaceDN w:val="0"/>
        <w:adjustRightInd w:val="0"/>
        <w:spacing w:line="0" w:lineRule="atLeast"/>
        <w:jc w:val="center"/>
        <w:outlineLvl w:val="0"/>
        <w:rPr>
          <w:rFonts w:ascii="宋体" w:hAnsi="宋体"/>
          <w:b/>
          <w:sz w:val="84"/>
          <w:szCs w:val="84"/>
        </w:rPr>
      </w:pPr>
      <w:r>
        <w:rPr>
          <w:rFonts w:hint="eastAsia"/>
          <w:lang w:val="en-US" w:eastAsia="zh-CN"/>
        </w:rPr>
        <w:tab/>
      </w:r>
      <w:bookmarkStart w:id="99" w:name="_Toc30025"/>
      <w:bookmarkStart w:id="100" w:name="_Toc16460"/>
      <w:r>
        <w:rPr>
          <w:rFonts w:hint="eastAsia" w:ascii="宋体" w:hAnsi="宋体"/>
          <w:b/>
          <w:sz w:val="84"/>
          <w:szCs w:val="84"/>
        </w:rPr>
        <w:t>响应文件</w:t>
      </w:r>
      <w:bookmarkEnd w:id="99"/>
      <w:bookmarkEnd w:id="100"/>
    </w:p>
    <w:p>
      <w:pPr>
        <w:spacing w:line="0" w:lineRule="atLeast"/>
        <w:jc w:val="center"/>
        <w:outlineLvl w:val="0"/>
        <w:rPr>
          <w:rFonts w:ascii="宋体" w:hAnsi="宋体"/>
          <w:sz w:val="47"/>
        </w:rPr>
      </w:pPr>
      <w:bookmarkStart w:id="101" w:name="_Toc13179"/>
      <w:bookmarkStart w:id="102" w:name="_Toc7920"/>
      <w:r>
        <w:rPr>
          <w:rFonts w:hint="eastAsia" w:ascii="宋体" w:hAnsi="宋体"/>
          <w:sz w:val="47"/>
        </w:rPr>
        <w:t>（正本/副本）</w:t>
      </w:r>
      <w:bookmarkEnd w:id="101"/>
      <w:bookmarkEnd w:id="102"/>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9" w:firstLineChars="398"/>
        <w:rPr>
          <w:rFonts w:ascii="宋体" w:hAnsi="宋体"/>
          <w:b/>
          <w:bCs/>
          <w:sz w:val="24"/>
        </w:rPr>
      </w:pPr>
    </w:p>
    <w:p>
      <w:pPr>
        <w:pStyle w:val="22"/>
        <w:widowControl/>
        <w:shd w:val="clear" w:color="auto" w:fill="FFFFFF"/>
        <w:spacing w:beforeAutospacing="0" w:afterAutospacing="0" w:line="30" w:lineRule="atLeast"/>
        <w:ind w:left="2880" w:hanging="2880" w:hangingChars="800"/>
        <w:jc w:val="both"/>
        <w:textAlignment w:val="baseline"/>
        <w:outlineLvl w:val="0"/>
        <w:rPr>
          <w:rFonts w:ascii="宋体" w:hAnsi="宋体"/>
          <w:sz w:val="36"/>
        </w:rPr>
      </w:pPr>
      <w:bookmarkStart w:id="103" w:name="_Toc16704"/>
      <w:bookmarkStart w:id="104" w:name="_Toc22024"/>
      <w:r>
        <w:rPr>
          <w:rFonts w:hint="eastAsia" w:ascii="宋体" w:hAnsi="宋体"/>
          <w:sz w:val="36"/>
        </w:rPr>
        <w:t>项目名称：</w:t>
      </w:r>
      <w:r>
        <w:rPr>
          <w:rFonts w:hint="eastAsia" w:ascii="宋体" w:hAnsi="宋体"/>
          <w:sz w:val="36"/>
          <w:lang w:eastAsia="zh-CN"/>
        </w:rPr>
        <w:t>汕头大学·香港中文大学联合汕头国际眼科中心</w:t>
      </w:r>
      <w:r>
        <w:rPr>
          <w:rFonts w:hint="eastAsia" w:ascii="宋体" w:hAnsi="宋体"/>
          <w:sz w:val="36"/>
        </w:rPr>
        <w:t>采购招标代理服务机构遴选项目</w:t>
      </w:r>
      <w:bookmarkEnd w:id="103"/>
      <w:bookmarkEnd w:id="104"/>
    </w:p>
    <w:p>
      <w:pPr>
        <w:tabs>
          <w:tab w:val="left" w:pos="284"/>
          <w:tab w:val="left" w:pos="851"/>
        </w:tabs>
        <w:spacing w:line="480" w:lineRule="auto"/>
        <w:ind w:firstLine="360" w:firstLineChars="100"/>
        <w:jc w:val="center"/>
        <w:rPr>
          <w:rFonts w:ascii="宋体" w:hAnsi="宋体"/>
          <w:sz w:val="36"/>
        </w:rPr>
      </w:pPr>
    </w:p>
    <w:p>
      <w:pPr>
        <w:pStyle w:val="22"/>
        <w:widowControl/>
        <w:shd w:val="clear" w:color="auto" w:fill="FFFFFF"/>
        <w:spacing w:beforeAutospacing="0" w:afterAutospacing="0" w:line="30" w:lineRule="atLeast"/>
        <w:jc w:val="both"/>
        <w:textAlignment w:val="baseline"/>
        <w:outlineLvl w:val="0"/>
        <w:rPr>
          <w:rFonts w:hint="eastAsia" w:ascii="宋体" w:hAnsi="宋体" w:eastAsia="宋体"/>
          <w:sz w:val="36"/>
          <w:lang w:eastAsia="zh-CN"/>
        </w:rPr>
      </w:pPr>
      <w:bookmarkStart w:id="105" w:name="_Toc14580"/>
      <w:bookmarkStart w:id="106" w:name="_Toc27136"/>
      <w:r>
        <w:rPr>
          <w:rFonts w:hint="eastAsia" w:ascii="宋体" w:hAnsi="宋体"/>
          <w:sz w:val="36"/>
        </w:rPr>
        <w:t>项目编号：</w:t>
      </w:r>
      <w:bookmarkEnd w:id="105"/>
      <w:r>
        <w:rPr>
          <w:rFonts w:hint="eastAsia" w:ascii="宋体" w:hAnsi="宋体" w:eastAsia="宋体" w:cs="宋体"/>
          <w:sz w:val="36"/>
          <w:szCs w:val="36"/>
          <w:u w:val="none"/>
        </w:rPr>
        <w:t>E03Y00099</w:t>
      </w:r>
      <w:bookmarkEnd w:id="106"/>
      <w:r>
        <w:rPr>
          <w:rFonts w:hint="eastAsia" w:ascii="宋体" w:hAnsi="宋体"/>
          <w:sz w:val="36"/>
          <w:u w:val="none"/>
          <w:lang w:eastAsia="zh-CN"/>
        </w:rPr>
        <w:t xml:space="preserve">   </w:t>
      </w:r>
      <w:r>
        <w:rPr>
          <w:rFonts w:hint="eastAsia" w:ascii="宋体" w:hAnsi="宋体"/>
          <w:sz w:val="36"/>
          <w:lang w:eastAsia="zh-CN"/>
        </w:rPr>
        <w:t xml:space="preserve">                    </w:t>
      </w:r>
    </w:p>
    <w:p>
      <w:pPr>
        <w:tabs>
          <w:tab w:val="left" w:pos="284"/>
          <w:tab w:val="left" w:pos="851"/>
        </w:tabs>
        <w:spacing w:line="0" w:lineRule="atLeast"/>
        <w:ind w:firstLine="360" w:firstLineChars="100"/>
        <w:rPr>
          <w:rFonts w:ascii="宋体" w:hAnsi="宋体"/>
          <w:sz w:val="36"/>
        </w:rPr>
      </w:pPr>
    </w:p>
    <w:p>
      <w:pPr>
        <w:spacing w:line="0" w:lineRule="atLeast"/>
        <w:jc w:val="center"/>
        <w:rPr>
          <w:rFonts w:ascii="宋体" w:hAnsi="宋体"/>
          <w:sz w:val="47"/>
        </w:rPr>
      </w:pPr>
    </w:p>
    <w:p>
      <w:pPr>
        <w:adjustRightInd w:val="0"/>
        <w:snapToGrid w:val="0"/>
        <w:spacing w:line="0" w:lineRule="atLeast"/>
        <w:jc w:val="center"/>
        <w:rPr>
          <w:rFonts w:ascii="宋体" w:hAnsi="宋体"/>
          <w:b/>
          <w:kern w:val="0"/>
          <w:sz w:val="28"/>
          <w:szCs w:val="28"/>
        </w:rPr>
      </w:pPr>
    </w:p>
    <w:p>
      <w:pPr>
        <w:tabs>
          <w:tab w:val="left" w:pos="284"/>
          <w:tab w:val="left" w:pos="851"/>
        </w:tabs>
        <w:spacing w:line="0" w:lineRule="atLeast"/>
        <w:ind w:firstLine="720" w:firstLineChars="200"/>
        <w:jc w:val="left"/>
        <w:rPr>
          <w:rFonts w:ascii="宋体" w:hAnsi="宋体"/>
          <w:sz w:val="36"/>
        </w:rPr>
      </w:pPr>
    </w:p>
    <w:p>
      <w:pPr>
        <w:tabs>
          <w:tab w:val="left" w:pos="284"/>
          <w:tab w:val="left" w:pos="851"/>
        </w:tabs>
        <w:spacing w:line="360" w:lineRule="auto"/>
        <w:jc w:val="left"/>
        <w:rPr>
          <w:rFonts w:hint="eastAsia" w:ascii="宋体" w:hAnsi="宋体"/>
          <w:sz w:val="28"/>
          <w:szCs w:val="28"/>
        </w:rPr>
      </w:pPr>
    </w:p>
    <w:p>
      <w:pPr>
        <w:tabs>
          <w:tab w:val="left" w:pos="284"/>
          <w:tab w:val="left" w:pos="851"/>
        </w:tabs>
        <w:spacing w:line="360" w:lineRule="auto"/>
        <w:jc w:val="left"/>
        <w:rPr>
          <w:rFonts w:hint="eastAsia" w:ascii="宋体" w:hAnsi="宋体"/>
          <w:sz w:val="28"/>
          <w:szCs w:val="28"/>
        </w:rPr>
      </w:pPr>
    </w:p>
    <w:p>
      <w:pPr>
        <w:tabs>
          <w:tab w:val="left" w:pos="284"/>
          <w:tab w:val="left" w:pos="851"/>
        </w:tabs>
        <w:spacing w:line="360" w:lineRule="auto"/>
        <w:jc w:val="left"/>
        <w:outlineLvl w:val="0"/>
        <w:rPr>
          <w:rFonts w:ascii="宋体" w:hAnsi="宋体"/>
          <w:b/>
          <w:sz w:val="28"/>
          <w:szCs w:val="28"/>
          <w:u w:val="single"/>
        </w:rPr>
      </w:pPr>
      <w:bookmarkStart w:id="107" w:name="_Toc11118"/>
      <w:bookmarkStart w:id="108" w:name="_Toc16543"/>
      <w:r>
        <w:rPr>
          <w:rFonts w:hint="eastAsia" w:ascii="宋体" w:hAnsi="宋体"/>
          <w:sz w:val="28"/>
          <w:szCs w:val="28"/>
        </w:rPr>
        <w:t>供应商名称：</w:t>
      </w:r>
      <w:bookmarkEnd w:id="107"/>
      <w:bookmarkEnd w:id="108"/>
    </w:p>
    <w:p>
      <w:pPr>
        <w:tabs>
          <w:tab w:val="left" w:pos="284"/>
          <w:tab w:val="left" w:pos="851"/>
        </w:tabs>
        <w:spacing w:line="360" w:lineRule="auto"/>
        <w:jc w:val="left"/>
        <w:outlineLvl w:val="0"/>
        <w:rPr>
          <w:rFonts w:ascii="宋体" w:hAnsi="宋体"/>
          <w:sz w:val="28"/>
          <w:szCs w:val="28"/>
        </w:rPr>
      </w:pPr>
      <w:bookmarkStart w:id="109" w:name="_Toc32057"/>
      <w:bookmarkStart w:id="110" w:name="_Toc24213"/>
      <w:r>
        <w:rPr>
          <w:rFonts w:hint="eastAsia" w:ascii="宋体" w:hAnsi="宋体"/>
          <w:sz w:val="28"/>
          <w:szCs w:val="28"/>
        </w:rPr>
        <w:t>供应商地址：</w:t>
      </w:r>
      <w:bookmarkEnd w:id="109"/>
      <w:bookmarkEnd w:id="110"/>
    </w:p>
    <w:p>
      <w:pPr>
        <w:spacing w:line="360" w:lineRule="auto"/>
        <w:outlineLvl w:val="0"/>
        <w:rPr>
          <w:rFonts w:ascii="宋体" w:hAnsi="宋体"/>
          <w:sz w:val="28"/>
          <w:szCs w:val="28"/>
        </w:rPr>
      </w:pPr>
      <w:bookmarkStart w:id="111" w:name="_Toc3425"/>
      <w:bookmarkStart w:id="112" w:name="_Toc20606"/>
      <w:r>
        <w:rPr>
          <w:rFonts w:hint="eastAsia" w:ascii="宋体" w:hAnsi="宋体"/>
          <w:sz w:val="28"/>
          <w:szCs w:val="28"/>
        </w:rPr>
        <w:t>响应文件递交时间：年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bookmarkEnd w:id="111"/>
      <w:bookmarkEnd w:id="112"/>
    </w:p>
    <w:p>
      <w:pPr>
        <w:rPr>
          <w:rFonts w:hint="eastAsia" w:ascii="宋体" w:hAnsi="宋体"/>
          <w:sz w:val="28"/>
          <w:szCs w:val="28"/>
        </w:rPr>
      </w:pPr>
      <w:r>
        <w:rPr>
          <w:rFonts w:hint="eastAsia" w:ascii="宋体" w:hAnsi="宋体"/>
          <w:sz w:val="28"/>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13" w:name="_Toc15219"/>
      <w:bookmarkStart w:id="114" w:name="_Toc32617"/>
      <w:bookmarkStart w:id="115" w:name="_Toc74753325"/>
      <w:bookmarkStart w:id="116" w:name="_Toc17304"/>
      <w:r>
        <w:rPr>
          <w:rFonts w:hint="eastAsia" w:ascii="宋体" w:hAnsi="宋体" w:eastAsia="宋体" w:cs="宋体"/>
          <w:sz w:val="24"/>
          <w:szCs w:val="24"/>
        </w:rPr>
        <w:t>一、自查表</w:t>
      </w:r>
      <w:bookmarkEnd w:id="113"/>
      <w:bookmarkEnd w:id="114"/>
      <w:bookmarkEnd w:id="115"/>
      <w:bookmarkEnd w:id="116"/>
    </w:p>
    <w:p>
      <w:pPr>
        <w:spacing w:line="0" w:lineRule="atLeast"/>
        <w:jc w:val="center"/>
        <w:rPr>
          <w:rFonts w:hint="eastAsia" w:ascii="宋体" w:hAnsi="宋体" w:eastAsia="宋体" w:cs="宋体"/>
          <w:b/>
          <w:bCs/>
          <w:sz w:val="24"/>
          <w:szCs w:val="20"/>
        </w:rPr>
      </w:pPr>
      <w:r>
        <w:rPr>
          <w:rFonts w:hint="eastAsia" w:ascii="宋体" w:hAnsi="宋体" w:eastAsia="宋体" w:cs="宋体"/>
          <w:b/>
          <w:bCs/>
          <w:sz w:val="24"/>
          <w:szCs w:val="20"/>
        </w:rPr>
        <w:t>资格自查表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6"/>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9" w:type="pct"/>
            <w:noWrap w:val="0"/>
            <w:vAlign w:val="center"/>
          </w:tcPr>
          <w:p>
            <w:pPr>
              <w:spacing w:line="0" w:lineRule="atLeast"/>
              <w:ind w:firstLine="22" w:firstLineChars="9"/>
              <w:jc w:val="center"/>
              <w:rPr>
                <w:rFonts w:hint="eastAsia" w:ascii="宋体" w:hAnsi="宋体" w:eastAsia="宋体" w:cs="宋体"/>
                <w:b/>
                <w:bCs/>
                <w:sz w:val="24"/>
                <w:szCs w:val="24"/>
              </w:rPr>
            </w:pPr>
            <w:r>
              <w:rPr>
                <w:rFonts w:hint="eastAsia" w:ascii="宋体" w:hAnsi="宋体" w:eastAsia="宋体" w:cs="宋体"/>
                <w:b/>
                <w:bCs/>
                <w:sz w:val="24"/>
                <w:szCs w:val="24"/>
              </w:rPr>
              <w:t>遴选文件要求</w:t>
            </w:r>
          </w:p>
        </w:tc>
        <w:tc>
          <w:tcPr>
            <w:tcW w:w="775" w:type="pct"/>
            <w:noWrap w:val="0"/>
            <w:vAlign w:val="center"/>
          </w:tcPr>
          <w:p>
            <w:pPr>
              <w:spacing w:line="0" w:lineRule="atLeast"/>
              <w:ind w:right="-238" w:rightChars="-85"/>
              <w:jc w:val="center"/>
              <w:rPr>
                <w:rFonts w:hint="eastAsia" w:ascii="宋体" w:hAnsi="宋体" w:eastAsia="宋体" w:cs="宋体"/>
                <w:b/>
                <w:bCs/>
                <w:sz w:val="24"/>
                <w:szCs w:val="24"/>
              </w:rPr>
            </w:pPr>
            <w:r>
              <w:rPr>
                <w:rFonts w:hint="eastAsia" w:ascii="宋体" w:hAnsi="宋体" w:eastAsia="宋体" w:cs="宋体"/>
                <w:b/>
                <w:bCs/>
                <w:sz w:val="24"/>
                <w:szCs w:val="24"/>
              </w:rPr>
              <w:t>自查结论</w:t>
            </w:r>
          </w:p>
        </w:tc>
        <w:tc>
          <w:tcPr>
            <w:tcW w:w="775" w:type="pct"/>
            <w:noWrap w:val="0"/>
            <w:vAlign w:val="center"/>
          </w:tcPr>
          <w:p>
            <w:pPr>
              <w:spacing w:line="0" w:lineRule="atLeast"/>
              <w:jc w:val="center"/>
              <w:rPr>
                <w:rFonts w:hint="eastAsia" w:ascii="宋体" w:hAnsi="宋体" w:eastAsia="宋体" w:cs="宋体"/>
                <w:b/>
                <w:bCs/>
                <w:sz w:val="24"/>
                <w:szCs w:val="24"/>
              </w:rPr>
            </w:pPr>
            <w:r>
              <w:rPr>
                <w:rFonts w:hint="eastAsia" w:ascii="宋体" w:hAnsi="宋体" w:eastAsia="宋体" w:cs="宋体"/>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具有独立承担民事责任能力的在中华人民共和国境内注册的法人或其他组织（提供有效的营业执照/或事业法人登记证等相关证明的副本复印件）。</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具有良好的商业信誉和健全的财务会计制度（提供2020年财务报告复印件或2021年内由基本开户行出具的资信证明复印件）。</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有依法缴纳税收和社会保障资金的良好记录（提供响应截止日前6个月内任意1个月依法缴纳税收和社会保障资金的相关材料。如依法免税或不需要缴纳社会保障资金的，提供相应证明材料）。</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已在中国政府采购网广东分网完成政府采购代理机构网上登记、纳入政府采购代理机构名录（提供纳入政府采购代理机构名录的截图）。</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网站截图，以遴选截止日当天遴选人在“信用中国”网站及中国政府采购网查询结果为准，如相关失信记录已失效，供应商需提供相关证明资料）。</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参加本遴选活动前三年内，在经营活动中没有重大违法记录（以响应函相关承诺格式内容响应）。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单位负责人为同一人或者存在直接控股、管理关系的不同供应商，不得同时参加本遴选项目（以响应函相关承诺格式内容响应）。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法律、行政法规规定的其他条件（以响应函相关承诺格式内容响应）。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已在遴选公告规定时间内向</w:t>
            </w:r>
            <w:r>
              <w:rPr>
                <w:rFonts w:hint="eastAsia" w:ascii="宋体" w:hAnsi="宋体" w:eastAsia="宋体" w:cs="宋体"/>
                <w:sz w:val="24"/>
                <w:szCs w:val="24"/>
                <w:lang w:eastAsia="zh-CN"/>
              </w:rPr>
              <w:t>汕头大学·香港中文大学联合汕头国际眼科中心</w:t>
            </w:r>
            <w:r>
              <w:rPr>
                <w:rFonts w:hint="eastAsia" w:ascii="宋体" w:hAnsi="宋体" w:cs="宋体"/>
                <w:sz w:val="24"/>
                <w:szCs w:val="24"/>
                <w:lang w:eastAsia="zh-CN"/>
              </w:rPr>
              <w:t>纪检办</w:t>
            </w:r>
            <w:r>
              <w:rPr>
                <w:rFonts w:hint="eastAsia" w:ascii="宋体" w:hAnsi="宋体" w:eastAsia="宋体" w:cs="宋体"/>
                <w:sz w:val="24"/>
                <w:szCs w:val="24"/>
              </w:rPr>
              <w:t>报名。</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9" w:type="pct"/>
            <w:noWrap w:val="0"/>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本项目不接受联合体供应商参加（以响应函相关承诺格式内容响应）。</w:t>
            </w:r>
          </w:p>
        </w:tc>
        <w:tc>
          <w:tcPr>
            <w:tcW w:w="775"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jc w:val="left"/>
              <w:rPr>
                <w:rFonts w:hint="eastAsia" w:ascii="宋体" w:hAnsi="宋体" w:eastAsia="宋体" w:cs="宋体"/>
                <w:sz w:val="24"/>
                <w:szCs w:val="24"/>
              </w:rPr>
            </w:pPr>
            <w:r>
              <w:rPr>
                <w:rFonts w:hint="eastAsia" w:ascii="宋体" w:hAnsi="宋体" w:eastAsia="宋体" w:cs="宋体"/>
                <w:sz w:val="24"/>
                <w:szCs w:val="24"/>
              </w:rPr>
              <w:t>□不通过</w:t>
            </w:r>
          </w:p>
        </w:tc>
        <w:tc>
          <w:tcPr>
            <w:tcW w:w="775"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见响应文件第( )页</w:t>
            </w:r>
          </w:p>
        </w:tc>
      </w:tr>
    </w:tbl>
    <w:p>
      <w:pPr>
        <w:pStyle w:val="11"/>
        <w:spacing w:line="0" w:lineRule="atLeast"/>
        <w:rPr>
          <w:rFonts w:hint="eastAsia" w:ascii="宋体" w:hAnsi="宋体" w:eastAsia="宋体" w:cs="宋体"/>
          <w:sz w:val="22"/>
          <w:szCs w:val="22"/>
        </w:rPr>
      </w:pPr>
      <w:r>
        <w:rPr>
          <w:rFonts w:hint="eastAsia" w:ascii="宋体" w:hAnsi="宋体" w:eastAsia="宋体" w:cs="宋体"/>
          <w:sz w:val="22"/>
          <w:szCs w:val="22"/>
        </w:rPr>
        <w:t>注：以上材料将作为供应商资格审核的重要内容之一，供应商必须严格按照其内容及序列要求在响应文件中对应如实提供，对缺漏和不符合项将会直接导致无效响应！在对应的□打“√”。</w:t>
      </w:r>
    </w:p>
    <w:p>
      <w:pPr>
        <w:pStyle w:val="11"/>
        <w:spacing w:line="0" w:lineRule="atLeast"/>
        <w:rPr>
          <w:sz w:val="21"/>
          <w:szCs w:val="21"/>
        </w:rPr>
      </w:pPr>
    </w:p>
    <w:p>
      <w:pPr>
        <w:adjustRightInd w:val="0"/>
        <w:snapToGrid w:val="0"/>
        <w:spacing w:line="480" w:lineRule="auto"/>
        <w:rPr>
          <w:rFonts w:ascii="宋体" w:hAnsi="宋体"/>
          <w:sz w:val="24"/>
          <w:szCs w:val="20"/>
          <w:u w:val="single"/>
        </w:rPr>
      </w:pPr>
      <w:r>
        <w:rPr>
          <w:rFonts w:hint="eastAsia" w:ascii="宋体" w:hAnsi="宋体"/>
          <w:sz w:val="24"/>
          <w:szCs w:val="20"/>
        </w:rPr>
        <w:t>供应商法定代表人（或法定代表人授权代表）签字：</w:t>
      </w:r>
    </w:p>
    <w:p>
      <w:pPr>
        <w:tabs>
          <w:tab w:val="center" w:pos="4535"/>
        </w:tabs>
        <w:bidi w:val="0"/>
        <w:jc w:val="left"/>
        <w:rPr>
          <w:rFonts w:hint="eastAsia" w:ascii="宋体" w:hAnsi="宋体"/>
          <w:sz w:val="24"/>
          <w:szCs w:val="20"/>
        </w:rPr>
      </w:pPr>
      <w:r>
        <w:rPr>
          <w:rFonts w:hint="eastAsia" w:ascii="宋体" w:hAnsi="宋体"/>
          <w:sz w:val="24"/>
          <w:szCs w:val="20"/>
        </w:rPr>
        <w:t>供应商名称（加盖公章）：</w:t>
      </w:r>
    </w:p>
    <w:p>
      <w:pPr>
        <w:rPr>
          <w:rFonts w:hint="eastAsia" w:ascii="宋体" w:hAnsi="宋体"/>
          <w:sz w:val="24"/>
          <w:szCs w:val="20"/>
        </w:rPr>
      </w:pPr>
      <w:r>
        <w:rPr>
          <w:rFonts w:hint="eastAsia" w:ascii="宋体" w:hAnsi="宋体"/>
          <w:sz w:val="24"/>
          <w:szCs w:val="20"/>
        </w:rPr>
        <w:br w:type="page"/>
      </w:r>
    </w:p>
    <w:p>
      <w:pPr>
        <w:spacing w:line="0" w:lineRule="atLeast"/>
        <w:jc w:val="center"/>
        <w:rPr>
          <w:rFonts w:ascii="宋体" w:hAnsi="宋体"/>
          <w:b/>
          <w:bCs/>
          <w:sz w:val="24"/>
          <w:szCs w:val="20"/>
        </w:rPr>
      </w:pPr>
      <w:r>
        <w:rPr>
          <w:rFonts w:hint="eastAsia" w:ascii="宋体" w:hAnsi="宋体"/>
          <w:b/>
          <w:bCs/>
          <w:sz w:val="24"/>
          <w:szCs w:val="20"/>
        </w:rPr>
        <w:t>符合性自查表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5"/>
        <w:gridCol w:w="12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pct"/>
            <w:noWrap w:val="0"/>
            <w:vAlign w:val="center"/>
          </w:tcPr>
          <w:p>
            <w:pPr>
              <w:spacing w:line="0" w:lineRule="atLeast"/>
              <w:ind w:firstLine="22" w:firstLineChars="9"/>
              <w:jc w:val="center"/>
              <w:rPr>
                <w:rFonts w:hint="eastAsia" w:ascii="宋体" w:hAnsi="宋体" w:eastAsia="宋体" w:cs="宋体"/>
                <w:b/>
                <w:bCs/>
                <w:sz w:val="24"/>
                <w:szCs w:val="24"/>
              </w:rPr>
            </w:pPr>
            <w:r>
              <w:rPr>
                <w:rFonts w:hint="eastAsia" w:ascii="宋体" w:hAnsi="宋体" w:eastAsia="宋体" w:cs="宋体"/>
                <w:b/>
                <w:bCs/>
                <w:sz w:val="24"/>
                <w:szCs w:val="24"/>
              </w:rPr>
              <w:t>遴选文件要求</w:t>
            </w:r>
          </w:p>
        </w:tc>
        <w:tc>
          <w:tcPr>
            <w:tcW w:w="679" w:type="pct"/>
            <w:noWrap w:val="0"/>
            <w:vAlign w:val="center"/>
          </w:tcPr>
          <w:p>
            <w:pPr>
              <w:spacing w:line="0" w:lineRule="atLeast"/>
              <w:jc w:val="center"/>
              <w:rPr>
                <w:rFonts w:hint="eastAsia" w:ascii="宋体" w:hAnsi="宋体" w:eastAsia="宋体" w:cs="宋体"/>
                <w:b/>
                <w:bCs/>
                <w:sz w:val="24"/>
                <w:szCs w:val="24"/>
              </w:rPr>
            </w:pPr>
            <w:r>
              <w:rPr>
                <w:rFonts w:hint="eastAsia" w:ascii="宋体" w:hAnsi="宋体" w:eastAsia="宋体" w:cs="宋体"/>
                <w:b/>
                <w:bCs/>
                <w:sz w:val="24"/>
                <w:szCs w:val="24"/>
              </w:rPr>
              <w:t>自查结论</w:t>
            </w:r>
          </w:p>
        </w:tc>
        <w:tc>
          <w:tcPr>
            <w:tcW w:w="1184" w:type="pct"/>
            <w:noWrap w:val="0"/>
            <w:vAlign w:val="center"/>
          </w:tcPr>
          <w:p>
            <w:pPr>
              <w:spacing w:line="0" w:lineRule="atLeast"/>
              <w:ind w:right="-238" w:rightChars="-85"/>
              <w:jc w:val="center"/>
              <w:rPr>
                <w:rFonts w:hint="eastAsia" w:ascii="宋体" w:hAnsi="宋体" w:eastAsia="宋体" w:cs="宋体"/>
                <w:b/>
                <w:bCs/>
                <w:sz w:val="24"/>
                <w:szCs w:val="24"/>
              </w:rPr>
            </w:pPr>
            <w:r>
              <w:rPr>
                <w:rFonts w:hint="eastAsia" w:ascii="宋体" w:hAnsi="宋体" w:eastAsia="宋体" w:cs="宋体"/>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136"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已提交响应函，并按对应格式文件签署、盖章。</w:t>
            </w:r>
          </w:p>
        </w:tc>
        <w:tc>
          <w:tcPr>
            <w:tcW w:w="679"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3136"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已提交法定代表人证明书及授权委托书（按对应格式文件签署、盖章）。</w:t>
            </w:r>
            <w:r>
              <w:rPr>
                <w:rFonts w:hint="eastAsia" w:ascii="宋体" w:hAnsi="宋体" w:eastAsia="宋体" w:cs="宋体"/>
                <w:bCs/>
                <w:sz w:val="24"/>
                <w:szCs w:val="24"/>
              </w:rPr>
              <w:t>以非独立法人注册的分公司名义代表总公司申请的，须提供具有法人资格的总公司的营业执照复印件及总公司针对本项目参与的授权书。</w:t>
            </w:r>
          </w:p>
        </w:tc>
        <w:tc>
          <w:tcPr>
            <w:tcW w:w="679"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响应文件内容完整，无重大错漏，并按要求签署、盖章。</w:t>
            </w:r>
          </w:p>
        </w:tc>
        <w:tc>
          <w:tcPr>
            <w:tcW w:w="679" w:type="pct"/>
            <w:noWrap w:val="0"/>
            <w:vAlign w:val="center"/>
          </w:tcPr>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ind w:right="-238" w:rightChars="-85"/>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响应有效期为递交响应文件的截止之日起不少于90天。</w:t>
            </w:r>
          </w:p>
        </w:tc>
        <w:tc>
          <w:tcPr>
            <w:tcW w:w="679"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标注“★”的实质性响应条款满足遴选文件要求。</w:t>
            </w:r>
          </w:p>
        </w:tc>
        <w:tc>
          <w:tcPr>
            <w:tcW w:w="679"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pStyle w:val="11"/>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响应文件内容完整，无重大错漏，并按要求签署、盖章。</w:t>
            </w:r>
          </w:p>
        </w:tc>
        <w:tc>
          <w:tcPr>
            <w:tcW w:w="679"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pStyle w:val="11"/>
              <w:spacing w:line="0" w:lineRule="atLeast"/>
              <w:ind w:left="48" w:leftChars="17"/>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未含有遴选人不可接受的附加条件。</w:t>
            </w:r>
          </w:p>
        </w:tc>
        <w:tc>
          <w:tcPr>
            <w:tcW w:w="679"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36" w:type="pct"/>
            <w:noWrap w:val="0"/>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未出现遴选文件所列的视为串通投标情形。</w:t>
            </w:r>
          </w:p>
        </w:tc>
        <w:tc>
          <w:tcPr>
            <w:tcW w:w="679" w:type="pct"/>
            <w:noWrap w:val="0"/>
            <w:vAlign w:val="center"/>
          </w:tcPr>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□通过</w:t>
            </w:r>
          </w:p>
          <w:p>
            <w:pPr>
              <w:spacing w:line="0" w:lineRule="atLeast"/>
              <w:ind w:left="53" w:leftChars="19"/>
              <w:rPr>
                <w:rFonts w:hint="eastAsia" w:ascii="宋体" w:hAnsi="宋体" w:eastAsia="宋体" w:cs="宋体"/>
                <w:sz w:val="24"/>
                <w:szCs w:val="24"/>
              </w:rPr>
            </w:pPr>
            <w:r>
              <w:rPr>
                <w:rFonts w:hint="eastAsia" w:ascii="宋体" w:hAnsi="宋体" w:eastAsia="宋体" w:cs="宋体"/>
                <w:sz w:val="24"/>
                <w:szCs w:val="24"/>
              </w:rPr>
              <w:t>□不通过</w:t>
            </w:r>
          </w:p>
        </w:tc>
        <w:tc>
          <w:tcPr>
            <w:tcW w:w="1184" w:type="pct"/>
            <w:noWrap w:val="0"/>
            <w:vAlign w:val="center"/>
          </w:tcPr>
          <w:p>
            <w:pPr>
              <w:pStyle w:val="11"/>
              <w:spacing w:line="0" w:lineRule="atLeast"/>
              <w:rPr>
                <w:rFonts w:hint="eastAsia" w:ascii="宋体" w:hAnsi="宋体" w:eastAsia="宋体" w:cs="宋体"/>
                <w:sz w:val="24"/>
                <w:szCs w:val="24"/>
              </w:rPr>
            </w:pPr>
            <w:r>
              <w:rPr>
                <w:rFonts w:hint="eastAsia" w:ascii="宋体" w:hAnsi="宋体" w:eastAsia="宋体" w:cs="宋体"/>
                <w:sz w:val="24"/>
                <w:szCs w:val="24"/>
              </w:rPr>
              <w:t>见投标文件第( )页</w:t>
            </w:r>
          </w:p>
        </w:tc>
      </w:tr>
    </w:tbl>
    <w:p>
      <w:pPr>
        <w:pStyle w:val="11"/>
        <w:spacing w:line="0" w:lineRule="atLeast"/>
        <w:rPr>
          <w:rFonts w:hint="eastAsia" w:ascii="宋体" w:hAnsi="宋体" w:eastAsia="宋体" w:cs="宋体"/>
          <w:sz w:val="22"/>
          <w:szCs w:val="22"/>
        </w:rPr>
      </w:pPr>
      <w:r>
        <w:rPr>
          <w:rFonts w:hint="eastAsia" w:ascii="宋体" w:hAnsi="宋体" w:eastAsia="宋体" w:cs="宋体"/>
          <w:sz w:val="22"/>
          <w:szCs w:val="22"/>
        </w:rPr>
        <w:t>注：以上材料将作为供应商符合性审核的重要内容之一，供应商必须严格按照其内容及序列要求在投标文件中对应如实提供，对缺漏和不符合项将会直接导致无效投标！在对应的□打“√”。</w:t>
      </w:r>
    </w:p>
    <w:p>
      <w:pPr>
        <w:pStyle w:val="11"/>
        <w:spacing w:line="0" w:lineRule="atLeast"/>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u w:val="single"/>
        </w:rPr>
      </w:pPr>
      <w:r>
        <w:rPr>
          <w:rFonts w:hint="eastAsia" w:ascii="宋体" w:hAnsi="宋体" w:eastAsia="宋体" w:cs="宋体"/>
          <w:sz w:val="24"/>
          <w:szCs w:val="24"/>
        </w:rPr>
        <w:t>供应商法定代表人（或法定代表人授权代表）签字：</w:t>
      </w:r>
    </w:p>
    <w:p>
      <w:pPr>
        <w:adjustRightInd w:val="0"/>
        <w:snapToGrid w:val="0"/>
        <w:spacing w:line="480" w:lineRule="auto"/>
        <w:rPr>
          <w:rFonts w:hint="eastAsia" w:ascii="宋体" w:hAnsi="宋体" w:eastAsia="宋体" w:cs="宋体"/>
          <w:sz w:val="24"/>
          <w:szCs w:val="24"/>
          <w:u w:val="single"/>
        </w:rPr>
      </w:pPr>
      <w:r>
        <w:rPr>
          <w:rFonts w:hint="eastAsia" w:ascii="宋体" w:hAnsi="宋体" w:eastAsia="宋体" w:cs="宋体"/>
          <w:sz w:val="24"/>
          <w:szCs w:val="24"/>
        </w:rPr>
        <w:t>供应商名称（加盖公章）：</w:t>
      </w:r>
    </w:p>
    <w:p>
      <w:pPr>
        <w:rPr>
          <w:rFonts w:hint="eastAsia" w:hAnsi="宋体"/>
          <w:szCs w:val="28"/>
        </w:rPr>
      </w:pPr>
      <w:bookmarkStart w:id="117" w:name="_Toc74753326"/>
      <w:r>
        <w:rPr>
          <w:rFonts w:hint="eastAsia" w:hAnsi="宋体"/>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18" w:name="_Toc31644"/>
      <w:bookmarkStart w:id="119" w:name="_Toc3831"/>
      <w:bookmarkStart w:id="120" w:name="_Toc2276"/>
      <w:r>
        <w:rPr>
          <w:rFonts w:hint="eastAsia" w:ascii="宋体" w:hAnsi="宋体" w:eastAsia="宋体" w:cs="宋体"/>
          <w:sz w:val="24"/>
          <w:szCs w:val="24"/>
        </w:rPr>
        <w:t>二、资格文件</w:t>
      </w:r>
      <w:bookmarkEnd w:id="117"/>
      <w:bookmarkEnd w:id="118"/>
      <w:bookmarkEnd w:id="119"/>
      <w:bookmarkEnd w:id="120"/>
    </w:p>
    <w:p>
      <w:pPr>
        <w:pStyle w:val="12"/>
        <w:keepNext w:val="0"/>
        <w:keepLines w:val="0"/>
        <w:pageBreakBefore w:val="0"/>
        <w:widowControl w:val="0"/>
        <w:kinsoku/>
        <w:wordWrap/>
        <w:overflowPunct/>
        <w:topLinePunct w:val="0"/>
        <w:autoSpaceDE/>
        <w:autoSpaceDN/>
        <w:bidi w:val="0"/>
        <w:adjustRightInd/>
        <w:snapToGrid/>
        <w:spacing w:before="763" w:beforeLines="200" w:after="40" w:line="360" w:lineRule="auto"/>
        <w:ind w:left="0" w:leftChars="0" w:firstLine="0" w:firstLineChars="0"/>
        <w:jc w:val="left"/>
        <w:textAlignment w:val="auto"/>
        <w:rPr>
          <w:rFonts w:ascii="宋体" w:hAnsi="宋体"/>
          <w:b/>
          <w:sz w:val="24"/>
          <w:szCs w:val="24"/>
        </w:rPr>
      </w:pPr>
      <w:r>
        <w:rPr>
          <w:rFonts w:hint="eastAsia" w:ascii="宋体" w:hAnsi="宋体"/>
          <w:b/>
          <w:sz w:val="24"/>
          <w:szCs w:val="24"/>
        </w:rPr>
        <w:t>请依次附以下材料</w:t>
      </w:r>
    </w:p>
    <w:tbl>
      <w:tblPr>
        <w:tblStyle w:val="24"/>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0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营业执照（或事业单位法人证书等相关证明材料）复印件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0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2020年财务报告复印件或2021年内由基本开户行出具的资信证明材料复印件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0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依法缴纳税收相关证明材料复印件或依法免税证明材料复印件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0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依法缴纳社会保障资金的证明材料复印件或</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依法不需要缴纳社会保障资金证明材料复印件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801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纳入中国政府采购网广东分网政府采购代理机构名录截图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012" w:type="dxa"/>
            <w:noWrap w:val="0"/>
            <w:vAlign w:val="center"/>
          </w:tcPr>
          <w:p>
            <w:pPr>
              <w:widowControl/>
              <w:spacing w:line="360" w:lineRule="auto"/>
              <w:jc w:val="center"/>
              <w:rPr>
                <w:rFonts w:hint="eastAsia" w:ascii="宋体" w:hAnsi="宋体" w:eastAsia="宋体" w:cs="宋体"/>
                <w:i/>
                <w:sz w:val="24"/>
                <w:szCs w:val="24"/>
              </w:rPr>
            </w:pPr>
            <w:r>
              <w:rPr>
                <w:rFonts w:hint="eastAsia" w:ascii="宋体" w:hAnsi="宋体" w:eastAsia="宋体" w:cs="宋体"/>
                <w:sz w:val="24"/>
                <w:szCs w:val="24"/>
              </w:rPr>
              <w:t>“信用中国”网站查询结果截图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8012" w:type="dxa"/>
            <w:noWrap w:val="0"/>
            <w:vAlign w:val="center"/>
          </w:tcPr>
          <w:p>
            <w:pPr>
              <w:widowControl/>
              <w:spacing w:line="360" w:lineRule="auto"/>
              <w:jc w:val="center"/>
              <w:rPr>
                <w:rFonts w:hint="eastAsia" w:ascii="宋体" w:hAnsi="宋体" w:eastAsia="宋体" w:cs="宋体"/>
                <w:i/>
                <w:sz w:val="24"/>
                <w:szCs w:val="24"/>
              </w:rPr>
            </w:pPr>
            <w:r>
              <w:rPr>
                <w:rFonts w:hint="eastAsia" w:ascii="宋体" w:hAnsi="宋体" w:eastAsia="宋体" w:cs="宋体"/>
                <w:sz w:val="24"/>
                <w:szCs w:val="24"/>
              </w:rPr>
              <w:t>中国政府采购网站查询结果截图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012"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（供应商认为有必要的其它证明文件）</w:t>
            </w:r>
          </w:p>
        </w:tc>
      </w:tr>
    </w:tbl>
    <w:p>
      <w:pPr>
        <w:rPr>
          <w:rFonts w:hint="eastAsia" w:hAnsi="宋体"/>
          <w:szCs w:val="28"/>
        </w:rPr>
      </w:pPr>
      <w:bookmarkStart w:id="121" w:name="_Toc74753327"/>
      <w:r>
        <w:rPr>
          <w:rFonts w:hint="eastAsia" w:hAnsi="宋体"/>
          <w:szCs w:val="28"/>
        </w:rPr>
        <w:br w:type="page"/>
      </w:r>
    </w:p>
    <w:p>
      <w:pPr>
        <w:pStyle w:val="3"/>
        <w:numPr>
          <w:ilvl w:val="0"/>
          <w:numId w:val="0"/>
        </w:numPr>
        <w:tabs>
          <w:tab w:val="left" w:pos="576"/>
          <w:tab w:val="clear" w:pos="1085"/>
        </w:tabs>
        <w:rPr>
          <w:rFonts w:hint="eastAsia" w:ascii="宋体" w:hAnsi="宋体" w:eastAsia="宋体" w:cs="宋体"/>
          <w:sz w:val="24"/>
          <w:szCs w:val="24"/>
        </w:rPr>
      </w:pPr>
      <w:bookmarkStart w:id="122" w:name="_Toc15598"/>
      <w:bookmarkStart w:id="123" w:name="_Toc320"/>
      <w:bookmarkStart w:id="124" w:name="_Toc1095"/>
      <w:r>
        <w:rPr>
          <w:rFonts w:hint="eastAsia" w:ascii="宋体" w:hAnsi="宋体" w:eastAsia="宋体" w:cs="宋体"/>
          <w:sz w:val="24"/>
          <w:szCs w:val="24"/>
        </w:rPr>
        <w:t>三、符合性文件</w:t>
      </w:r>
      <w:bookmarkEnd w:id="121"/>
      <w:bookmarkEnd w:id="122"/>
      <w:bookmarkEnd w:id="123"/>
      <w:bookmarkEnd w:id="124"/>
    </w:p>
    <w:p>
      <w:pPr>
        <w:widowControl/>
        <w:tabs>
          <w:tab w:val="left" w:pos="284"/>
          <w:tab w:val="left" w:pos="851"/>
        </w:tabs>
        <w:spacing w:line="0" w:lineRule="atLeast"/>
        <w:jc w:val="center"/>
        <w:rPr>
          <w:rFonts w:ascii="宋体" w:hAnsi="宋体"/>
          <w:b/>
          <w:sz w:val="28"/>
          <w:szCs w:val="28"/>
        </w:rPr>
      </w:pPr>
    </w:p>
    <w:p>
      <w:pPr>
        <w:keepNext w:val="0"/>
        <w:keepLines w:val="0"/>
        <w:pageBreakBefore w:val="0"/>
        <w:widowControl/>
        <w:tabs>
          <w:tab w:val="left" w:pos="284"/>
          <w:tab w:val="left" w:pos="851"/>
        </w:tabs>
        <w:kinsoku/>
        <w:wordWrap/>
        <w:overflowPunct/>
        <w:topLinePunct w:val="0"/>
        <w:autoSpaceDE/>
        <w:autoSpaceDN/>
        <w:bidi w:val="0"/>
        <w:adjustRightInd/>
        <w:snapToGrid/>
        <w:spacing w:before="573" w:beforeLines="150" w:after="573" w:afterLines="150" w:line="0" w:lineRule="atLeast"/>
        <w:jc w:val="center"/>
        <w:textAlignment w:val="auto"/>
        <w:rPr>
          <w:rFonts w:ascii="宋体" w:hAnsi="宋体"/>
          <w:b/>
          <w:sz w:val="24"/>
          <w:szCs w:val="24"/>
        </w:rPr>
      </w:pPr>
      <w:r>
        <w:rPr>
          <w:rFonts w:hint="eastAsia" w:ascii="宋体" w:hAnsi="宋体"/>
          <w:b/>
          <w:sz w:val="24"/>
          <w:szCs w:val="24"/>
        </w:rPr>
        <w:t>响应函</w:t>
      </w:r>
    </w:p>
    <w:p>
      <w:pPr>
        <w:tabs>
          <w:tab w:val="left" w:pos="284"/>
          <w:tab w:val="left" w:pos="851"/>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汕头大学·香港中文大学联合汕头国际眼科中心</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根据贵院组织的</w:t>
      </w:r>
      <w:r>
        <w:rPr>
          <w:rFonts w:hint="eastAsia" w:ascii="宋体" w:hAnsi="宋体" w:eastAsia="宋体" w:cs="宋体"/>
          <w:color w:val="000000"/>
          <w:sz w:val="24"/>
          <w:szCs w:val="24"/>
          <w:u w:val="single"/>
          <w:shd w:val="clear" w:color="auto" w:fill="FFFFFF"/>
          <w:lang w:eastAsia="zh-CN"/>
        </w:rPr>
        <w:t>汕头大学·香港中文大学联合汕头国际眼科中心</w:t>
      </w:r>
      <w:r>
        <w:rPr>
          <w:rFonts w:hint="eastAsia" w:ascii="宋体" w:hAnsi="宋体" w:eastAsia="宋体" w:cs="宋体"/>
          <w:color w:val="000000"/>
          <w:sz w:val="24"/>
          <w:szCs w:val="24"/>
          <w:u w:val="single"/>
          <w:shd w:val="clear" w:color="auto" w:fill="FFFFFF"/>
        </w:rPr>
        <w:t>采购招标代理服务机构遴选项目，项目编号：</w:t>
      </w:r>
      <w:r>
        <w:rPr>
          <w:rFonts w:hint="eastAsia" w:ascii="宋体" w:hAnsi="宋体" w:eastAsia="宋体" w:cs="宋体"/>
          <w:color w:val="000000"/>
          <w:sz w:val="24"/>
          <w:szCs w:val="24"/>
          <w:u w:val="single"/>
          <w:shd w:val="clear" w:color="auto" w:fill="FFFFFF"/>
          <w:lang w:eastAsia="zh-CN"/>
        </w:rPr>
        <w:t xml:space="preserve">                          </w:t>
      </w:r>
      <w:r>
        <w:rPr>
          <w:rFonts w:hint="eastAsia" w:ascii="宋体" w:hAnsi="宋体" w:eastAsia="宋体" w:cs="宋体"/>
          <w:sz w:val="24"/>
          <w:szCs w:val="24"/>
        </w:rPr>
        <w:t>，我方愿参与遴选。</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我方确认收到贵院提供的</w:t>
      </w:r>
      <w:r>
        <w:rPr>
          <w:rFonts w:hint="eastAsia" w:ascii="宋体" w:hAnsi="宋体" w:eastAsia="宋体" w:cs="宋体"/>
          <w:color w:val="000000"/>
          <w:sz w:val="24"/>
          <w:szCs w:val="24"/>
          <w:u w:val="single"/>
          <w:shd w:val="clear" w:color="auto" w:fill="FFFFFF"/>
          <w:lang w:eastAsia="zh-CN"/>
        </w:rPr>
        <w:t>汕头大学·香港中文大学联合汕头国际眼科中心</w:t>
      </w:r>
      <w:r>
        <w:rPr>
          <w:rFonts w:hint="eastAsia" w:ascii="宋体" w:hAnsi="宋体" w:eastAsia="宋体" w:cs="宋体"/>
          <w:color w:val="000000"/>
          <w:sz w:val="24"/>
          <w:szCs w:val="24"/>
          <w:u w:val="single"/>
          <w:shd w:val="clear" w:color="auto" w:fill="FFFFFF"/>
        </w:rPr>
        <w:t>采购招标代理服务机构遴选项目</w:t>
      </w:r>
      <w:r>
        <w:rPr>
          <w:rFonts w:hint="eastAsia" w:ascii="宋体" w:hAnsi="宋体" w:eastAsia="宋体" w:cs="宋体"/>
          <w:sz w:val="24"/>
          <w:szCs w:val="24"/>
        </w:rPr>
        <w:t>遴选文件的全部内容。</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我方在参与遴选前已详细研究了遴选文件的所有内容，包括澄清、修改文件（如果</w:t>
      </w:r>
      <w:bookmarkStart w:id="125" w:name="_Toc270"/>
      <w:r>
        <w:rPr>
          <w:rFonts w:hint="eastAsia" w:ascii="宋体" w:hAnsi="宋体" w:eastAsia="宋体" w:cs="宋体"/>
          <w:sz w:val="24"/>
          <w:szCs w:val="24"/>
        </w:rPr>
        <w:t>有）和所有</w:t>
      </w:r>
      <w:bookmarkEnd w:id="125"/>
      <w:r>
        <w:rPr>
          <w:rFonts w:hint="eastAsia" w:ascii="宋体" w:hAnsi="宋体" w:eastAsia="宋体" w:cs="宋体"/>
          <w:sz w:val="24"/>
          <w:szCs w:val="24"/>
        </w:rPr>
        <w:t>已提供的参考资料以及有关附件，我方完全明白并认为此遴选文件没有倾向性，也不存在排斥潜在供应商的内容，我方同意遴选文件的相关条款，放弃对遴选文件提出误解和质疑的一切权力。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iCs/>
          <w:sz w:val="24"/>
          <w:szCs w:val="24"/>
          <w:u w:val="single"/>
        </w:rPr>
        <w:t>(供应商名称)</w:t>
      </w:r>
      <w:r>
        <w:rPr>
          <w:rFonts w:hint="eastAsia" w:ascii="宋体" w:hAnsi="宋体" w:eastAsia="宋体" w:cs="宋体"/>
          <w:i w:val="0"/>
          <w:iCs/>
          <w:sz w:val="24"/>
          <w:szCs w:val="24"/>
        </w:rPr>
        <w:t>正式授权</w:t>
      </w:r>
      <w:r>
        <w:rPr>
          <w:rFonts w:hint="eastAsia" w:ascii="宋体" w:hAnsi="宋体" w:eastAsia="宋体" w:cs="宋体"/>
          <w:i w:val="0"/>
          <w:iCs/>
          <w:sz w:val="24"/>
          <w:szCs w:val="24"/>
          <w:u w:val="single"/>
        </w:rPr>
        <w:t xml:space="preserve">(授权代表全名, 职务)  </w:t>
      </w:r>
      <w:r>
        <w:rPr>
          <w:rFonts w:hint="eastAsia" w:ascii="宋体" w:hAnsi="宋体" w:eastAsia="宋体" w:cs="宋体"/>
          <w:sz w:val="24"/>
          <w:szCs w:val="24"/>
        </w:rPr>
        <w:t>代表我方全权处理有关参加本遴选的一切事宜。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在此提交的响应文件，正本壹份，副本</w:t>
      </w:r>
      <w:r>
        <w:rPr>
          <w:rFonts w:hint="eastAsia" w:ascii="宋体" w:hAnsi="宋体" w:cs="宋体"/>
          <w:sz w:val="24"/>
          <w:szCs w:val="24"/>
          <w:lang w:val="en-US" w:eastAsia="zh-CN"/>
        </w:rPr>
        <w:t>柒</w:t>
      </w:r>
      <w:r>
        <w:rPr>
          <w:rFonts w:hint="eastAsia" w:ascii="宋体" w:hAnsi="宋体" w:eastAsia="宋体" w:cs="宋体"/>
          <w:sz w:val="24"/>
          <w:szCs w:val="24"/>
        </w:rPr>
        <w:t>份。</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我方已完全明白遴选文件的所有条款要求，并申明如下：</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本遴选文件的有效期为响应截止时间起90天。如中选，有效期将延至合同终止日为止。在此提交的资格证明文件均至响应截止日有效，如有在响应有效期内失效的，我方承诺在中选后补齐一切手续，保证所有资格证明文件能在签订遴选合同时直至遴选合同终止日有效。</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二</w:t>
      </w:r>
      <w:r>
        <w:rPr>
          <w:rFonts w:hint="eastAsia" w:ascii="宋体" w:hAnsi="宋体" w:eastAsia="宋体" w:cs="宋体"/>
          <w:sz w:val="24"/>
          <w:szCs w:val="24"/>
        </w:rPr>
        <w:t>）我方同意按照贵院可能提出的要求而提供与遴选有关的任何其它数据、信息或资料。</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三</w:t>
      </w:r>
      <w:r>
        <w:rPr>
          <w:rFonts w:hint="eastAsia" w:ascii="宋体" w:hAnsi="宋体" w:eastAsia="宋体" w:cs="宋体"/>
          <w:sz w:val="24"/>
          <w:szCs w:val="24"/>
        </w:rPr>
        <w:t>）我方如果中选，将保证履行遴选文件及其澄清、修改文件（如果有）中的全部责任和义务，按质、按量、按期完成遴选文件中规定的全部任务。</w:t>
      </w:r>
    </w:p>
    <w:p>
      <w:pPr>
        <w:pStyle w:val="13"/>
        <w:keepNext w:val="0"/>
        <w:keepLines w:val="0"/>
        <w:pageBreakBefore w:val="0"/>
        <w:widowControl w:val="0"/>
        <w:tabs>
          <w:tab w:val="left" w:pos="9360"/>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四</w:t>
      </w:r>
      <w:r>
        <w:rPr>
          <w:rFonts w:hint="eastAsia" w:ascii="宋体" w:hAnsi="宋体" w:eastAsia="宋体" w:cs="宋体"/>
          <w:sz w:val="24"/>
          <w:szCs w:val="24"/>
        </w:rPr>
        <w:t>）我方保证所提交的所有文件和全部说明是真实的和正确的。</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）我方承诺如下：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）我方参加本次遴选活动前3年内，在经营活动中没有重大违法记录。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）我方与其他响应供应商不存在单位负责人为同一人或者存在直接控股、管理关系。</w:t>
      </w:r>
    </w:p>
    <w:p>
      <w:pPr>
        <w:keepNext w:val="0"/>
        <w:keepLines w:val="0"/>
        <w:pageBreakBefore w:val="0"/>
        <w:widowControl w:val="0"/>
        <w:kinsoku/>
        <w:wordWrap/>
        <w:overflowPunct/>
        <w:topLinePunct w:val="0"/>
        <w:autoSpaceDE/>
        <w:autoSpaceDN/>
        <w:bidi w:val="0"/>
        <w:spacing w:line="360" w:lineRule="auto"/>
        <w:ind w:firstLine="530" w:firstLineChars="22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）我方未与其他供应商以联合体身份参加本项目遴选。</w:t>
      </w:r>
    </w:p>
    <w:p>
      <w:pPr>
        <w:keepNext w:val="0"/>
        <w:keepLines w:val="0"/>
        <w:pageBreakBefore w:val="0"/>
        <w:widowControl w:val="0"/>
        <w:kinsoku/>
        <w:wordWrap/>
        <w:overflowPunct/>
        <w:topLinePunct w:val="0"/>
        <w:autoSpaceDE/>
        <w:autoSpaceDN/>
        <w:bidi w:val="0"/>
        <w:spacing w:line="360" w:lineRule="auto"/>
        <w:ind w:firstLine="530" w:firstLineChars="22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以上内容如有虚假或与事实不符的，遴选小组可将我方做无效响应处理，我方愿意承担相应的法律责任。</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六</w:t>
      </w:r>
      <w:r>
        <w:rPr>
          <w:rFonts w:hint="eastAsia" w:ascii="宋体" w:hAnsi="宋体" w:eastAsia="宋体" w:cs="宋体"/>
          <w:sz w:val="24"/>
          <w:szCs w:val="24"/>
        </w:rPr>
        <w:t>）我方对在本函及响应文件中所作的所有承诺承担法律责任。</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（七）所有与本遴选有关的函件请发往下列地址：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邮政编码：</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电    话：</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    真：</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代表姓名：</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职    务：</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响应供应商法定代表人（或法定代表人授权代表）签字或签章：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响应供应商名称（加盖公章）：</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年   月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spacing w:line="0" w:lineRule="atLeast"/>
        <w:jc w:val="center"/>
        <w:rPr>
          <w:rFonts w:ascii="宋体" w:hAnsi="宋体"/>
          <w:b/>
          <w:sz w:val="28"/>
          <w:szCs w:val="28"/>
        </w:rPr>
      </w:pPr>
      <w:r>
        <w:rPr>
          <w:rFonts w:hint="eastAsia" w:ascii="宋体" w:hAnsi="宋体"/>
          <w:b/>
          <w:sz w:val="28"/>
          <w:szCs w:val="28"/>
        </w:rPr>
        <w:t>法定代表人/负责人证明书</w:t>
      </w:r>
    </w:p>
    <w:p>
      <w:pPr>
        <w:pStyle w:val="8"/>
        <w:tabs>
          <w:tab w:val="left" w:pos="284"/>
          <w:tab w:val="left" w:pos="851"/>
        </w:tabs>
        <w:spacing w:line="360" w:lineRule="auto"/>
        <w:ind w:left="381" w:leftChars="136" w:firstLine="480"/>
        <w:jc w:val="left"/>
        <w:rPr>
          <w:rFonts w:ascii="宋体" w:hAnsi="宋体"/>
          <w:sz w:val="24"/>
        </w:rPr>
      </w:pP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汕头大学·香港中文大学联合汕头国际眼科中心</w:t>
      </w:r>
    </w:p>
    <w:p>
      <w:pPr>
        <w:spacing w:line="480" w:lineRule="auto"/>
        <w:ind w:firstLine="600" w:firstLineChars="250"/>
        <w:rPr>
          <w:rFonts w:ascii="宋体" w:hAnsi="宋体"/>
          <w:bCs/>
          <w:snapToGrid w:val="0"/>
          <w:kern w:val="0"/>
          <w:sz w:val="24"/>
        </w:rPr>
      </w:pPr>
      <w:r>
        <w:rPr>
          <w:rFonts w:hint="eastAsia" w:ascii="宋体" w:hAnsi="宋体"/>
          <w:bCs/>
          <w:snapToGrid w:val="0"/>
          <w:kern w:val="0"/>
          <w:sz w:val="24"/>
          <w:u w:val="single"/>
        </w:rPr>
        <w:t xml:space="preserve">                 </w:t>
      </w:r>
      <w:r>
        <w:rPr>
          <w:rFonts w:hint="eastAsia" w:ascii="宋体" w:hAnsi="宋体"/>
          <w:bCs/>
          <w:snapToGrid w:val="0"/>
          <w:kern w:val="0"/>
          <w:sz w:val="24"/>
        </w:rPr>
        <w:t>现任我单位</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职务，为法定代表人，特此证明。</w:t>
      </w:r>
    </w:p>
    <w:p>
      <w:pPr>
        <w:spacing w:line="480" w:lineRule="auto"/>
        <w:rPr>
          <w:rFonts w:ascii="宋体" w:hAnsi="宋体"/>
          <w:bCs/>
          <w:snapToGrid w:val="0"/>
          <w:kern w:val="0"/>
          <w:sz w:val="24"/>
        </w:rPr>
      </w:pPr>
      <w:r>
        <w:rPr>
          <w:rFonts w:hint="eastAsia" w:ascii="宋体" w:hAnsi="宋体"/>
          <w:bCs/>
          <w:snapToGrid w:val="0"/>
          <w:kern w:val="0"/>
          <w:sz w:val="24"/>
        </w:rPr>
        <w:t>有效期限：</w:t>
      </w:r>
      <w:r>
        <w:rPr>
          <w:rFonts w:hint="eastAsia" w:ascii="宋体" w:hAnsi="宋体"/>
          <w:bCs/>
          <w:snapToGrid w:val="0"/>
          <w:kern w:val="0"/>
          <w:sz w:val="24"/>
          <w:u w:val="single"/>
        </w:rPr>
        <w:t xml:space="preserve">                             </w:t>
      </w:r>
    </w:p>
    <w:p>
      <w:pPr>
        <w:spacing w:line="480" w:lineRule="auto"/>
        <w:rPr>
          <w:rFonts w:ascii="宋体" w:hAnsi="宋体"/>
          <w:bCs/>
          <w:snapToGrid w:val="0"/>
          <w:kern w:val="0"/>
          <w:sz w:val="24"/>
        </w:rPr>
      </w:pPr>
      <w:r>
        <w:rPr>
          <w:rFonts w:hint="eastAsia" w:ascii="宋体" w:hAnsi="宋体"/>
          <w:bCs/>
          <w:snapToGrid w:val="0"/>
          <w:kern w:val="0"/>
          <w:sz w:val="24"/>
        </w:rPr>
        <w:t>附：代表人性别：</w:t>
      </w:r>
      <w:r>
        <w:rPr>
          <w:rFonts w:hint="eastAsia" w:ascii="宋体" w:hAnsi="宋体"/>
          <w:bCs/>
          <w:snapToGrid w:val="0"/>
          <w:kern w:val="0"/>
          <w:sz w:val="24"/>
          <w:u w:val="single"/>
        </w:rPr>
        <w:t xml:space="preserve">      </w:t>
      </w:r>
      <w:r>
        <w:rPr>
          <w:rFonts w:hint="eastAsia" w:ascii="宋体" w:hAnsi="宋体"/>
          <w:bCs/>
          <w:snapToGrid w:val="0"/>
          <w:kern w:val="0"/>
          <w:sz w:val="24"/>
        </w:rPr>
        <w:t>，身份证号码：_________</w:t>
      </w:r>
      <w:r>
        <w:rPr>
          <w:rFonts w:hint="eastAsia" w:ascii="宋体" w:hAnsi="宋体"/>
          <w:bCs/>
          <w:snapToGrid w:val="0"/>
          <w:kern w:val="0"/>
          <w:sz w:val="24"/>
          <w:u w:val="single"/>
        </w:rPr>
        <w:t xml:space="preserve">                                   </w:t>
      </w:r>
      <w:r>
        <w:rPr>
          <w:rFonts w:hint="eastAsia" w:ascii="宋体" w:hAnsi="宋体"/>
          <w:bCs/>
          <w:snapToGrid w:val="0"/>
          <w:kern w:val="0"/>
          <w:sz w:val="24"/>
        </w:rPr>
        <w:t xml:space="preserve"> </w:t>
      </w:r>
    </w:p>
    <w:p>
      <w:pPr>
        <w:spacing w:line="480" w:lineRule="auto"/>
        <w:rPr>
          <w:rFonts w:ascii="宋体" w:hAnsi="宋体"/>
          <w:bCs/>
          <w:snapToGrid w:val="0"/>
          <w:kern w:val="0"/>
          <w:sz w:val="24"/>
          <w:u w:val="single"/>
        </w:rPr>
      </w:pPr>
      <w:r>
        <w:rPr>
          <w:rFonts w:ascii="宋体" w:hAnsi="宋体"/>
          <w:bCs/>
          <w:snapToGrid w:val="0"/>
          <w:kern w:val="0"/>
          <w:sz w:val="24"/>
        </w:rPr>
        <w:t>统一社会信用代码</w:t>
      </w:r>
      <w:r>
        <w:rPr>
          <w:rFonts w:hint="eastAsia" w:ascii="宋体" w:hAnsi="宋体"/>
          <w:bCs/>
          <w:snapToGrid w:val="0"/>
          <w:kern w:val="0"/>
          <w:sz w:val="24"/>
        </w:rPr>
        <w:t>：</w:t>
      </w:r>
      <w:r>
        <w:rPr>
          <w:rFonts w:hint="eastAsia" w:ascii="宋体" w:hAnsi="宋体"/>
          <w:bCs/>
          <w:snapToGrid w:val="0"/>
          <w:kern w:val="0"/>
          <w:sz w:val="24"/>
          <w:u w:val="single"/>
        </w:rPr>
        <w:t xml:space="preserve">                                </w:t>
      </w:r>
    </w:p>
    <w:p>
      <w:pPr>
        <w:spacing w:line="480" w:lineRule="auto"/>
        <w:rPr>
          <w:rFonts w:ascii="宋体" w:hAnsi="宋体"/>
          <w:bCs/>
          <w:snapToGrid w:val="0"/>
          <w:kern w:val="0"/>
          <w:sz w:val="24"/>
        </w:rPr>
      </w:pPr>
      <w:r>
        <w:rPr>
          <w:rFonts w:hint="eastAsia" w:ascii="宋体" w:hAnsi="宋体"/>
          <w:bCs/>
          <w:snapToGrid w:val="0"/>
          <w:kern w:val="0"/>
          <w:sz w:val="24"/>
        </w:rPr>
        <w:t>企业类型：____________________________</w:t>
      </w:r>
      <w:r>
        <w:rPr>
          <w:rFonts w:hint="eastAsia" w:ascii="宋体" w:hAnsi="宋体"/>
          <w:bCs/>
          <w:snapToGrid w:val="0"/>
          <w:kern w:val="0"/>
          <w:sz w:val="24"/>
          <w:u w:val="single"/>
        </w:rPr>
        <w:t>__   _</w:t>
      </w:r>
      <w:r>
        <w:rPr>
          <w:rFonts w:hint="eastAsia" w:ascii="宋体" w:hAnsi="宋体"/>
          <w:bCs/>
          <w:snapToGrid w:val="0"/>
          <w:kern w:val="0"/>
          <w:sz w:val="24"/>
        </w:rPr>
        <w:t xml:space="preserve">______ </w:t>
      </w:r>
    </w:p>
    <w:p>
      <w:pPr>
        <w:spacing w:line="480" w:lineRule="auto"/>
        <w:rPr>
          <w:rFonts w:ascii="宋体" w:hAnsi="宋体"/>
          <w:b/>
          <w:snapToGrid w:val="0"/>
          <w:kern w:val="0"/>
          <w:sz w:val="24"/>
          <w:u w:val="single"/>
        </w:rPr>
      </w:pPr>
      <w:r>
        <w:rPr>
          <w:rFonts w:hint="eastAsia" w:ascii="宋体" w:hAnsi="宋体"/>
          <w:bCs/>
          <w:snapToGrid w:val="0"/>
          <w:kern w:val="0"/>
          <w:sz w:val="24"/>
        </w:rPr>
        <w:t>经营范围：</w:t>
      </w:r>
      <w:r>
        <w:rPr>
          <w:rFonts w:hint="eastAsia" w:ascii="宋体" w:hAnsi="宋体"/>
          <w:bCs/>
          <w:snapToGrid w:val="0"/>
          <w:kern w:val="0"/>
          <w:sz w:val="24"/>
          <w:u w:val="single"/>
        </w:rPr>
        <w:t xml:space="preserve">     </w:t>
      </w:r>
      <w:r>
        <w:rPr>
          <w:rFonts w:hint="eastAsia" w:ascii="宋体" w:hAnsi="宋体"/>
          <w:b/>
          <w:snapToGrid w:val="0"/>
          <w:kern w:val="0"/>
          <w:sz w:val="24"/>
          <w:u w:val="single"/>
        </w:rPr>
        <w:t xml:space="preserve">                                                                 </w:t>
      </w:r>
    </w:p>
    <w:p>
      <w:pPr>
        <w:tabs>
          <w:tab w:val="left" w:pos="284"/>
          <w:tab w:val="left" w:pos="851"/>
        </w:tabs>
        <w:spacing w:line="360" w:lineRule="auto"/>
        <w:ind w:firstLine="480" w:firstLineChars="200"/>
        <w:jc w:val="center"/>
        <w:rPr>
          <w:rFonts w:ascii="宋体" w:hAnsi="宋体"/>
          <w:sz w:val="24"/>
          <w:u w:val="single"/>
        </w:rPr>
      </w:pPr>
      <w:r>
        <w:rPr>
          <w:rFonts w:hint="eastAsia" w:ascii="宋体" w:hAnsi="宋体"/>
          <w:sz w:val="24"/>
        </w:rPr>
        <w:t>供应商名称（公章）：</w:t>
      </w:r>
    </w:p>
    <w:p>
      <w:pPr>
        <w:pStyle w:val="14"/>
        <w:tabs>
          <w:tab w:val="left" w:pos="284"/>
          <w:tab w:val="left" w:pos="851"/>
        </w:tabs>
        <w:spacing w:line="360" w:lineRule="auto"/>
        <w:ind w:left="0" w:leftChars="0" w:firstLine="3120" w:firstLineChars="1300"/>
        <w:jc w:val="both"/>
        <w:rPr>
          <w:rFonts w:ascii="宋体" w:hAnsi="宋体"/>
          <w:sz w:val="24"/>
          <w:u w:val="single"/>
        </w:rPr>
      </w:pPr>
      <w:r>
        <w:rPr>
          <w:rFonts w:hint="eastAsia" w:ascii="宋体" w:hAnsi="宋体"/>
          <w:sz w:val="24"/>
        </w:rPr>
        <w:t>法定代表人（签字或签章）：</w:t>
      </w:r>
    </w:p>
    <w:p>
      <w:pPr>
        <w:tabs>
          <w:tab w:val="left" w:pos="284"/>
          <w:tab w:val="left" w:pos="851"/>
        </w:tabs>
        <w:spacing w:line="360" w:lineRule="auto"/>
        <w:ind w:firstLine="480" w:firstLineChars="200"/>
        <w:jc w:val="center"/>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8"/>
        <w:tabs>
          <w:tab w:val="left" w:pos="284"/>
          <w:tab w:val="left" w:pos="851"/>
        </w:tabs>
        <w:spacing w:line="480" w:lineRule="auto"/>
        <w:ind w:firstLine="480"/>
        <w:jc w:val="center"/>
        <w:rPr>
          <w:rFonts w:ascii="宋体" w:hAnsi="宋体"/>
          <w:sz w:val="24"/>
        </w:rPr>
      </w:pPr>
    </w:p>
    <w:p>
      <w:pPr>
        <w:tabs>
          <w:tab w:val="left" w:pos="284"/>
          <w:tab w:val="left" w:pos="851"/>
        </w:tabs>
        <w:spacing w:line="0" w:lineRule="atLeast"/>
        <w:ind w:left="381" w:leftChars="136" w:firstLine="482" w:firstLineChars="200"/>
        <w:jc w:val="left"/>
        <w:outlineLvl w:val="0"/>
        <w:rPr>
          <w:rFonts w:ascii="宋体" w:hAnsi="宋体"/>
          <w:b/>
          <w:sz w:val="24"/>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kern w:val="0"/>
          <w:sz w:val="24"/>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539750</wp:posOffset>
                </wp:positionV>
                <wp:extent cx="5372100" cy="3129915"/>
                <wp:effectExtent l="4445" t="4445" r="14605" b="8890"/>
                <wp:wrapNone/>
                <wp:docPr id="3" name="AutoShape 34"/>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id="AutoShape 34" o:spid="_x0000_s1026" o:spt="2" style="position:absolute;left:0pt;margin-left:19.4pt;margin-top:42.5pt;height:246.45pt;width:423pt;z-index:251660288;mso-width-relative:page;mso-height-relative:page;" fillcolor="#FFFFFF" filled="t" stroked="t" coordsize="21600,21600" arcsize="0.166666666666667" o:gfxdata="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w5A4J1gAAAAkBAAAPAAAAAAAAAAEAIAAAACIAAABkcnMvZG93bnJldi54bWxQSwECFAAU&#10;AAAACACHTuJALRncRSwCAABjBAAADgAAAAAAAAABACAAAAAlAQAAZHJzL2Uyb0RvYy54bWxQSwUG&#10;AAAAAAYABgBZAQAAww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r>
        <w:rPr>
          <w:rFonts w:ascii="宋体" w:hAnsi="宋体"/>
          <w:kern w:val="0"/>
          <w:sz w:val="24"/>
        </w:rPr>
        <w:br w:type="page"/>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kern w:val="0"/>
          <w:sz w:val="24"/>
          <w:lang w:val="en-US" w:eastAsia="zh-CN"/>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9" w:hRule="atLeast"/>
        </w:trPr>
        <w:tc>
          <w:tcPr>
            <w:tcW w:w="9286" w:type="dxa"/>
            <w:noWrap w:val="0"/>
            <w:vAlign w:val="top"/>
          </w:tcPr>
          <w:p>
            <w:pPr>
              <w:tabs>
                <w:tab w:val="left" w:pos="8280"/>
              </w:tabs>
              <w:snapToGrid w:val="0"/>
              <w:spacing w:line="360" w:lineRule="auto"/>
              <w:jc w:val="center"/>
              <w:rPr>
                <w:rFonts w:hint="eastAsia" w:ascii="宋体" w:hAnsi="宋体"/>
                <w:b/>
                <w:sz w:val="24"/>
              </w:rPr>
            </w:pPr>
          </w:p>
          <w:p>
            <w:pPr>
              <w:tabs>
                <w:tab w:val="left" w:pos="8280"/>
              </w:tabs>
              <w:snapToGrid w:val="0"/>
              <w:spacing w:line="360" w:lineRule="auto"/>
              <w:jc w:val="center"/>
              <w:rPr>
                <w:rFonts w:hint="eastAsia" w:ascii="宋体" w:hAnsi="宋体"/>
                <w:b/>
                <w:sz w:val="24"/>
              </w:rPr>
            </w:pPr>
            <w:r>
              <w:rPr>
                <w:rFonts w:hint="eastAsia" w:ascii="宋体" w:hAnsi="宋体"/>
                <w:b/>
                <w:sz w:val="24"/>
              </w:rPr>
              <w:t>法定代表人委托遴选工作全权责任人授权书</w:t>
            </w:r>
          </w:p>
          <w:p>
            <w:pPr>
              <w:tabs>
                <w:tab w:val="left" w:pos="8280"/>
              </w:tabs>
              <w:snapToGrid w:val="0"/>
              <w:spacing w:line="360" w:lineRule="auto"/>
              <w:jc w:val="both"/>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致：汕头大学·香港中文大学联合汕头国际眼科中心：</w:t>
            </w:r>
          </w:p>
          <w:p>
            <w:pPr>
              <w:tabs>
                <w:tab w:val="left" w:pos="8280"/>
              </w:tabs>
              <w:snapToGrid w:val="0"/>
              <w:spacing w:line="360" w:lineRule="auto"/>
              <w:ind w:firstLine="480"/>
              <w:rPr>
                <w:rFonts w:hint="eastAsia" w:ascii="宋体" w:hAnsi="宋体"/>
                <w:sz w:val="24"/>
              </w:rPr>
            </w:pPr>
            <w:r>
              <w:rPr>
                <w:rFonts w:hint="eastAsia" w:ascii="宋体" w:hAnsi="宋体"/>
                <w:sz w:val="24"/>
              </w:rPr>
              <w:t xml:space="preserve"> 兹授权</w:t>
            </w:r>
            <w:r>
              <w:rPr>
                <w:rFonts w:hint="eastAsia" w:ascii="宋体" w:hAnsi="宋体"/>
                <w:sz w:val="24"/>
                <w:u w:val="single"/>
              </w:rPr>
              <w:t xml:space="preserve">               </w:t>
            </w:r>
            <w:r>
              <w:rPr>
                <w:rFonts w:hint="eastAsia" w:ascii="宋体" w:hAnsi="宋体"/>
                <w:sz w:val="24"/>
              </w:rPr>
              <w:t>（全名及职衔）为贵单位公开遴选的</w:t>
            </w:r>
            <w:r>
              <w:rPr>
                <w:rFonts w:hint="eastAsia" w:ascii="宋体" w:hAnsi="宋体"/>
                <w:sz w:val="24"/>
                <w:u w:val="single"/>
              </w:rPr>
              <w:t xml:space="preserve">          （项目编号及项目名称）</w:t>
            </w:r>
            <w:r>
              <w:rPr>
                <w:rFonts w:hint="eastAsia" w:ascii="宋体" w:hAnsi="宋体"/>
                <w:sz w:val="24"/>
              </w:rPr>
              <w:t>的全权责任人，代表我单位处理该遴选工作的所有事宜。其在该项目中的一切行为对我单位具有法律约束力。</w:t>
            </w:r>
          </w:p>
          <w:p>
            <w:pPr>
              <w:tabs>
                <w:tab w:val="left" w:pos="8280"/>
              </w:tabs>
              <w:snapToGrid w:val="0"/>
              <w:spacing w:line="360" w:lineRule="auto"/>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全权责任人基本信息：</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520"/>
              <w:gridCol w:w="1400"/>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姓名</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身份证号</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性别</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联系电话</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年龄</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通讯地址</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5" w:type="dxa"/>
                  <w:noWrap w:val="0"/>
                  <w:vAlign w:val="center"/>
                </w:tcPr>
                <w:p>
                  <w:pPr>
                    <w:tabs>
                      <w:tab w:val="left" w:pos="8280"/>
                    </w:tabs>
                    <w:snapToGrid w:val="0"/>
                    <w:jc w:val="center"/>
                    <w:rPr>
                      <w:rFonts w:hint="eastAsia" w:ascii="宋体" w:hAnsi="宋体"/>
                      <w:sz w:val="24"/>
                    </w:rPr>
                  </w:pPr>
                  <w:r>
                    <w:rPr>
                      <w:rFonts w:hint="eastAsia" w:ascii="宋体" w:hAnsi="宋体"/>
                      <w:sz w:val="24"/>
                    </w:rPr>
                    <w:t>职务</w:t>
                  </w:r>
                </w:p>
              </w:tc>
              <w:tc>
                <w:tcPr>
                  <w:tcW w:w="2520" w:type="dxa"/>
                  <w:noWrap w:val="0"/>
                  <w:vAlign w:val="center"/>
                </w:tcPr>
                <w:p>
                  <w:pPr>
                    <w:tabs>
                      <w:tab w:val="left" w:pos="8280"/>
                    </w:tabs>
                    <w:snapToGrid w:val="0"/>
                    <w:jc w:val="center"/>
                    <w:rPr>
                      <w:rFonts w:hint="eastAsia" w:ascii="宋体" w:hAnsi="宋体"/>
                      <w:sz w:val="24"/>
                    </w:rPr>
                  </w:pPr>
                </w:p>
              </w:tc>
              <w:tc>
                <w:tcPr>
                  <w:tcW w:w="1400" w:type="dxa"/>
                  <w:noWrap w:val="0"/>
                  <w:vAlign w:val="center"/>
                </w:tcPr>
                <w:p>
                  <w:pPr>
                    <w:tabs>
                      <w:tab w:val="left" w:pos="8280"/>
                    </w:tabs>
                    <w:snapToGrid w:val="0"/>
                    <w:jc w:val="center"/>
                    <w:rPr>
                      <w:rFonts w:hint="eastAsia" w:ascii="宋体" w:hAnsi="宋体"/>
                      <w:sz w:val="24"/>
                    </w:rPr>
                  </w:pPr>
                  <w:r>
                    <w:rPr>
                      <w:rFonts w:hint="eastAsia" w:ascii="宋体" w:hAnsi="宋体"/>
                      <w:sz w:val="24"/>
                    </w:rPr>
                    <w:t>邮政编号</w:t>
                  </w:r>
                </w:p>
              </w:tc>
              <w:tc>
                <w:tcPr>
                  <w:tcW w:w="3740" w:type="dxa"/>
                  <w:noWrap w:val="0"/>
                  <w:vAlign w:val="center"/>
                </w:tcPr>
                <w:p>
                  <w:pPr>
                    <w:tabs>
                      <w:tab w:val="left" w:pos="8280"/>
                    </w:tabs>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055" w:type="dxa"/>
                  <w:gridSpan w:val="4"/>
                  <w:noWrap w:val="0"/>
                  <w:vAlign w:val="center"/>
                </w:tcPr>
                <w:p>
                  <w:pPr>
                    <w:tabs>
                      <w:tab w:val="left" w:pos="8280"/>
                    </w:tabs>
                    <w:snapToGrid w:val="0"/>
                    <w:jc w:val="center"/>
                    <w:rPr>
                      <w:rFonts w:hint="eastAsia" w:ascii="宋体" w:hAnsi="宋体"/>
                      <w:sz w:val="24"/>
                    </w:rPr>
                  </w:pPr>
                  <w:r>
                    <w:rPr>
                      <w:rFonts w:hint="eastAsia"/>
                      <w:b/>
                    </w:rPr>
                    <w:t>粘贴代理人身份证复印件</w:t>
                  </w:r>
                </w:p>
              </w:tc>
            </w:tr>
          </w:tbl>
          <w:p>
            <w:pPr>
              <w:tabs>
                <w:tab w:val="left" w:pos="8280"/>
              </w:tabs>
              <w:snapToGrid w:val="0"/>
              <w:spacing w:line="360" w:lineRule="auto"/>
              <w:rPr>
                <w:rFonts w:hint="eastAsia" w:ascii="宋体" w:hAnsi="宋体"/>
                <w:sz w:val="24"/>
              </w:rPr>
            </w:pPr>
          </w:p>
          <w:p>
            <w:pPr>
              <w:tabs>
                <w:tab w:val="left" w:pos="8280"/>
              </w:tabs>
              <w:snapToGrid w:val="0"/>
              <w:spacing w:line="360" w:lineRule="auto"/>
              <w:rPr>
                <w:rFonts w:hint="eastAsia" w:ascii="宋体" w:hAnsi="宋体"/>
                <w:sz w:val="24"/>
              </w:rPr>
            </w:pPr>
            <w:r>
              <w:rPr>
                <w:rFonts w:hint="eastAsia" w:ascii="宋体" w:hAnsi="宋体"/>
                <w:sz w:val="24"/>
              </w:rPr>
              <w:t>报名供应商全称（公章）                            法定代表人（签字）</w:t>
            </w:r>
          </w:p>
          <w:p>
            <w:pPr>
              <w:tabs>
                <w:tab w:val="left" w:pos="8280"/>
              </w:tabs>
              <w:snapToGrid w:val="0"/>
              <w:spacing w:line="360" w:lineRule="auto"/>
              <w:ind w:firstLine="6120" w:firstLineChars="2550"/>
              <w:rPr>
                <w:rFonts w:hint="eastAsia" w:ascii="宋体" w:hAnsi="宋体"/>
                <w:sz w:val="24"/>
              </w:rPr>
            </w:pPr>
            <w:r>
              <w:rPr>
                <w:rFonts w:hint="eastAsia" w:ascii="宋体" w:hAnsi="宋体"/>
                <w:sz w:val="24"/>
              </w:rPr>
              <w:t>年   月   日</w:t>
            </w:r>
          </w:p>
          <w:p>
            <w:pPr>
              <w:topLinePunct/>
              <w:snapToGrid w:val="0"/>
              <w:spacing w:line="360" w:lineRule="auto"/>
              <w:rPr>
                <w:rFonts w:hint="eastAsia" w:ascii="宋体" w:hAnsi="宋体"/>
                <w:sz w:val="24"/>
              </w:rPr>
            </w:pPr>
          </w:p>
        </w:tc>
      </w:tr>
    </w:tbl>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kern w:val="0"/>
          <w:sz w:val="24"/>
          <w:lang w:val="en-US" w:eastAsia="zh-CN"/>
        </w:rPr>
        <w:sectPr>
          <w:headerReference r:id="rId9" w:type="default"/>
          <w:footerReference r:id="rId10" w:type="default"/>
          <w:pgSz w:w="11906" w:h="16838"/>
          <w:pgMar w:top="1701" w:right="1418" w:bottom="1418" w:left="1418" w:header="851" w:footer="992" w:gutter="0"/>
          <w:cols w:space="425" w:num="1"/>
          <w:docGrid w:linePitch="381" w:charSpace="0"/>
        </w:sectPr>
      </w:pPr>
    </w:p>
    <w:p>
      <w:pPr>
        <w:numPr>
          <w:ilvl w:val="0"/>
          <w:numId w:val="0"/>
        </w:numPr>
      </w:pPr>
    </w:p>
    <w:p>
      <w:pPr>
        <w:spacing w:line="0" w:lineRule="atLeast"/>
        <w:outlineLvl w:val="1"/>
        <w:rPr>
          <w:rFonts w:hAnsi="宋体"/>
          <w:b/>
          <w:sz w:val="24"/>
          <w:szCs w:val="24"/>
        </w:rPr>
      </w:pPr>
      <w:bookmarkStart w:id="126" w:name="_Toc8659"/>
      <w:bookmarkStart w:id="127" w:name="_Toc74753328"/>
      <w:bookmarkStart w:id="128" w:name="_Toc9698"/>
      <w:r>
        <w:rPr>
          <w:rFonts w:hint="eastAsia" w:hAnsi="宋体"/>
          <w:b/>
          <w:sz w:val="24"/>
          <w:szCs w:val="24"/>
        </w:rPr>
        <w:t>四、技术商务响应文件</w:t>
      </w:r>
      <w:bookmarkEnd w:id="126"/>
      <w:bookmarkEnd w:id="127"/>
      <w:bookmarkEnd w:id="128"/>
    </w:p>
    <w:p>
      <w:pPr>
        <w:pStyle w:val="5"/>
        <w:tabs>
          <w:tab w:val="left" w:pos="851"/>
        </w:tabs>
        <w:spacing w:before="0" w:after="0"/>
        <w:jc w:val="center"/>
        <w:rPr>
          <w:rFonts w:ascii="宋体" w:hAnsi="宋体"/>
          <w:sz w:val="24"/>
          <w:szCs w:val="24"/>
        </w:rPr>
      </w:pPr>
      <w:r>
        <w:rPr>
          <w:rFonts w:hint="eastAsia" w:ascii="宋体" w:hAnsi="宋体"/>
          <w:sz w:val="24"/>
          <w:szCs w:val="24"/>
        </w:rPr>
        <w:t>用户需求响应条款一览表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3339"/>
        <w:gridCol w:w="3854"/>
        <w:gridCol w:w="292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119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遴选文件要求</w:t>
            </w:r>
          </w:p>
        </w:tc>
        <w:tc>
          <w:tcPr>
            <w:tcW w:w="1383"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响应文件响应</w:t>
            </w:r>
          </w:p>
        </w:tc>
        <w:tc>
          <w:tcPr>
            <w:tcW w:w="104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响应/偏离</w:t>
            </w:r>
          </w:p>
        </w:tc>
        <w:tc>
          <w:tcPr>
            <w:tcW w:w="940"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1</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2</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3</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4</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5</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6</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w:t>
            </w:r>
          </w:p>
        </w:tc>
        <w:tc>
          <w:tcPr>
            <w:tcW w:w="1198" w:type="pct"/>
            <w:noWrap w:val="0"/>
            <w:vAlign w:val="center"/>
          </w:tcPr>
          <w:p>
            <w:pPr>
              <w:rPr>
                <w:rFonts w:hint="eastAsia" w:ascii="宋体" w:hAnsi="宋体" w:eastAsia="宋体" w:cs="宋体"/>
                <w:sz w:val="24"/>
                <w:szCs w:val="20"/>
              </w:rPr>
            </w:pPr>
          </w:p>
        </w:tc>
        <w:tc>
          <w:tcPr>
            <w:tcW w:w="1383" w:type="pct"/>
            <w:noWrap w:val="0"/>
            <w:vAlign w:val="center"/>
          </w:tcPr>
          <w:p>
            <w:pPr>
              <w:rPr>
                <w:rFonts w:hint="eastAsia" w:ascii="宋体" w:hAnsi="宋体" w:eastAsia="宋体" w:cs="宋体"/>
                <w:sz w:val="24"/>
                <w:szCs w:val="20"/>
              </w:rPr>
            </w:pPr>
          </w:p>
        </w:tc>
        <w:tc>
          <w:tcPr>
            <w:tcW w:w="1048" w:type="pct"/>
            <w:noWrap w:val="0"/>
            <w:vAlign w:val="center"/>
          </w:tcPr>
          <w:p>
            <w:pPr>
              <w:rPr>
                <w:rFonts w:hint="eastAsia" w:ascii="宋体" w:hAnsi="宋体" w:eastAsia="宋体" w:cs="宋体"/>
                <w:sz w:val="24"/>
                <w:szCs w:val="20"/>
              </w:rPr>
            </w:pPr>
          </w:p>
        </w:tc>
        <w:tc>
          <w:tcPr>
            <w:tcW w:w="940" w:type="pct"/>
            <w:noWrap w:val="0"/>
            <w:vAlign w:val="center"/>
          </w:tcPr>
          <w:p>
            <w:pPr>
              <w:rPr>
                <w:rFonts w:hint="eastAsia" w:ascii="宋体" w:hAnsi="宋体" w:eastAsia="宋体" w:cs="宋体"/>
                <w:sz w:val="24"/>
                <w:szCs w:val="20"/>
              </w:rPr>
            </w:pPr>
          </w:p>
        </w:tc>
      </w:tr>
    </w:tbl>
    <w:p>
      <w:pPr>
        <w:spacing w:line="360" w:lineRule="auto"/>
        <w:rPr>
          <w:rFonts w:hint="eastAsia" w:ascii="宋体" w:hAnsi="宋体" w:eastAsia="宋体" w:cs="宋体"/>
          <w:sz w:val="24"/>
          <w:szCs w:val="20"/>
        </w:rPr>
      </w:pPr>
    </w:p>
    <w:p>
      <w:pPr>
        <w:spacing w:line="360" w:lineRule="auto"/>
        <w:rPr>
          <w:rFonts w:hint="eastAsia" w:ascii="宋体" w:hAnsi="宋体" w:eastAsia="宋体" w:cs="宋体"/>
          <w:sz w:val="24"/>
          <w:szCs w:val="20"/>
        </w:rPr>
      </w:pPr>
      <w:r>
        <w:rPr>
          <w:rFonts w:hint="eastAsia" w:ascii="宋体" w:hAnsi="宋体" w:eastAsia="宋体" w:cs="宋体"/>
          <w:sz w:val="24"/>
          <w:szCs w:val="20"/>
        </w:rPr>
        <w:t>注：</w:t>
      </w:r>
    </w:p>
    <w:p>
      <w:pPr>
        <w:spacing w:line="360" w:lineRule="auto"/>
        <w:rPr>
          <w:rFonts w:hint="eastAsia" w:ascii="宋体" w:hAnsi="宋体" w:eastAsia="宋体" w:cs="宋体"/>
          <w:sz w:val="24"/>
          <w:szCs w:val="20"/>
        </w:rPr>
      </w:pPr>
      <w:r>
        <w:rPr>
          <w:rFonts w:hint="eastAsia" w:ascii="宋体" w:hAnsi="宋体" w:eastAsia="宋体" w:cs="宋体"/>
          <w:sz w:val="24"/>
          <w:szCs w:val="20"/>
        </w:rPr>
        <w:t>1</w:t>
      </w:r>
      <w:r>
        <w:rPr>
          <w:rFonts w:hint="eastAsia" w:ascii="宋体" w:hAnsi="宋体" w:cs="宋体"/>
          <w:sz w:val="24"/>
          <w:szCs w:val="20"/>
          <w:lang w:eastAsia="zh-CN"/>
        </w:rPr>
        <w:t>、</w:t>
      </w:r>
      <w:r>
        <w:rPr>
          <w:rFonts w:hint="eastAsia" w:ascii="宋体" w:hAnsi="宋体" w:eastAsia="宋体" w:cs="宋体"/>
          <w:sz w:val="24"/>
          <w:szCs w:val="20"/>
        </w:rPr>
        <w:t>请供应商根据遴选文件</w:t>
      </w:r>
      <w:r>
        <w:rPr>
          <w:rFonts w:hint="eastAsia" w:ascii="宋体" w:hAnsi="宋体" w:eastAsia="宋体" w:cs="宋体"/>
          <w:b/>
          <w:sz w:val="24"/>
          <w:szCs w:val="20"/>
        </w:rPr>
        <w:t>“用户需求”中“服务要求”的条款</w:t>
      </w:r>
      <w:r>
        <w:rPr>
          <w:rFonts w:hint="eastAsia" w:ascii="宋体" w:hAnsi="宋体" w:eastAsia="宋体" w:cs="宋体"/>
          <w:sz w:val="24"/>
          <w:szCs w:val="20"/>
        </w:rPr>
        <w:t>，逐一列入并填写响应情况。</w:t>
      </w:r>
    </w:p>
    <w:p>
      <w:pPr>
        <w:spacing w:line="360" w:lineRule="auto"/>
        <w:rPr>
          <w:rFonts w:hint="eastAsia" w:ascii="宋体" w:hAnsi="宋体" w:eastAsia="宋体" w:cs="宋体"/>
          <w:sz w:val="24"/>
          <w:szCs w:val="20"/>
        </w:rPr>
      </w:pPr>
      <w:r>
        <w:rPr>
          <w:rFonts w:hint="eastAsia" w:ascii="宋体" w:hAnsi="宋体" w:eastAsia="宋体" w:cs="宋体"/>
          <w:sz w:val="24"/>
          <w:szCs w:val="20"/>
        </w:rPr>
        <w:t>2</w:t>
      </w:r>
      <w:r>
        <w:rPr>
          <w:rFonts w:hint="eastAsia" w:ascii="宋体" w:hAnsi="宋体" w:cs="宋体"/>
          <w:sz w:val="24"/>
          <w:szCs w:val="20"/>
          <w:lang w:eastAsia="zh-CN"/>
        </w:rPr>
        <w:t>、</w:t>
      </w:r>
      <w:r>
        <w:rPr>
          <w:rFonts w:hint="eastAsia" w:ascii="宋体" w:hAnsi="宋体" w:eastAsia="宋体" w:cs="宋体"/>
          <w:sz w:val="24"/>
          <w:szCs w:val="20"/>
        </w:rPr>
        <w:t>“响应文件响应”一栏应填写具体的响应内容，有差异的要具体说明。</w:t>
      </w:r>
    </w:p>
    <w:p>
      <w:pPr>
        <w:spacing w:line="360" w:lineRule="auto"/>
        <w:rPr>
          <w:rFonts w:hint="eastAsia" w:ascii="宋体" w:hAnsi="宋体" w:eastAsia="宋体" w:cs="宋体"/>
          <w:sz w:val="24"/>
          <w:szCs w:val="20"/>
        </w:rPr>
      </w:pPr>
      <w:r>
        <w:rPr>
          <w:rFonts w:hint="eastAsia" w:ascii="宋体" w:hAnsi="宋体" w:eastAsia="宋体" w:cs="宋体"/>
          <w:sz w:val="24"/>
          <w:szCs w:val="20"/>
        </w:rPr>
        <w:t>3</w:t>
      </w:r>
      <w:r>
        <w:rPr>
          <w:rFonts w:hint="eastAsia" w:ascii="宋体" w:hAnsi="宋体" w:cs="宋体"/>
          <w:sz w:val="24"/>
          <w:szCs w:val="20"/>
          <w:lang w:eastAsia="zh-CN"/>
        </w:rPr>
        <w:t>、</w:t>
      </w:r>
      <w:r>
        <w:rPr>
          <w:rFonts w:hint="eastAsia" w:ascii="宋体" w:hAnsi="宋体" w:eastAsia="宋体" w:cs="宋体"/>
          <w:sz w:val="24"/>
          <w:szCs w:val="20"/>
        </w:rPr>
        <w:t>★号条款内容若未完全响应，将视为无效响应。</w:t>
      </w:r>
    </w:p>
    <w:p>
      <w:pPr>
        <w:spacing w:line="480" w:lineRule="auto"/>
        <w:rPr>
          <w:rFonts w:hint="eastAsia" w:ascii="宋体" w:hAnsi="宋体" w:eastAsia="宋体" w:cs="宋体"/>
          <w:sz w:val="24"/>
          <w:szCs w:val="20"/>
        </w:rPr>
      </w:pPr>
    </w:p>
    <w:p>
      <w:pPr>
        <w:spacing w:line="480" w:lineRule="auto"/>
        <w:rPr>
          <w:rFonts w:hint="eastAsia" w:ascii="宋体" w:hAnsi="宋体" w:eastAsia="宋体" w:cs="宋体"/>
          <w:sz w:val="24"/>
          <w:szCs w:val="20"/>
        </w:rPr>
      </w:pPr>
      <w:r>
        <w:rPr>
          <w:rFonts w:hint="eastAsia" w:ascii="宋体" w:hAnsi="宋体" w:eastAsia="宋体" w:cs="宋体"/>
          <w:sz w:val="24"/>
          <w:szCs w:val="20"/>
        </w:rPr>
        <w:t>响应供应商法定代表人（或法定代表人授权代表）签字或签章：</w:t>
      </w:r>
    </w:p>
    <w:p>
      <w:pPr>
        <w:adjustRightInd w:val="0"/>
        <w:snapToGrid w:val="0"/>
        <w:spacing w:line="480" w:lineRule="auto"/>
        <w:rPr>
          <w:rFonts w:hint="eastAsia" w:ascii="宋体" w:hAnsi="宋体" w:eastAsia="宋体" w:cs="宋体"/>
          <w:sz w:val="24"/>
          <w:szCs w:val="20"/>
          <w:u w:val="single"/>
        </w:rPr>
      </w:pPr>
      <w:r>
        <w:rPr>
          <w:rFonts w:hint="eastAsia" w:ascii="宋体" w:hAnsi="宋体" w:eastAsia="宋体" w:cs="宋体"/>
          <w:sz w:val="24"/>
          <w:szCs w:val="20"/>
        </w:rPr>
        <w:t>响应供应商名称（加盖公章）：</w:t>
      </w:r>
    </w:p>
    <w:p>
      <w:pPr>
        <w:spacing w:line="480" w:lineRule="auto"/>
        <w:rPr>
          <w:rFonts w:hint="eastAsia" w:ascii="宋体" w:hAnsi="宋体" w:eastAsia="宋体" w:cs="宋体"/>
          <w:sz w:val="24"/>
          <w:szCs w:val="20"/>
        </w:rPr>
        <w:sectPr>
          <w:headerReference r:id="rId11" w:type="default"/>
          <w:pgSz w:w="16838" w:h="11906" w:orient="landscape"/>
          <w:pgMar w:top="1418" w:right="1418" w:bottom="1418" w:left="1701" w:header="851" w:footer="992" w:gutter="0"/>
          <w:cols w:space="425" w:num="1"/>
          <w:docGrid w:linePitch="381" w:charSpace="0"/>
        </w:sectPr>
      </w:pPr>
      <w:r>
        <w:rPr>
          <w:rFonts w:hint="eastAsia" w:ascii="宋体" w:hAnsi="宋体" w:eastAsia="宋体" w:cs="宋体"/>
          <w:sz w:val="24"/>
          <w:szCs w:val="20"/>
        </w:rPr>
        <w:t>日期：   年   月   日</w:t>
      </w:r>
      <w:r>
        <w:rPr>
          <w:rFonts w:hint="eastAsia" w:ascii="宋体" w:hAnsi="宋体" w:eastAsia="宋体" w:cs="宋体"/>
          <w:sz w:val="24"/>
          <w:szCs w:val="20"/>
        </w:rPr>
        <w:br w:type="page"/>
      </w:r>
    </w:p>
    <w:p>
      <w:pPr>
        <w:spacing w:line="480" w:lineRule="auto"/>
        <w:rPr>
          <w:rFonts w:hint="eastAsia" w:ascii="宋体" w:hAnsi="宋体" w:eastAsia="宋体" w:cs="宋体"/>
          <w:sz w:val="13"/>
          <w:szCs w:val="8"/>
          <w:lang w:eastAsia="zh-CN"/>
        </w:rPr>
      </w:pPr>
    </w:p>
    <w:p>
      <w:pPr>
        <w:spacing w:after="156" w:afterLines="50"/>
        <w:jc w:val="center"/>
        <w:rPr>
          <w:rFonts w:hint="eastAsia" w:ascii="宋体" w:hAnsi="宋体" w:eastAsia="宋体" w:cs="宋体"/>
          <w:b/>
          <w:bCs w:val="0"/>
          <w:sz w:val="24"/>
          <w:szCs w:val="24"/>
        </w:rPr>
      </w:pPr>
      <w:r>
        <w:rPr>
          <w:rFonts w:hint="eastAsia" w:ascii="宋体" w:hAnsi="宋体"/>
          <w:b/>
          <w:bCs w:val="0"/>
          <w:sz w:val="24"/>
          <w:szCs w:val="24"/>
        </w:rPr>
        <w:t>供应商基本情况表</w:t>
      </w:r>
    </w:p>
    <w:tbl>
      <w:tblPr>
        <w:tblStyle w:val="2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8"/>
        <w:gridCol w:w="1314"/>
        <w:gridCol w:w="207"/>
        <w:gridCol w:w="82"/>
        <w:gridCol w:w="1315"/>
        <w:gridCol w:w="1025"/>
        <w:gridCol w:w="143"/>
        <w:gridCol w:w="149"/>
        <w:gridCol w:w="875"/>
        <w:gridCol w:w="589"/>
        <w:gridCol w:w="232"/>
        <w:gridCol w:w="347"/>
        <w:gridCol w:w="977"/>
        <w:gridCol w:w="1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单位名称</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trPr>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统一社会信用代码</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trPr>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地址</w:t>
            </w:r>
          </w:p>
        </w:tc>
        <w:tc>
          <w:tcPr>
            <w:tcW w:w="3804" w:type="pct"/>
            <w:gridSpan w:val="11"/>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法定代表人</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职务</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授权代表</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职务</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联系手机</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联系固话</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注册资本</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职工总数</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5" w:type="pct"/>
            <w:gridSpan w:val="3"/>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开户银行</w:t>
            </w:r>
          </w:p>
        </w:tc>
        <w:tc>
          <w:tcPr>
            <w:tcW w:w="1461" w:type="pct"/>
            <w:gridSpan w:val="5"/>
            <w:noWrap w:val="0"/>
            <w:vAlign w:val="center"/>
          </w:tcPr>
          <w:p>
            <w:pPr>
              <w:spacing w:line="480" w:lineRule="auto"/>
              <w:jc w:val="center"/>
              <w:rPr>
                <w:rFonts w:hint="eastAsia" w:ascii="宋体" w:hAnsi="宋体" w:eastAsia="宋体" w:cs="宋体"/>
                <w:b/>
                <w:sz w:val="24"/>
                <w:szCs w:val="20"/>
              </w:rPr>
            </w:pPr>
          </w:p>
        </w:tc>
        <w:tc>
          <w:tcPr>
            <w:tcW w:w="788"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开户行账号</w:t>
            </w:r>
          </w:p>
        </w:tc>
        <w:tc>
          <w:tcPr>
            <w:tcW w:w="1553" w:type="pct"/>
            <w:gridSpan w:val="4"/>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14"/>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主要股东或出资人信息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70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名称</w:t>
            </w:r>
          </w:p>
          <w:p>
            <w:pPr>
              <w:jc w:val="center"/>
              <w:rPr>
                <w:rFonts w:hint="eastAsia" w:ascii="宋体" w:hAnsi="宋体" w:eastAsia="宋体" w:cs="宋体"/>
                <w:b/>
                <w:sz w:val="24"/>
                <w:szCs w:val="20"/>
              </w:rPr>
            </w:pPr>
            <w:r>
              <w:rPr>
                <w:rFonts w:hint="eastAsia" w:ascii="宋体" w:hAnsi="宋体" w:eastAsia="宋体" w:cs="宋体"/>
                <w:b/>
                <w:sz w:val="24"/>
                <w:szCs w:val="20"/>
              </w:rPr>
              <w:t>（姓名）</w:t>
            </w:r>
          </w:p>
        </w:tc>
        <w:tc>
          <w:tcPr>
            <w:tcW w:w="1416" w:type="pct"/>
            <w:gridSpan w:val="4"/>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统一社会信息用代码</w:t>
            </w:r>
          </w:p>
          <w:p>
            <w:pPr>
              <w:jc w:val="center"/>
              <w:rPr>
                <w:rFonts w:hint="eastAsia" w:ascii="宋体" w:hAnsi="宋体" w:eastAsia="宋体" w:cs="宋体"/>
                <w:b/>
                <w:sz w:val="24"/>
                <w:szCs w:val="20"/>
              </w:rPr>
            </w:pPr>
            <w:r>
              <w:rPr>
                <w:rFonts w:hint="eastAsia" w:ascii="宋体" w:hAnsi="宋体" w:eastAsia="宋体" w:cs="宋体"/>
                <w:b/>
                <w:sz w:val="24"/>
                <w:szCs w:val="20"/>
              </w:rPr>
              <w:t>（身份证号）</w:t>
            </w:r>
          </w:p>
        </w:tc>
        <w:tc>
          <w:tcPr>
            <w:tcW w:w="1070" w:type="pct"/>
            <w:gridSpan w:val="5"/>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出资额</w:t>
            </w:r>
          </w:p>
          <w:p>
            <w:pPr>
              <w:jc w:val="center"/>
              <w:rPr>
                <w:rFonts w:hint="eastAsia" w:ascii="宋体" w:hAnsi="宋体" w:eastAsia="宋体" w:cs="宋体"/>
                <w:b/>
                <w:sz w:val="24"/>
                <w:szCs w:val="20"/>
              </w:rPr>
            </w:pPr>
            <w:r>
              <w:rPr>
                <w:rFonts w:hint="eastAsia" w:ascii="宋体" w:hAnsi="宋体" w:eastAsia="宋体" w:cs="宋体"/>
                <w:b/>
                <w:sz w:val="24"/>
                <w:szCs w:val="20"/>
              </w:rPr>
              <w:t>（人民币/万元）</w:t>
            </w:r>
          </w:p>
        </w:tc>
        <w:tc>
          <w:tcPr>
            <w:tcW w:w="713"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出资方式</w:t>
            </w:r>
          </w:p>
        </w:tc>
        <w:tc>
          <w:tcPr>
            <w:tcW w:w="71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占全部股份比例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1</w:t>
            </w:r>
          </w:p>
        </w:tc>
        <w:tc>
          <w:tcPr>
            <w:tcW w:w="708" w:type="pct"/>
            <w:noWrap w:val="0"/>
            <w:vAlign w:val="center"/>
          </w:tcPr>
          <w:p>
            <w:pPr>
              <w:spacing w:line="480" w:lineRule="auto"/>
              <w:jc w:val="center"/>
              <w:rPr>
                <w:rFonts w:hint="eastAsia" w:ascii="宋体" w:hAnsi="宋体" w:eastAsia="宋体" w:cs="宋体"/>
                <w:b/>
                <w:sz w:val="24"/>
                <w:szCs w:val="20"/>
              </w:rPr>
            </w:pPr>
          </w:p>
        </w:tc>
        <w:tc>
          <w:tcPr>
            <w:tcW w:w="1416" w:type="pct"/>
            <w:gridSpan w:val="4"/>
            <w:noWrap w:val="0"/>
            <w:vAlign w:val="center"/>
          </w:tcPr>
          <w:p>
            <w:pPr>
              <w:spacing w:line="480" w:lineRule="auto"/>
              <w:jc w:val="center"/>
              <w:rPr>
                <w:rFonts w:hint="eastAsia" w:ascii="宋体" w:hAnsi="宋体" w:eastAsia="宋体" w:cs="宋体"/>
                <w:b/>
                <w:sz w:val="24"/>
                <w:szCs w:val="20"/>
              </w:rPr>
            </w:pPr>
          </w:p>
        </w:tc>
        <w:tc>
          <w:tcPr>
            <w:tcW w:w="1070" w:type="pct"/>
            <w:gridSpan w:val="5"/>
            <w:noWrap w:val="0"/>
            <w:vAlign w:val="center"/>
          </w:tcPr>
          <w:p>
            <w:pPr>
              <w:spacing w:line="480" w:lineRule="auto"/>
              <w:jc w:val="center"/>
              <w:rPr>
                <w:rFonts w:hint="eastAsia" w:ascii="宋体" w:hAnsi="宋体" w:eastAsia="宋体" w:cs="宋体"/>
                <w:b/>
                <w:sz w:val="24"/>
                <w:szCs w:val="20"/>
              </w:rPr>
            </w:pPr>
          </w:p>
        </w:tc>
        <w:tc>
          <w:tcPr>
            <w:tcW w:w="713" w:type="pct"/>
            <w:gridSpan w:val="2"/>
            <w:noWrap w:val="0"/>
            <w:vAlign w:val="center"/>
          </w:tcPr>
          <w:p>
            <w:pPr>
              <w:spacing w:line="480" w:lineRule="auto"/>
              <w:jc w:val="center"/>
              <w:rPr>
                <w:rFonts w:hint="eastAsia" w:ascii="宋体" w:hAnsi="宋体" w:eastAsia="宋体" w:cs="宋体"/>
                <w:b/>
                <w:sz w:val="24"/>
                <w:szCs w:val="20"/>
              </w:rPr>
            </w:pPr>
          </w:p>
        </w:tc>
        <w:tc>
          <w:tcPr>
            <w:tcW w:w="715" w:type="pct"/>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2</w:t>
            </w:r>
          </w:p>
        </w:tc>
        <w:tc>
          <w:tcPr>
            <w:tcW w:w="708" w:type="pct"/>
            <w:noWrap w:val="0"/>
            <w:vAlign w:val="center"/>
          </w:tcPr>
          <w:p>
            <w:pPr>
              <w:spacing w:line="480" w:lineRule="auto"/>
              <w:jc w:val="center"/>
              <w:rPr>
                <w:rFonts w:hint="eastAsia" w:ascii="宋体" w:hAnsi="宋体" w:eastAsia="宋体" w:cs="宋体"/>
                <w:b/>
                <w:sz w:val="24"/>
                <w:szCs w:val="20"/>
              </w:rPr>
            </w:pPr>
          </w:p>
        </w:tc>
        <w:tc>
          <w:tcPr>
            <w:tcW w:w="1416" w:type="pct"/>
            <w:gridSpan w:val="4"/>
            <w:noWrap w:val="0"/>
            <w:vAlign w:val="center"/>
          </w:tcPr>
          <w:p>
            <w:pPr>
              <w:spacing w:line="480" w:lineRule="auto"/>
              <w:jc w:val="center"/>
              <w:rPr>
                <w:rFonts w:hint="eastAsia" w:ascii="宋体" w:hAnsi="宋体" w:eastAsia="宋体" w:cs="宋体"/>
                <w:b/>
                <w:sz w:val="24"/>
                <w:szCs w:val="20"/>
              </w:rPr>
            </w:pPr>
          </w:p>
        </w:tc>
        <w:tc>
          <w:tcPr>
            <w:tcW w:w="1070" w:type="pct"/>
            <w:gridSpan w:val="5"/>
            <w:noWrap w:val="0"/>
            <w:vAlign w:val="center"/>
          </w:tcPr>
          <w:p>
            <w:pPr>
              <w:spacing w:line="480" w:lineRule="auto"/>
              <w:jc w:val="center"/>
              <w:rPr>
                <w:rFonts w:hint="eastAsia" w:ascii="宋体" w:hAnsi="宋体" w:eastAsia="宋体" w:cs="宋体"/>
                <w:b/>
                <w:sz w:val="24"/>
                <w:szCs w:val="20"/>
              </w:rPr>
            </w:pPr>
          </w:p>
        </w:tc>
        <w:tc>
          <w:tcPr>
            <w:tcW w:w="713" w:type="pct"/>
            <w:gridSpan w:val="2"/>
            <w:noWrap w:val="0"/>
            <w:vAlign w:val="center"/>
          </w:tcPr>
          <w:p>
            <w:pPr>
              <w:spacing w:line="480" w:lineRule="auto"/>
              <w:jc w:val="center"/>
              <w:rPr>
                <w:rFonts w:hint="eastAsia" w:ascii="宋体" w:hAnsi="宋体" w:eastAsia="宋体" w:cs="宋体"/>
                <w:b/>
                <w:sz w:val="24"/>
                <w:szCs w:val="20"/>
              </w:rPr>
            </w:pPr>
          </w:p>
        </w:tc>
        <w:tc>
          <w:tcPr>
            <w:tcW w:w="715" w:type="pct"/>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08"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1416" w:type="pct"/>
            <w:gridSpan w:val="4"/>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1070" w:type="pct"/>
            <w:gridSpan w:val="5"/>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13" w:type="pct"/>
            <w:gridSpan w:val="2"/>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c>
          <w:tcPr>
            <w:tcW w:w="715" w:type="pct"/>
            <w:noWrap w:val="0"/>
            <w:vAlign w:val="center"/>
          </w:tcPr>
          <w:p>
            <w:pPr>
              <w:spacing w:line="480" w:lineRule="auto"/>
              <w:jc w:val="center"/>
              <w:rPr>
                <w:rFonts w:hint="eastAsia" w:ascii="宋体" w:hAnsi="宋体" w:eastAsia="宋体" w:cs="宋体"/>
                <w:b/>
                <w:sz w:val="24"/>
                <w:szCs w:val="20"/>
              </w:rPr>
            </w:pPr>
            <w:r>
              <w:rPr>
                <w:rFonts w:hint="eastAsia" w:ascii="宋体" w:hAnsi="宋体" w:eastAsia="宋体" w:cs="宋体"/>
                <w:b/>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5000" w:type="pct"/>
            <w:gridSpan w:val="14"/>
            <w:noWrap w:val="0"/>
            <w:vAlign w:val="center"/>
          </w:tcPr>
          <w:p>
            <w:pPr>
              <w:spacing w:line="480" w:lineRule="auto"/>
              <w:jc w:val="center"/>
              <w:rPr>
                <w:rFonts w:hint="eastAsia" w:ascii="宋体" w:hAnsi="宋体" w:eastAsia="宋体" w:cs="宋体"/>
                <w:b/>
                <w:kern w:val="0"/>
                <w:sz w:val="24"/>
                <w:szCs w:val="20"/>
              </w:rPr>
            </w:pPr>
            <w:r>
              <w:rPr>
                <w:rFonts w:hint="eastAsia" w:ascii="宋体" w:hAnsi="宋体" w:eastAsia="宋体" w:cs="宋体"/>
                <w:b/>
                <w:sz w:val="24"/>
                <w:szCs w:val="20"/>
              </w:rPr>
              <w:t>财务状况（近三年）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年度</w:t>
            </w:r>
          </w:p>
        </w:tc>
        <w:tc>
          <w:tcPr>
            <w:tcW w:w="864" w:type="pct"/>
            <w:gridSpan w:val="3"/>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资产总额</w:t>
            </w:r>
          </w:p>
        </w:tc>
        <w:tc>
          <w:tcPr>
            <w:tcW w:w="708" w:type="pct"/>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营业收入</w:t>
            </w:r>
          </w:p>
        </w:tc>
        <w:tc>
          <w:tcPr>
            <w:tcW w:w="629"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净利润</w:t>
            </w:r>
          </w:p>
        </w:tc>
        <w:tc>
          <w:tcPr>
            <w:tcW w:w="551" w:type="pct"/>
            <w:gridSpan w:val="2"/>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净资产收益率</w:t>
            </w:r>
          </w:p>
        </w:tc>
        <w:tc>
          <w:tcPr>
            <w:tcW w:w="629" w:type="pct"/>
            <w:gridSpan w:val="3"/>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净利</w:t>
            </w:r>
            <w:bookmarkStart w:id="129" w:name="_Toc536630073"/>
            <w:r>
              <w:rPr>
                <w:rFonts w:hint="eastAsia" w:ascii="宋体" w:hAnsi="宋体" w:eastAsia="宋体" w:cs="宋体"/>
                <w:b/>
                <w:sz w:val="24"/>
                <w:szCs w:val="20"/>
              </w:rPr>
              <w:t>润现金比率</w:t>
            </w:r>
          </w:p>
        </w:tc>
        <w:tc>
          <w:tcPr>
            <w:tcW w:w="524" w:type="pct"/>
            <w:tcBorders>
              <w:right w:val="single" w:color="auto" w:sz="8" w:space="0"/>
            </w:tcBorders>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总资产周</w:t>
            </w:r>
            <w:bookmarkEnd w:id="129"/>
            <w:r>
              <w:rPr>
                <w:rFonts w:hint="eastAsia" w:ascii="宋体" w:hAnsi="宋体" w:eastAsia="宋体" w:cs="宋体"/>
                <w:b/>
                <w:sz w:val="24"/>
                <w:szCs w:val="20"/>
              </w:rPr>
              <w:t>转率</w:t>
            </w:r>
          </w:p>
        </w:tc>
        <w:tc>
          <w:tcPr>
            <w:tcW w:w="715" w:type="pct"/>
            <w:tcBorders>
              <w:left w:val="single" w:color="auto" w:sz="8" w:space="0"/>
            </w:tcBorders>
            <w:noWrap w:val="0"/>
            <w:vAlign w:val="center"/>
          </w:tcPr>
          <w:p>
            <w:pPr>
              <w:jc w:val="center"/>
              <w:rPr>
                <w:rFonts w:hint="eastAsia" w:ascii="宋体" w:hAnsi="宋体" w:eastAsia="宋体" w:cs="宋体"/>
                <w:b/>
                <w:sz w:val="24"/>
                <w:szCs w:val="20"/>
              </w:rPr>
            </w:pPr>
            <w:r>
              <w:rPr>
                <w:rFonts w:hint="eastAsia" w:ascii="宋体" w:hAnsi="宋体" w:eastAsia="宋体" w:cs="宋体"/>
                <w:b/>
                <w:sz w:val="24"/>
                <w:szCs w:val="20"/>
              </w:rPr>
              <w:t>资产负债率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375" w:type="pct"/>
            <w:noWrap w:val="0"/>
            <w:vAlign w:val="center"/>
          </w:tcPr>
          <w:p>
            <w:pPr>
              <w:spacing w:line="480" w:lineRule="auto"/>
              <w:jc w:val="center"/>
              <w:rPr>
                <w:rFonts w:hint="eastAsia" w:ascii="宋体" w:hAnsi="宋体" w:eastAsia="宋体" w:cs="宋体"/>
                <w:b/>
                <w:sz w:val="24"/>
                <w:szCs w:val="20"/>
              </w:rPr>
            </w:pPr>
          </w:p>
        </w:tc>
        <w:tc>
          <w:tcPr>
            <w:tcW w:w="864" w:type="pct"/>
            <w:gridSpan w:val="3"/>
            <w:noWrap w:val="0"/>
            <w:vAlign w:val="center"/>
          </w:tcPr>
          <w:p>
            <w:pPr>
              <w:spacing w:line="480" w:lineRule="auto"/>
              <w:jc w:val="center"/>
              <w:rPr>
                <w:rFonts w:hint="eastAsia" w:ascii="宋体" w:hAnsi="宋体" w:eastAsia="宋体" w:cs="宋体"/>
                <w:b/>
                <w:sz w:val="24"/>
                <w:szCs w:val="20"/>
              </w:rPr>
            </w:pPr>
          </w:p>
        </w:tc>
        <w:tc>
          <w:tcPr>
            <w:tcW w:w="708" w:type="pct"/>
            <w:noWrap w:val="0"/>
            <w:vAlign w:val="center"/>
          </w:tcPr>
          <w:p>
            <w:pPr>
              <w:spacing w:line="480" w:lineRule="auto"/>
              <w:jc w:val="center"/>
              <w:rPr>
                <w:rFonts w:hint="eastAsia" w:ascii="宋体" w:hAnsi="宋体" w:eastAsia="宋体" w:cs="宋体"/>
                <w:b/>
                <w:sz w:val="24"/>
                <w:szCs w:val="20"/>
              </w:rPr>
            </w:pPr>
          </w:p>
        </w:tc>
        <w:tc>
          <w:tcPr>
            <w:tcW w:w="629" w:type="pct"/>
            <w:gridSpan w:val="2"/>
            <w:noWrap w:val="0"/>
            <w:vAlign w:val="center"/>
          </w:tcPr>
          <w:p>
            <w:pPr>
              <w:spacing w:line="480" w:lineRule="auto"/>
              <w:jc w:val="center"/>
              <w:rPr>
                <w:rFonts w:hint="eastAsia" w:ascii="宋体" w:hAnsi="宋体" w:eastAsia="宋体" w:cs="宋体"/>
                <w:b/>
                <w:sz w:val="24"/>
                <w:szCs w:val="20"/>
              </w:rPr>
            </w:pPr>
          </w:p>
        </w:tc>
        <w:tc>
          <w:tcPr>
            <w:tcW w:w="551" w:type="pct"/>
            <w:gridSpan w:val="2"/>
            <w:noWrap w:val="0"/>
            <w:vAlign w:val="center"/>
          </w:tcPr>
          <w:p>
            <w:pPr>
              <w:spacing w:line="480" w:lineRule="auto"/>
              <w:jc w:val="center"/>
              <w:rPr>
                <w:rFonts w:hint="eastAsia" w:ascii="宋体" w:hAnsi="宋体" w:eastAsia="宋体" w:cs="宋体"/>
                <w:b/>
                <w:sz w:val="24"/>
                <w:szCs w:val="20"/>
              </w:rPr>
            </w:pPr>
          </w:p>
        </w:tc>
        <w:tc>
          <w:tcPr>
            <w:tcW w:w="629" w:type="pct"/>
            <w:gridSpan w:val="3"/>
            <w:noWrap w:val="0"/>
            <w:vAlign w:val="center"/>
          </w:tcPr>
          <w:p>
            <w:pPr>
              <w:spacing w:line="480" w:lineRule="auto"/>
              <w:jc w:val="center"/>
              <w:rPr>
                <w:rFonts w:hint="eastAsia" w:ascii="宋体" w:hAnsi="宋体" w:eastAsia="宋体" w:cs="宋体"/>
                <w:b/>
                <w:sz w:val="24"/>
                <w:szCs w:val="20"/>
              </w:rPr>
            </w:pPr>
          </w:p>
        </w:tc>
        <w:tc>
          <w:tcPr>
            <w:tcW w:w="524" w:type="pct"/>
            <w:tcBorders>
              <w:right w:val="single" w:color="auto" w:sz="8" w:space="0"/>
            </w:tcBorders>
            <w:noWrap w:val="0"/>
            <w:vAlign w:val="center"/>
          </w:tcPr>
          <w:p>
            <w:pPr>
              <w:spacing w:line="480" w:lineRule="auto"/>
              <w:jc w:val="center"/>
              <w:rPr>
                <w:rFonts w:hint="eastAsia" w:ascii="宋体" w:hAnsi="宋体" w:eastAsia="宋体" w:cs="宋体"/>
                <w:b/>
                <w:sz w:val="24"/>
                <w:szCs w:val="20"/>
              </w:rPr>
            </w:pPr>
          </w:p>
        </w:tc>
        <w:tc>
          <w:tcPr>
            <w:tcW w:w="715" w:type="pct"/>
            <w:tcBorders>
              <w:left w:val="single" w:color="auto" w:sz="8" w:space="0"/>
            </w:tcBorders>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5" w:type="pct"/>
            <w:noWrap w:val="0"/>
            <w:vAlign w:val="center"/>
          </w:tcPr>
          <w:p>
            <w:pPr>
              <w:spacing w:line="480" w:lineRule="auto"/>
              <w:jc w:val="center"/>
              <w:rPr>
                <w:rFonts w:hint="eastAsia" w:ascii="宋体" w:hAnsi="宋体" w:eastAsia="宋体" w:cs="宋体"/>
                <w:b/>
                <w:sz w:val="24"/>
                <w:szCs w:val="20"/>
              </w:rPr>
            </w:pPr>
          </w:p>
        </w:tc>
        <w:tc>
          <w:tcPr>
            <w:tcW w:w="864" w:type="pct"/>
            <w:gridSpan w:val="3"/>
            <w:noWrap w:val="0"/>
            <w:vAlign w:val="center"/>
          </w:tcPr>
          <w:p>
            <w:pPr>
              <w:spacing w:line="480" w:lineRule="auto"/>
              <w:jc w:val="center"/>
              <w:rPr>
                <w:rFonts w:hint="eastAsia" w:ascii="宋体" w:hAnsi="宋体" w:eastAsia="宋体" w:cs="宋体"/>
                <w:b/>
                <w:sz w:val="24"/>
                <w:szCs w:val="20"/>
              </w:rPr>
            </w:pPr>
          </w:p>
        </w:tc>
        <w:tc>
          <w:tcPr>
            <w:tcW w:w="708" w:type="pct"/>
            <w:noWrap w:val="0"/>
            <w:vAlign w:val="center"/>
          </w:tcPr>
          <w:p>
            <w:pPr>
              <w:spacing w:line="480" w:lineRule="auto"/>
              <w:jc w:val="center"/>
              <w:rPr>
                <w:rFonts w:hint="eastAsia" w:ascii="宋体" w:hAnsi="宋体" w:eastAsia="宋体" w:cs="宋体"/>
                <w:b/>
                <w:sz w:val="24"/>
                <w:szCs w:val="20"/>
              </w:rPr>
            </w:pPr>
          </w:p>
        </w:tc>
        <w:tc>
          <w:tcPr>
            <w:tcW w:w="629" w:type="pct"/>
            <w:gridSpan w:val="2"/>
            <w:noWrap w:val="0"/>
            <w:vAlign w:val="center"/>
          </w:tcPr>
          <w:p>
            <w:pPr>
              <w:spacing w:line="480" w:lineRule="auto"/>
              <w:jc w:val="center"/>
              <w:rPr>
                <w:rFonts w:hint="eastAsia" w:ascii="宋体" w:hAnsi="宋体" w:eastAsia="宋体" w:cs="宋体"/>
                <w:b/>
                <w:sz w:val="24"/>
                <w:szCs w:val="20"/>
              </w:rPr>
            </w:pPr>
          </w:p>
        </w:tc>
        <w:tc>
          <w:tcPr>
            <w:tcW w:w="551" w:type="pct"/>
            <w:gridSpan w:val="2"/>
            <w:noWrap w:val="0"/>
            <w:vAlign w:val="center"/>
          </w:tcPr>
          <w:p>
            <w:pPr>
              <w:spacing w:line="480" w:lineRule="auto"/>
              <w:jc w:val="center"/>
              <w:rPr>
                <w:rFonts w:hint="eastAsia" w:ascii="宋体" w:hAnsi="宋体" w:eastAsia="宋体" w:cs="宋体"/>
                <w:b/>
                <w:sz w:val="24"/>
                <w:szCs w:val="20"/>
              </w:rPr>
            </w:pPr>
          </w:p>
        </w:tc>
        <w:tc>
          <w:tcPr>
            <w:tcW w:w="629" w:type="pct"/>
            <w:gridSpan w:val="3"/>
            <w:noWrap w:val="0"/>
            <w:vAlign w:val="center"/>
          </w:tcPr>
          <w:p>
            <w:pPr>
              <w:spacing w:line="480" w:lineRule="auto"/>
              <w:jc w:val="center"/>
              <w:rPr>
                <w:rFonts w:hint="eastAsia" w:ascii="宋体" w:hAnsi="宋体" w:eastAsia="宋体" w:cs="宋体"/>
                <w:b/>
                <w:sz w:val="24"/>
                <w:szCs w:val="20"/>
              </w:rPr>
            </w:pPr>
          </w:p>
        </w:tc>
        <w:tc>
          <w:tcPr>
            <w:tcW w:w="524" w:type="pct"/>
            <w:tcBorders>
              <w:right w:val="single" w:color="auto" w:sz="8" w:space="0"/>
            </w:tcBorders>
            <w:noWrap w:val="0"/>
            <w:vAlign w:val="center"/>
          </w:tcPr>
          <w:p>
            <w:pPr>
              <w:spacing w:line="480" w:lineRule="auto"/>
              <w:jc w:val="center"/>
              <w:rPr>
                <w:rFonts w:hint="eastAsia" w:ascii="宋体" w:hAnsi="宋体" w:eastAsia="宋体" w:cs="宋体"/>
                <w:b/>
                <w:sz w:val="24"/>
                <w:szCs w:val="20"/>
              </w:rPr>
            </w:pPr>
          </w:p>
        </w:tc>
        <w:tc>
          <w:tcPr>
            <w:tcW w:w="715" w:type="pct"/>
            <w:tcBorders>
              <w:left w:val="single" w:color="auto" w:sz="8" w:space="0"/>
            </w:tcBorders>
            <w:noWrap w:val="0"/>
            <w:vAlign w:val="center"/>
          </w:tcPr>
          <w:p>
            <w:pPr>
              <w:spacing w:line="480" w:lineRule="auto"/>
              <w:jc w:val="center"/>
              <w:rPr>
                <w:rFonts w:hint="eastAsia" w:ascii="宋体" w:hAnsi="宋体" w:eastAsia="宋体" w:cs="宋体"/>
                <w:b/>
                <w:sz w:val="24"/>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5000" w:type="pct"/>
            <w:gridSpan w:val="14"/>
            <w:noWrap w:val="0"/>
            <w:vAlign w:val="center"/>
          </w:tcPr>
          <w:p>
            <w:pPr>
              <w:spacing w:line="480" w:lineRule="auto"/>
              <w:jc w:val="both"/>
              <w:rPr>
                <w:rFonts w:hint="eastAsia" w:ascii="宋体" w:hAnsi="宋体" w:eastAsia="宋体" w:cs="宋体"/>
                <w:b/>
                <w:sz w:val="24"/>
                <w:szCs w:val="20"/>
              </w:rPr>
            </w:pPr>
            <w:r>
              <w:rPr>
                <w:rFonts w:hint="eastAsia" w:ascii="宋体" w:hAnsi="宋体" w:eastAsia="宋体" w:cs="宋体"/>
                <w:b/>
                <w:sz w:val="24"/>
                <w:szCs w:val="20"/>
              </w:rPr>
              <w:t>公司简介：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00" w:type="pct"/>
            <w:gridSpan w:val="14"/>
            <w:noWrap w:val="0"/>
            <w:vAlign w:val="center"/>
          </w:tcPr>
          <w:p>
            <w:pPr>
              <w:spacing w:line="480" w:lineRule="auto"/>
              <w:jc w:val="both"/>
              <w:rPr>
                <w:rFonts w:hint="eastAsia" w:ascii="宋体" w:hAnsi="宋体" w:eastAsia="宋体" w:cs="宋体"/>
                <w:b/>
                <w:sz w:val="24"/>
                <w:szCs w:val="20"/>
              </w:rPr>
            </w:pPr>
            <w:r>
              <w:rPr>
                <w:rFonts w:hint="eastAsia" w:ascii="宋体" w:hAnsi="宋体" w:eastAsia="宋体" w:cs="宋体"/>
                <w:b/>
                <w:sz w:val="24"/>
                <w:szCs w:val="20"/>
              </w:rPr>
              <w:t>公司优势：</w:t>
            </w:r>
          </w:p>
        </w:tc>
      </w:tr>
    </w:tbl>
    <w:p>
      <w:pPr>
        <w:spacing w:line="480" w:lineRule="auto"/>
        <w:rPr>
          <w:rFonts w:hint="eastAsia" w:ascii="宋体" w:hAnsi="宋体" w:eastAsia="宋体" w:cs="宋体"/>
          <w:sz w:val="16"/>
          <w:szCs w:val="11"/>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请根据《技术商务评审表》依次附以下材料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654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color w:val="auto"/>
                <w:sz w:val="24"/>
                <w:highlight w:val="none"/>
              </w:rPr>
              <w:t>ISO质量管理体系认证、环境管理体系认证、职业健康管理体系认证、</w:t>
            </w:r>
            <w:r>
              <w:rPr>
                <w:rFonts w:hint="eastAsia" w:ascii="宋体" w:hAnsi="宋体"/>
                <w:color w:val="auto"/>
                <w:sz w:val="24"/>
                <w:highlight w:val="none"/>
                <w:lang w:eastAsia="zh-CN"/>
              </w:rPr>
              <w:t>信息安全管理体系认证</w:t>
            </w:r>
            <w:r>
              <w:rPr>
                <w:rFonts w:hint="eastAsia" w:ascii="宋体" w:hAnsi="宋体"/>
                <w:sz w:val="24"/>
              </w:rPr>
              <w:t>复印件</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kern w:val="2"/>
                <w:sz w:val="24"/>
                <w:szCs w:val="20"/>
                <w:lang w:val="en-US" w:eastAsia="zh-CN" w:bidi="ar-SA"/>
              </w:rPr>
            </w:pPr>
            <w:r>
              <w:rPr>
                <w:rFonts w:hint="eastAsia" w:ascii="宋体" w:hAnsi="宋体" w:eastAsia="宋体" w:cs="宋体"/>
                <w:sz w:val="24"/>
                <w:szCs w:val="20"/>
                <w:lang w:val="en-US" w:eastAsia="zh-CN"/>
              </w:rPr>
              <w:t>2</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sz w:val="24"/>
              </w:rPr>
              <w:t>企业组织架构与制度建设相关材料</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cs="宋体"/>
                <w:sz w:val="24"/>
                <w:szCs w:val="20"/>
                <w:lang w:val="en-US" w:eastAsia="zh-CN"/>
              </w:rPr>
              <w:t>3</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sz w:val="24"/>
              </w:rPr>
              <w:t>开展招投标活动场所彩色图片资料及数据说明材料</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cs="宋体"/>
                <w:sz w:val="24"/>
                <w:szCs w:val="20"/>
                <w:lang w:val="en-US" w:eastAsia="zh-CN"/>
              </w:rPr>
              <w:t>4</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sz w:val="24"/>
              </w:rPr>
              <w:t>档案管理制度、档案管理人员名单及档案库房照片</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cs="宋体"/>
                <w:sz w:val="24"/>
                <w:szCs w:val="20"/>
                <w:lang w:val="en-US" w:eastAsia="zh-CN"/>
              </w:rPr>
              <w:t>5</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sz w:val="24"/>
              </w:rPr>
              <w:t>电子招投标系统登录界面截图、评审界面截图、</w:t>
            </w:r>
            <w:r>
              <w:rPr>
                <w:rFonts w:ascii="宋体" w:hAnsi="宋体"/>
                <w:sz w:val="24"/>
              </w:rPr>
              <w:t>著作权登记证书</w:t>
            </w:r>
            <w:r>
              <w:rPr>
                <w:rFonts w:hint="eastAsia" w:ascii="宋体" w:hAnsi="宋体"/>
                <w:sz w:val="24"/>
              </w:rPr>
              <w:t>复印件</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cs="宋体"/>
                <w:sz w:val="24"/>
                <w:szCs w:val="20"/>
                <w:lang w:val="en-US" w:eastAsia="zh-CN"/>
              </w:rPr>
              <w:t>6</w:t>
            </w:r>
          </w:p>
        </w:tc>
        <w:tc>
          <w:tcPr>
            <w:tcW w:w="6545" w:type="dxa"/>
            <w:noWrap w:val="0"/>
            <w:vAlign w:val="center"/>
          </w:tcPr>
          <w:p>
            <w:pPr>
              <w:widowControl/>
              <w:spacing w:line="360" w:lineRule="auto"/>
              <w:jc w:val="left"/>
              <w:rPr>
                <w:rFonts w:hint="eastAsia" w:ascii="宋体" w:hAnsi="宋体" w:eastAsia="宋体" w:cs="Times New Roman"/>
                <w:kern w:val="2"/>
                <w:sz w:val="24"/>
                <w:szCs w:val="24"/>
                <w:lang w:val="en-US" w:eastAsia="zh-CN" w:bidi="ar-SA"/>
              </w:rPr>
            </w:pPr>
            <w:r>
              <w:rPr>
                <w:rFonts w:hint="eastAsia" w:ascii="宋体" w:hAnsi="宋体"/>
                <w:sz w:val="24"/>
              </w:rPr>
              <w:t>专家库系统登录界面和抽取专家系统界面，专家数量数据</w:t>
            </w:r>
            <w:r>
              <w:rPr>
                <w:rFonts w:hint="eastAsia" w:ascii="宋体" w:hAnsi="宋体"/>
                <w:sz w:val="24"/>
                <w:lang w:val="en-US" w:eastAsia="zh-CN"/>
              </w:rPr>
              <w:t>等材料</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7</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响应供应商与律师事务所签定的合同复印件</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8</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质疑预防机制方案</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9</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投诉预防机制方案</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10</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获得采购单位招标代理资格证明文件（中标/中选/入围通知书/入围框架协议书/采购单位证明等材料）的复印件</w:t>
            </w:r>
          </w:p>
        </w:tc>
        <w:tc>
          <w:tcPr>
            <w:tcW w:w="1905" w:type="dxa"/>
            <w:noWrap w:val="0"/>
            <w:vAlign w:val="top"/>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需填写《表格1 招标代理资格统计表》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11</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招标采购项目经验证明材料</w:t>
            </w:r>
          </w:p>
        </w:tc>
        <w:tc>
          <w:tcPr>
            <w:tcW w:w="1905" w:type="dxa"/>
            <w:noWrap w:val="0"/>
            <w:vAlign w:val="top"/>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需填写《表格2招标采购项目经验》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12</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团队人员组织架构，项目负责人</w:t>
            </w:r>
            <w:r>
              <w:rPr>
                <w:rFonts w:hint="eastAsia" w:ascii="宋体" w:hAnsi="宋体" w:cs="宋体"/>
                <w:sz w:val="24"/>
                <w:szCs w:val="20"/>
                <w:lang w:eastAsia="zh-CN"/>
              </w:rPr>
              <w:t>、</w:t>
            </w:r>
            <w:r>
              <w:rPr>
                <w:rFonts w:hint="eastAsia" w:ascii="宋体" w:hAnsi="宋体" w:cs="宋体"/>
                <w:sz w:val="24"/>
                <w:szCs w:val="20"/>
                <w:lang w:val="en-US" w:eastAsia="zh-CN"/>
              </w:rPr>
              <w:t>项目经理</w:t>
            </w:r>
            <w:r>
              <w:rPr>
                <w:rFonts w:hint="eastAsia" w:ascii="宋体" w:hAnsi="宋体" w:eastAsia="宋体" w:cs="宋体"/>
                <w:sz w:val="24"/>
                <w:szCs w:val="20"/>
              </w:rPr>
              <w:t>及团队人员社保证明材料，工作履历材料，相关证书复印件</w:t>
            </w:r>
          </w:p>
        </w:tc>
        <w:tc>
          <w:tcPr>
            <w:tcW w:w="1905" w:type="dxa"/>
            <w:noWrap w:val="0"/>
            <w:vAlign w:val="top"/>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需填写《表格3 拟投入本项目人员情况》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13</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会计师事务所出具的2018-2020年度审计报告及财务报表</w:t>
            </w:r>
          </w:p>
        </w:tc>
        <w:tc>
          <w:tcPr>
            <w:tcW w:w="1905" w:type="dxa"/>
            <w:noWrap w:val="0"/>
            <w:vAlign w:val="top"/>
          </w:tcPr>
          <w:p>
            <w:pPr>
              <w:widowControl/>
              <w:spacing w:line="360" w:lineRule="auto"/>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pPr>
              <w:widowControl/>
              <w:spacing w:line="360" w:lineRule="auto"/>
              <w:jc w:val="center"/>
              <w:rPr>
                <w:rFonts w:hint="eastAsia" w:ascii="宋体" w:hAnsi="宋体" w:eastAsia="宋体" w:cs="宋体"/>
                <w:sz w:val="24"/>
                <w:szCs w:val="20"/>
              </w:rPr>
            </w:pPr>
            <w:r>
              <w:rPr>
                <w:rFonts w:hint="eastAsia" w:ascii="宋体" w:hAnsi="宋体" w:eastAsia="宋体" w:cs="宋体"/>
                <w:sz w:val="24"/>
                <w:szCs w:val="20"/>
              </w:rPr>
              <w:t>……</w:t>
            </w:r>
          </w:p>
        </w:tc>
        <w:tc>
          <w:tcPr>
            <w:tcW w:w="6545" w:type="dxa"/>
            <w:noWrap w:val="0"/>
            <w:vAlign w:val="center"/>
          </w:tcPr>
          <w:p>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根据技术商务评审表需要的其他文件</w:t>
            </w:r>
          </w:p>
        </w:tc>
        <w:tc>
          <w:tcPr>
            <w:tcW w:w="1905" w:type="dxa"/>
            <w:noWrap w:val="0"/>
            <w:vAlign w:val="top"/>
          </w:tcPr>
          <w:p>
            <w:pPr>
              <w:widowControl/>
              <w:spacing w:line="360" w:lineRule="auto"/>
              <w:jc w:val="center"/>
              <w:rPr>
                <w:rFonts w:hint="eastAsia" w:ascii="宋体" w:hAnsi="宋体" w:eastAsia="宋体" w:cs="宋体"/>
                <w:sz w:val="24"/>
                <w:szCs w:val="20"/>
              </w:rPr>
            </w:pPr>
          </w:p>
        </w:tc>
      </w:tr>
    </w:tbl>
    <w:p>
      <w:pPr>
        <w:spacing w:line="480" w:lineRule="auto"/>
        <w:rPr>
          <w:rFonts w:hint="eastAsia" w:ascii="宋体" w:hAnsi="宋体" w:eastAsia="宋体" w:cs="宋体"/>
          <w:sz w:val="24"/>
          <w:szCs w:val="20"/>
        </w:rPr>
      </w:pPr>
    </w:p>
    <w:p>
      <w:pPr>
        <w:rPr>
          <w:rFonts w:hint="eastAsia" w:ascii="宋体" w:hAnsi="宋体" w:eastAsia="宋体"/>
          <w:b/>
          <w:bCs w:val="0"/>
          <w:sz w:val="24"/>
          <w:szCs w:val="24"/>
        </w:rPr>
      </w:pPr>
      <w:r>
        <w:rPr>
          <w:rFonts w:hint="eastAsia" w:ascii="宋体" w:hAnsi="宋体" w:eastAsia="宋体"/>
          <w:b/>
          <w:bCs w:val="0"/>
          <w:sz w:val="24"/>
          <w:szCs w:val="24"/>
        </w:rPr>
        <w:br w:type="page"/>
      </w: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表格1 招标代理资格统计表</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2"/>
        <w:gridCol w:w="1835"/>
        <w:gridCol w:w="2126"/>
        <w:gridCol w:w="1896"/>
        <w:gridCol w:w="2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sz w:val="24"/>
                <w:szCs w:val="24"/>
              </w:rPr>
            </w:pPr>
            <w:bookmarkStart w:id="130" w:name="_Toc500429744"/>
            <w:bookmarkStart w:id="131" w:name="_Toc9263415"/>
            <w:r>
              <w:rPr>
                <w:rFonts w:hint="eastAsia" w:ascii="宋体" w:hAnsi="宋体" w:eastAsia="宋体" w:cs="宋体"/>
                <w:b/>
                <w:bCs/>
                <w:sz w:val="24"/>
                <w:szCs w:val="24"/>
              </w:rPr>
              <w:t>序号</w:t>
            </w:r>
          </w:p>
        </w:tc>
        <w:tc>
          <w:tcPr>
            <w:tcW w:w="98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采购单位名称</w:t>
            </w:r>
          </w:p>
        </w:tc>
        <w:tc>
          <w:tcPr>
            <w:tcW w:w="114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采购项目名称</w:t>
            </w:r>
          </w:p>
        </w:tc>
        <w:tc>
          <w:tcPr>
            <w:tcW w:w="102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委托协议签订时间</w:t>
            </w:r>
          </w:p>
        </w:tc>
        <w:tc>
          <w:tcPr>
            <w:tcW w:w="137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业主单位联系人、联系电话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64"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988"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145"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021"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c>
          <w:tcPr>
            <w:tcW w:w="1379" w:type="pct"/>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000" w:type="pct"/>
            <w:gridSpan w:val="5"/>
            <w:tcBorders>
              <w:top w:val="single" w:color="auto" w:sz="6" w:space="0"/>
              <w:left w:val="single" w:color="auto" w:sz="6" w:space="0"/>
              <w:bottom w:val="single" w:color="auto" w:sz="6" w:space="0"/>
              <w:right w:val="single" w:color="auto" w:sz="6" w:space="0"/>
            </w:tcBorders>
            <w:noWrap w:val="0"/>
            <w:vAlign w:val="top"/>
          </w:tcPr>
          <w:p>
            <w:pPr>
              <w:pStyle w:val="8"/>
              <w:jc w:val="center"/>
              <w:rPr>
                <w:rFonts w:hint="eastAsia" w:ascii="宋体" w:hAnsi="宋体" w:eastAsia="宋体" w:cs="宋体"/>
                <w:sz w:val="24"/>
                <w:szCs w:val="24"/>
              </w:rPr>
            </w:pPr>
            <w:r>
              <w:rPr>
                <w:rFonts w:hint="eastAsia" w:ascii="宋体" w:hAnsi="宋体" w:eastAsia="宋体" w:cs="宋体"/>
                <w:sz w:val="24"/>
                <w:szCs w:val="24"/>
              </w:rPr>
              <w:t>注：根据评审表的要求提供相应资料附在该表后。</w:t>
            </w:r>
          </w:p>
        </w:tc>
      </w:tr>
    </w:tbl>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表格2</w:t>
      </w:r>
      <w:r>
        <w:rPr>
          <w:rFonts w:hint="eastAsia" w:ascii="宋体" w:hAnsi="宋体" w:eastAsia="宋体"/>
          <w:b/>
          <w:bCs w:val="0"/>
          <w:sz w:val="24"/>
          <w:szCs w:val="24"/>
          <w:lang w:val="en-US" w:eastAsia="zh-CN"/>
        </w:rPr>
        <w:t xml:space="preserve"> </w:t>
      </w:r>
      <w:r>
        <w:rPr>
          <w:rFonts w:hint="eastAsia" w:ascii="宋体" w:hAnsi="宋体" w:eastAsia="宋体"/>
          <w:b/>
          <w:bCs w:val="0"/>
          <w:sz w:val="24"/>
          <w:szCs w:val="24"/>
        </w:rPr>
        <w:t>招标采购项目经验</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53"/>
        <w:gridCol w:w="1735"/>
        <w:gridCol w:w="1475"/>
        <w:gridCol w:w="1865"/>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项目类型</w:t>
            </w: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采购项目名称</w:t>
            </w: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预算金额</w:t>
            </w:r>
          </w:p>
          <w:p>
            <w:pPr>
              <w:jc w:val="center"/>
              <w:rPr>
                <w:rFonts w:hint="eastAsia" w:ascii="宋体" w:hAnsi="宋体" w:eastAsia="宋体" w:cs="宋体"/>
                <w:b/>
                <w:bCs/>
                <w:sz w:val="24"/>
                <w:szCs w:val="24"/>
              </w:rPr>
            </w:pPr>
            <w:r>
              <w:rPr>
                <w:rFonts w:hint="eastAsia" w:ascii="宋体" w:hAnsi="宋体" w:eastAsia="宋体" w:cs="宋体"/>
                <w:b/>
                <w:bCs/>
                <w:sz w:val="24"/>
                <w:szCs w:val="24"/>
              </w:rPr>
              <w:t>（万元）</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委托协议签订时间</w:t>
            </w: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业主单位联系人、联系电话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7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sz w:val="24"/>
                <w:szCs w:val="20"/>
                <w:highlight w:val="none"/>
                <w:lang w:eastAsia="zh-CN"/>
              </w:rPr>
              <w:t>国际招标货物类</w:t>
            </w:r>
            <w:r>
              <w:rPr>
                <w:rFonts w:hint="eastAsia" w:ascii="宋体" w:hAnsi="宋体"/>
                <w:sz w:val="24"/>
                <w:szCs w:val="20"/>
                <w:highlight w:val="none"/>
              </w:rPr>
              <w:t>项目</w:t>
            </w:r>
            <w:r>
              <w:rPr>
                <w:rFonts w:hint="eastAsia" w:ascii="宋体" w:hAnsi="宋体"/>
                <w:sz w:val="24"/>
                <w:szCs w:val="20"/>
                <w:highlight w:val="none"/>
                <w:lang w:eastAsia="zh-CN"/>
              </w:rPr>
              <w:t>采购</w:t>
            </w: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675"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7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sz w:val="24"/>
                <w:szCs w:val="20"/>
                <w:highlight w:val="none"/>
                <w:lang w:eastAsia="zh-CN"/>
              </w:rPr>
              <w:t>国内招标货物类</w:t>
            </w:r>
            <w:r>
              <w:rPr>
                <w:rFonts w:hint="eastAsia" w:ascii="宋体" w:hAnsi="宋体"/>
                <w:sz w:val="24"/>
                <w:szCs w:val="20"/>
                <w:highlight w:val="none"/>
              </w:rPr>
              <w:t>项目</w:t>
            </w:r>
            <w:r>
              <w:rPr>
                <w:rFonts w:hint="eastAsia" w:ascii="宋体" w:hAnsi="宋体"/>
                <w:sz w:val="24"/>
                <w:szCs w:val="20"/>
                <w:highlight w:val="none"/>
                <w:lang w:eastAsia="zh-CN"/>
              </w:rPr>
              <w:t>采购</w:t>
            </w: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pStyle w:val="37"/>
              <w:ind w:right="-105"/>
              <w:rPr>
                <w:rFonts w:hint="eastAsia" w:ascii="宋体" w:hAnsi="宋体" w:eastAsia="宋体" w:cs="宋体"/>
                <w:color w:val="auto"/>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675"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pStyle w:val="37"/>
              <w:ind w:right="-105"/>
              <w:rPr>
                <w:rFonts w:hint="eastAsia" w:ascii="宋体" w:hAnsi="宋体" w:eastAsia="宋体" w:cs="宋体"/>
                <w:color w:val="auto"/>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67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sz w:val="24"/>
                <w:szCs w:val="20"/>
                <w:highlight w:val="none"/>
                <w:lang w:eastAsia="zh-CN"/>
              </w:rPr>
              <w:t>国内招标服务类</w:t>
            </w:r>
            <w:r>
              <w:rPr>
                <w:rFonts w:hint="eastAsia" w:ascii="宋体" w:hAnsi="宋体"/>
                <w:sz w:val="24"/>
                <w:szCs w:val="20"/>
                <w:highlight w:val="none"/>
              </w:rPr>
              <w:t>项目</w:t>
            </w:r>
            <w:r>
              <w:rPr>
                <w:rFonts w:hint="eastAsia" w:ascii="宋体" w:hAnsi="宋体"/>
                <w:sz w:val="24"/>
                <w:szCs w:val="20"/>
                <w:highlight w:val="none"/>
                <w:lang w:eastAsia="zh-CN"/>
              </w:rPr>
              <w:t>采购</w:t>
            </w: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675"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67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sz w:val="24"/>
                <w:szCs w:val="20"/>
                <w:highlight w:val="none"/>
                <w:lang w:eastAsia="zh-CN"/>
              </w:rPr>
              <w:t>国内招标工程类</w:t>
            </w:r>
            <w:r>
              <w:rPr>
                <w:rFonts w:hint="eastAsia" w:ascii="宋体" w:hAnsi="宋体"/>
                <w:sz w:val="24"/>
                <w:szCs w:val="20"/>
                <w:highlight w:val="none"/>
              </w:rPr>
              <w:t>项目</w:t>
            </w:r>
            <w:r>
              <w:rPr>
                <w:rFonts w:hint="eastAsia" w:ascii="宋体" w:hAnsi="宋体"/>
                <w:sz w:val="24"/>
                <w:szCs w:val="20"/>
                <w:highlight w:val="none"/>
                <w:lang w:eastAsia="zh-CN"/>
              </w:rPr>
              <w:t>采购</w:t>
            </w: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675"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注：根据评审表的要求提供相应资料附在该表后。</w:t>
            </w:r>
          </w:p>
        </w:tc>
      </w:tr>
    </w:tbl>
    <w:p>
      <w:pPr>
        <w:widowControl/>
        <w:jc w:val="left"/>
        <w:rPr>
          <w:rFonts w:ascii="宋体" w:hAnsi="宋体"/>
          <w:b/>
          <w:szCs w:val="21"/>
        </w:rPr>
      </w:pPr>
    </w:p>
    <w:p>
      <w:pPr>
        <w:rPr>
          <w:rFonts w:hint="eastAsia" w:ascii="宋体" w:hAnsi="宋体" w:eastAsia="宋体"/>
          <w:b/>
          <w:bCs w:val="0"/>
          <w:sz w:val="24"/>
          <w:szCs w:val="24"/>
        </w:rPr>
      </w:pPr>
      <w:r>
        <w:rPr>
          <w:rFonts w:hint="eastAsia" w:ascii="宋体" w:hAnsi="宋体" w:eastAsia="宋体"/>
          <w:b/>
          <w:bCs w:val="0"/>
          <w:sz w:val="24"/>
          <w:szCs w:val="24"/>
        </w:rPr>
        <w:br w:type="page"/>
      </w:r>
    </w:p>
    <w:p>
      <w:pPr>
        <w:spacing w:after="156" w:afterLines="50"/>
        <w:jc w:val="center"/>
        <w:rPr>
          <w:rFonts w:hint="eastAsia" w:ascii="宋体" w:hAnsi="宋体" w:eastAsia="宋体"/>
          <w:b/>
          <w:bCs w:val="0"/>
          <w:sz w:val="24"/>
          <w:szCs w:val="24"/>
        </w:rPr>
      </w:pPr>
    </w:p>
    <w:p>
      <w:pPr>
        <w:spacing w:after="156" w:afterLines="50"/>
        <w:jc w:val="center"/>
        <w:rPr>
          <w:rFonts w:hint="eastAsia" w:ascii="宋体" w:hAnsi="宋体" w:eastAsia="宋体"/>
          <w:b/>
          <w:bCs w:val="0"/>
          <w:sz w:val="24"/>
          <w:szCs w:val="24"/>
        </w:rPr>
      </w:pPr>
      <w:r>
        <w:rPr>
          <w:rFonts w:hint="eastAsia" w:ascii="宋体" w:hAnsi="宋体" w:eastAsia="宋体"/>
          <w:b/>
          <w:bCs w:val="0"/>
          <w:sz w:val="24"/>
          <w:szCs w:val="24"/>
        </w:rPr>
        <w:t>表格3 拟投入本项目人员情况表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18"/>
        <w:gridCol w:w="1319"/>
        <w:gridCol w:w="1319"/>
        <w:gridCol w:w="1263"/>
        <w:gridCol w:w="135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7"/>
            <w:noWrap w:val="0"/>
            <w:vAlign w:val="top"/>
          </w:tcPr>
          <w:p>
            <w:pP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rPr>
              <w:t>项目负责人</w:t>
            </w:r>
            <w:r>
              <w:rPr>
                <w:rFonts w:hint="eastAsia" w:ascii="宋体" w:hAnsi="宋体" w:cs="宋体"/>
                <w:b/>
                <w:bCs/>
                <w:sz w:val="24"/>
                <w:szCs w:val="24"/>
                <w:lang w:eastAsia="zh-CN"/>
              </w:rPr>
              <w:t>、</w:t>
            </w:r>
            <w:r>
              <w:rPr>
                <w:rFonts w:hint="eastAsia" w:ascii="宋体" w:hAnsi="宋体" w:cs="宋体"/>
                <w:b/>
                <w:bCs/>
                <w:sz w:val="24"/>
                <w:szCs w:val="24"/>
                <w:lang w:val="en-US" w:eastAsia="zh-CN"/>
              </w:rPr>
              <w:t>项目经理</w:t>
            </w:r>
            <w:r>
              <w:rPr>
                <w:rFonts w:hint="eastAsia" w:ascii="宋体" w:hAnsi="宋体" w:eastAsia="宋体" w:cs="宋体"/>
                <w:b/>
                <w:bCs/>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职责分工</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现职务</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68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从事采购工作年限</w:t>
            </w:r>
          </w:p>
        </w:tc>
        <w:tc>
          <w:tcPr>
            <w:tcW w:w="755"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2" w:type="pct"/>
            <w:noWrap w:val="0"/>
            <w:vAlign w:val="center"/>
          </w:tcPr>
          <w:p>
            <w:pPr>
              <w:jc w:val="center"/>
              <w:rPr>
                <w:rFonts w:hint="eastAsia" w:ascii="宋体" w:hAnsi="宋体" w:eastAsia="宋体" w:cs="宋体"/>
                <w:b/>
                <w:sz w:val="24"/>
                <w:szCs w:val="24"/>
              </w:rPr>
            </w:pPr>
            <w:r>
              <w:rPr>
                <w:rFonts w:hint="eastAsia" w:ascii="宋体" w:hAnsi="宋体" w:eastAsia="宋体" w:cs="宋体"/>
                <w:sz w:val="24"/>
                <w:szCs w:val="24"/>
              </w:rPr>
              <w:t>项目负责人</w:t>
            </w: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2" w:type="pc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val="en-US" w:eastAsia="zh-CN"/>
              </w:rPr>
              <w:t>经理</w:t>
            </w: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000" w:type="pct"/>
            <w:gridSpan w:val="7"/>
            <w:noWrap w:val="0"/>
            <w:vAlign w:val="center"/>
          </w:tcPr>
          <w:p>
            <w:pPr>
              <w:ind w:firstLine="12"/>
              <w:jc w:val="left"/>
              <w:rPr>
                <w:rFonts w:hint="eastAsia" w:ascii="宋体" w:hAnsi="宋体" w:eastAsia="宋体" w:cs="宋体"/>
                <w:b/>
                <w:sz w:val="24"/>
                <w:szCs w:val="24"/>
              </w:rPr>
            </w:pPr>
            <w:r>
              <w:rPr>
                <w:rFonts w:hint="eastAsia" w:ascii="宋体" w:hAnsi="宋体" w:eastAsia="宋体" w:cs="宋体"/>
                <w:b/>
                <w:bCs/>
                <w:sz w:val="24"/>
                <w:szCs w:val="24"/>
              </w:rPr>
              <w:t>2</w:t>
            </w:r>
            <w:r>
              <w:rPr>
                <w:rFonts w:hint="eastAsia" w:ascii="宋体" w:hAnsi="宋体" w:cs="宋体"/>
                <w:b/>
                <w:bCs/>
                <w:sz w:val="24"/>
                <w:szCs w:val="24"/>
                <w:lang w:eastAsia="zh-CN"/>
              </w:rPr>
              <w:t>、</w:t>
            </w:r>
            <w:r>
              <w:rPr>
                <w:rFonts w:hint="eastAsia" w:ascii="宋体" w:hAnsi="宋体" w:eastAsia="宋体" w:cs="宋体"/>
                <w:b/>
                <w:bCs/>
                <w:sz w:val="24"/>
                <w:szCs w:val="24"/>
              </w:rPr>
              <w:t>项目项目负责人</w:t>
            </w:r>
            <w:r>
              <w:rPr>
                <w:rFonts w:hint="eastAsia" w:ascii="宋体" w:hAnsi="宋体" w:cs="宋体"/>
                <w:b/>
                <w:bCs/>
                <w:sz w:val="24"/>
                <w:szCs w:val="24"/>
                <w:lang w:eastAsia="zh-CN"/>
              </w:rPr>
              <w:t>、</w:t>
            </w:r>
            <w:r>
              <w:rPr>
                <w:rFonts w:hint="eastAsia" w:ascii="宋体" w:hAnsi="宋体" w:cs="宋体"/>
                <w:b/>
                <w:bCs/>
                <w:sz w:val="24"/>
                <w:szCs w:val="24"/>
                <w:lang w:val="en-US" w:eastAsia="zh-CN"/>
              </w:rPr>
              <w:t>项目经理</w:t>
            </w:r>
            <w:r>
              <w:rPr>
                <w:rFonts w:hint="eastAsia" w:ascii="宋体" w:hAnsi="宋体" w:eastAsia="宋体" w:cs="宋体"/>
                <w:b/>
                <w:bCs/>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任职时间</w:t>
            </w:r>
          </w:p>
        </w:tc>
        <w:tc>
          <w:tcPr>
            <w:tcW w:w="710" w:type="pct"/>
            <w:noWrap w:val="0"/>
            <w:vAlign w:val="center"/>
          </w:tcPr>
          <w:p>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工作单位</w:t>
            </w:r>
          </w:p>
        </w:tc>
        <w:tc>
          <w:tcPr>
            <w:tcW w:w="710" w:type="pct"/>
            <w:noWrap w:val="0"/>
            <w:vAlign w:val="center"/>
          </w:tcPr>
          <w:p>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工作内容</w:t>
            </w:r>
          </w:p>
        </w:tc>
        <w:tc>
          <w:tcPr>
            <w:tcW w:w="68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所任职务</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证明人</w:t>
            </w:r>
          </w:p>
        </w:tc>
        <w:tc>
          <w:tcPr>
            <w:tcW w:w="755"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证明人联系电话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2" w:type="pct"/>
            <w:noWrap w:val="0"/>
            <w:vAlign w:val="center"/>
          </w:tcPr>
          <w:p>
            <w:pPr>
              <w:jc w:val="center"/>
              <w:rPr>
                <w:rFonts w:hint="eastAsia" w:ascii="宋体" w:hAnsi="宋体" w:eastAsia="宋体" w:cs="宋体"/>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2" w:type="pct"/>
            <w:noWrap w:val="0"/>
            <w:vAlign w:val="center"/>
          </w:tcPr>
          <w:p>
            <w:pPr>
              <w:jc w:val="center"/>
              <w:rPr>
                <w:rFonts w:hint="eastAsia" w:ascii="宋体" w:hAnsi="宋体" w:eastAsia="宋体" w:cs="宋体"/>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7"/>
            <w:noWrap w:val="0"/>
            <w:vAlign w:val="center"/>
          </w:tcPr>
          <w:p>
            <w:pPr>
              <w:ind w:firstLine="12"/>
              <w:jc w:val="left"/>
              <w:rPr>
                <w:rFonts w:hint="eastAsia" w:ascii="宋体" w:hAnsi="宋体" w:eastAsia="宋体" w:cs="宋体"/>
                <w:b/>
                <w:sz w:val="24"/>
                <w:szCs w:val="24"/>
              </w:rPr>
            </w:pPr>
            <w:r>
              <w:rPr>
                <w:rFonts w:hint="eastAsia" w:ascii="宋体" w:hAnsi="宋体" w:eastAsia="宋体" w:cs="宋体"/>
                <w:b/>
                <w:bCs/>
                <w:sz w:val="24"/>
                <w:szCs w:val="24"/>
              </w:rPr>
              <w:t>3</w:t>
            </w:r>
            <w:r>
              <w:rPr>
                <w:rFonts w:hint="eastAsia" w:ascii="宋体" w:hAnsi="宋体" w:cs="宋体"/>
                <w:b/>
                <w:bCs/>
                <w:sz w:val="24"/>
                <w:szCs w:val="24"/>
                <w:lang w:eastAsia="zh-CN"/>
              </w:rPr>
              <w:t>、</w:t>
            </w:r>
            <w:r>
              <w:rPr>
                <w:rFonts w:hint="eastAsia" w:ascii="宋体" w:hAnsi="宋体" w:eastAsia="宋体" w:cs="宋体"/>
                <w:b/>
                <w:bCs/>
                <w:sz w:val="24"/>
                <w:szCs w:val="24"/>
              </w:rPr>
              <w:t>投入本项目的其它主要项目人员情况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pPr>
              <w:jc w:val="center"/>
              <w:rPr>
                <w:rFonts w:hint="eastAsia" w:ascii="宋体" w:hAnsi="宋体" w:eastAsia="宋体" w:cs="宋体"/>
                <w:sz w:val="24"/>
                <w:szCs w:val="24"/>
              </w:rPr>
            </w:pPr>
            <w:r>
              <w:rPr>
                <w:rFonts w:hint="eastAsia" w:ascii="宋体" w:hAnsi="宋体" w:eastAsia="宋体" w:cs="宋体"/>
                <w:b/>
                <w:sz w:val="24"/>
                <w:szCs w:val="24"/>
              </w:rPr>
              <w:t>职责分工</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现职务</w:t>
            </w:r>
          </w:p>
        </w:tc>
        <w:tc>
          <w:tcPr>
            <w:tcW w:w="710"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学历</w:t>
            </w:r>
          </w:p>
        </w:tc>
        <w:tc>
          <w:tcPr>
            <w:tcW w:w="68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730"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采购工作年限</w:t>
            </w:r>
          </w:p>
        </w:tc>
        <w:tc>
          <w:tcPr>
            <w:tcW w:w="755" w:type="pct"/>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2" w:type="pct"/>
            <w:noWrap w:val="0"/>
            <w:vAlign w:val="center"/>
          </w:tcPr>
          <w:p>
            <w:pPr>
              <w:jc w:val="center"/>
              <w:rPr>
                <w:rFonts w:hint="eastAsia" w:ascii="宋体" w:hAnsi="宋体" w:eastAsia="宋体" w:cs="宋体"/>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2" w:type="pct"/>
            <w:noWrap w:val="0"/>
            <w:vAlign w:val="center"/>
          </w:tcPr>
          <w:p>
            <w:pPr>
              <w:jc w:val="center"/>
              <w:rPr>
                <w:rFonts w:hint="eastAsia" w:ascii="宋体" w:hAnsi="宋体" w:eastAsia="宋体" w:cs="宋体"/>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710" w:type="pct"/>
            <w:noWrap w:val="0"/>
            <w:vAlign w:val="center"/>
          </w:tcPr>
          <w:p>
            <w:pPr>
              <w:jc w:val="center"/>
              <w:rPr>
                <w:rFonts w:hint="eastAsia" w:ascii="宋体" w:hAnsi="宋体" w:eastAsia="宋体" w:cs="宋体"/>
                <w:b/>
                <w:sz w:val="24"/>
                <w:szCs w:val="24"/>
              </w:rPr>
            </w:pPr>
          </w:p>
        </w:tc>
        <w:tc>
          <w:tcPr>
            <w:tcW w:w="680" w:type="pct"/>
            <w:noWrap w:val="0"/>
            <w:vAlign w:val="center"/>
          </w:tcPr>
          <w:p>
            <w:pPr>
              <w:ind w:firstLine="12"/>
              <w:jc w:val="center"/>
              <w:rPr>
                <w:rFonts w:hint="eastAsia" w:ascii="宋体" w:hAnsi="宋体" w:eastAsia="宋体" w:cs="宋体"/>
                <w:b/>
                <w:sz w:val="24"/>
                <w:szCs w:val="24"/>
              </w:rPr>
            </w:pPr>
          </w:p>
        </w:tc>
        <w:tc>
          <w:tcPr>
            <w:tcW w:w="730" w:type="pct"/>
            <w:noWrap w:val="0"/>
            <w:vAlign w:val="center"/>
          </w:tcPr>
          <w:p>
            <w:pPr>
              <w:ind w:firstLine="12"/>
              <w:jc w:val="center"/>
              <w:rPr>
                <w:rFonts w:hint="eastAsia" w:ascii="宋体" w:hAnsi="宋体" w:eastAsia="宋体" w:cs="宋体"/>
                <w:b/>
                <w:sz w:val="24"/>
                <w:szCs w:val="24"/>
              </w:rPr>
            </w:pPr>
          </w:p>
        </w:tc>
        <w:tc>
          <w:tcPr>
            <w:tcW w:w="755" w:type="pct"/>
            <w:noWrap w:val="0"/>
            <w:vAlign w:val="center"/>
          </w:tcPr>
          <w:p>
            <w:pPr>
              <w:ind w:firstLine="1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ind w:firstLine="12"/>
              <w:jc w:val="center"/>
              <w:rPr>
                <w:rFonts w:hint="eastAsia" w:ascii="宋体" w:hAnsi="宋体" w:eastAsia="宋体" w:cs="宋体"/>
                <w:b/>
                <w:sz w:val="24"/>
                <w:szCs w:val="24"/>
              </w:rPr>
            </w:pPr>
            <w:r>
              <w:rPr>
                <w:rFonts w:hint="eastAsia" w:ascii="宋体" w:hAnsi="宋体" w:eastAsia="宋体" w:cs="宋体"/>
                <w:sz w:val="24"/>
                <w:szCs w:val="24"/>
              </w:rPr>
              <w:t>注：根据评审表的要求提供相应资料附在该表后。</w:t>
            </w:r>
          </w:p>
        </w:tc>
      </w:tr>
    </w:tbl>
    <w:p>
      <w:pPr>
        <w:pStyle w:val="2"/>
        <w:snapToGrid w:val="0"/>
        <w:spacing w:line="360" w:lineRule="auto"/>
        <w:outlineLvl w:val="9"/>
        <w:rPr>
          <w:rFonts w:hint="eastAsia" w:ascii="宋体" w:hAnsi="宋体" w:eastAsia="宋体" w:cs="宋体"/>
          <w:sz w:val="24"/>
          <w:szCs w:val="24"/>
        </w:rPr>
      </w:pPr>
    </w:p>
    <w:bookmarkEnd w:id="130"/>
    <w:bookmarkEnd w:id="131"/>
    <w:p>
      <w:pPr>
        <w:rPr>
          <w:rFonts w:hint="eastAsia" w:ascii="宋体" w:hAnsi="宋体"/>
          <w:sz w:val="24"/>
          <w:lang w:val="en-US" w:eastAsia="zh-CN"/>
        </w:rPr>
      </w:pPr>
      <w:r>
        <w:rPr>
          <w:rFonts w:hint="eastAsia" w:ascii="宋体" w:hAnsi="宋体"/>
          <w:sz w:val="24"/>
          <w:lang w:val="en-US" w:eastAsia="zh-CN"/>
        </w:rPr>
        <w:br w:type="page"/>
      </w:r>
    </w:p>
    <w:p>
      <w:pPr>
        <w:topLinePunct/>
        <w:snapToGrid w:val="0"/>
        <w:spacing w:line="360" w:lineRule="auto"/>
        <w:rPr>
          <w:rFonts w:hint="eastAsia" w:eastAsia="宋体"/>
          <w:b/>
          <w:bCs/>
          <w:sz w:val="24"/>
          <w:szCs w:val="24"/>
          <w:lang w:eastAsia="zh-CN"/>
        </w:rPr>
      </w:pPr>
      <w:r>
        <w:rPr>
          <w:rFonts w:hint="eastAsia" w:ascii="宋体" w:hAnsi="宋体"/>
          <w:b/>
          <w:bCs/>
          <w:sz w:val="24"/>
          <w:szCs w:val="24"/>
          <w:lang w:val="en-US" w:eastAsia="zh-CN"/>
        </w:rPr>
        <w:t>附件：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9286" w:type="dxa"/>
          </w:tcPr>
          <w:p>
            <w:pPr>
              <w:topLinePunct/>
              <w:snapToGrid w:val="0"/>
              <w:spacing w:line="360" w:lineRule="auto"/>
              <w:jc w:val="center"/>
              <w:rPr>
                <w:rFonts w:ascii="宋体" w:hAnsi="宋体"/>
                <w:sz w:val="24"/>
              </w:rPr>
            </w:pPr>
          </w:p>
          <w:p>
            <w:pPr>
              <w:topLinePunct/>
              <w:snapToGrid w:val="0"/>
              <w:spacing w:line="360" w:lineRule="auto"/>
              <w:jc w:val="center"/>
              <w:rPr>
                <w:rFonts w:ascii="宋体" w:hAnsi="宋体"/>
                <w:b/>
                <w:sz w:val="24"/>
              </w:rPr>
            </w:pPr>
            <w:r>
              <w:rPr>
                <w:rFonts w:hint="eastAsia" w:ascii="宋体" w:hAnsi="宋体"/>
                <w:b/>
                <w:sz w:val="24"/>
              </w:rPr>
              <w:t>投  标  函</w:t>
            </w:r>
          </w:p>
          <w:p>
            <w:pPr>
              <w:topLinePunct/>
              <w:snapToGrid w:val="0"/>
              <w:spacing w:line="360" w:lineRule="auto"/>
              <w:jc w:val="center"/>
              <w:rPr>
                <w:rFonts w:ascii="宋体" w:hAnsi="宋体"/>
                <w:sz w:val="24"/>
              </w:rPr>
            </w:pPr>
          </w:p>
          <w:p>
            <w:pPr>
              <w:topLinePunct/>
              <w:snapToGrid w:val="0"/>
              <w:spacing w:after="120" w:line="360" w:lineRule="auto"/>
              <w:rPr>
                <w:rFonts w:ascii="宋体" w:hAnsi="宋体"/>
                <w:sz w:val="24"/>
              </w:rPr>
            </w:pPr>
            <w:r>
              <w:rPr>
                <w:rFonts w:hint="eastAsia" w:ascii="宋体" w:hAnsi="宋体"/>
                <w:sz w:val="24"/>
              </w:rPr>
              <w:t>致：汕头大学·香港中文大学联合汕头国际眼科中心：</w:t>
            </w:r>
          </w:p>
          <w:p>
            <w:pPr>
              <w:topLinePunct/>
              <w:snapToGrid w:val="0"/>
              <w:spacing w:after="120" w:line="360" w:lineRule="auto"/>
              <w:ind w:firstLine="480" w:firstLineChars="200"/>
              <w:rPr>
                <w:rFonts w:ascii="宋体" w:hAnsi="宋体"/>
                <w:sz w:val="24"/>
              </w:rPr>
            </w:pPr>
            <w:r>
              <w:rPr>
                <w:rFonts w:hint="eastAsia" w:ascii="宋体" w:hAnsi="宋体"/>
                <w:sz w:val="24"/>
              </w:rPr>
              <w:t>我方已详细阅读招标编号为“</w:t>
            </w:r>
            <w:r>
              <w:rPr>
                <w:rFonts w:hint="eastAsia" w:ascii="宋体" w:hAnsi="宋体"/>
                <w:sz w:val="24"/>
                <w:u w:val="single"/>
              </w:rPr>
              <w:t xml:space="preserve">                  </w:t>
            </w:r>
            <w:r>
              <w:rPr>
                <w:rFonts w:hint="eastAsia" w:ascii="宋体" w:hAnsi="宋体"/>
                <w:sz w:val="24"/>
              </w:rPr>
              <w:t>”招标书的全部内容，并已全部理解。根据招标文件要求，我方</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全名及职衔</w:t>
            </w:r>
            <w:r>
              <w:rPr>
                <w:rFonts w:hint="eastAsia" w:ascii="宋体" w:hAnsi="宋体"/>
                <w:sz w:val="24"/>
              </w:rPr>
              <w:t xml:space="preserve">）经正式授权代表投标人 </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投标人名称、地址</w:t>
            </w:r>
            <w:r>
              <w:rPr>
                <w:rFonts w:hint="eastAsia" w:ascii="宋体" w:hAnsi="宋体"/>
                <w:sz w:val="24"/>
              </w:rPr>
              <w:t>）的名义投标进行</w:t>
            </w:r>
            <w:r>
              <w:rPr>
                <w:rFonts w:hint="eastAsia" w:ascii="宋体" w:hAnsi="宋体"/>
                <w:sz w:val="24"/>
                <w:u w:val="single"/>
              </w:rPr>
              <w:t xml:space="preserve">            （独立投标或联合投标）</w:t>
            </w:r>
            <w:r>
              <w:rPr>
                <w:rFonts w:hint="eastAsia" w:ascii="宋体" w:hAnsi="宋体"/>
                <w:sz w:val="24"/>
              </w:rPr>
              <w:t>。提交投标文件正本壹份和副本壹式贰份。</w:t>
            </w:r>
          </w:p>
          <w:p>
            <w:pPr>
              <w:topLinePunct/>
              <w:snapToGrid w:val="0"/>
              <w:spacing w:after="120" w:line="360" w:lineRule="auto"/>
              <w:ind w:firstLine="200" w:firstLineChars="200"/>
              <w:rPr>
                <w:rFonts w:ascii="宋体" w:hAnsi="宋体"/>
                <w:sz w:val="10"/>
                <w:szCs w:val="10"/>
              </w:rPr>
            </w:pPr>
          </w:p>
          <w:p>
            <w:pPr>
              <w:topLinePunct/>
              <w:snapToGrid w:val="0"/>
              <w:spacing w:line="360" w:lineRule="auto"/>
              <w:ind w:firstLine="482" w:firstLineChars="200"/>
              <w:rPr>
                <w:rFonts w:ascii="宋体" w:hAnsi="宋体"/>
                <w:b/>
                <w:sz w:val="24"/>
              </w:rPr>
            </w:pPr>
            <w:r>
              <w:rPr>
                <w:rFonts w:hint="eastAsia" w:ascii="宋体" w:hAnsi="宋体"/>
                <w:b/>
                <w:sz w:val="24"/>
              </w:rPr>
              <w:t>授权代表在此声明并同意：</w:t>
            </w:r>
          </w:p>
          <w:p>
            <w:pPr>
              <w:topLinePunct/>
              <w:snapToGrid w:val="0"/>
              <w:spacing w:line="360" w:lineRule="auto"/>
              <w:ind w:firstLine="480" w:firstLineChars="200"/>
              <w:rPr>
                <w:rFonts w:ascii="宋体" w:hAnsi="宋体"/>
                <w:sz w:val="24"/>
              </w:rPr>
            </w:pPr>
            <w:r>
              <w:rPr>
                <w:rFonts w:hint="eastAsia" w:ascii="宋体" w:hAnsi="宋体"/>
                <w:sz w:val="24"/>
              </w:rPr>
              <w:t>1、我们愿意遵守招标人招标文件中的各项规定，供应符合“技术文件”所要求的产品，[投标报价表]数量价格与[开标一览表]数量价格一致。</w:t>
            </w:r>
          </w:p>
          <w:p>
            <w:pPr>
              <w:topLinePunct/>
              <w:snapToGrid w:val="0"/>
              <w:spacing w:line="360" w:lineRule="auto"/>
              <w:ind w:firstLine="480" w:firstLineChars="200"/>
              <w:rPr>
                <w:rFonts w:ascii="宋体" w:hAnsi="宋体"/>
                <w:sz w:val="24"/>
              </w:rPr>
            </w:pPr>
            <w:r>
              <w:rPr>
                <w:rFonts w:hint="eastAsia" w:ascii="宋体" w:hAnsi="宋体"/>
                <w:sz w:val="24"/>
              </w:rPr>
              <w:t>2、我们承诺我们所提供的所有投标文件，包括资质文件均是准确、真实、合法、有效的。</w:t>
            </w:r>
          </w:p>
          <w:p>
            <w:pPr>
              <w:topLinePunct/>
              <w:snapToGrid w:val="0"/>
              <w:spacing w:line="360" w:lineRule="auto"/>
              <w:ind w:firstLine="480" w:firstLineChars="200"/>
              <w:rPr>
                <w:rFonts w:ascii="宋体" w:hAnsi="宋体"/>
                <w:sz w:val="24"/>
              </w:rPr>
            </w:pPr>
            <w:r>
              <w:rPr>
                <w:rFonts w:hint="eastAsia" w:ascii="宋体" w:hAnsi="宋体"/>
                <w:sz w:val="24"/>
              </w:rPr>
              <w:t>3、我们同意本投标自投标截止日起30天内有效。如果我们的投标被接受，则直至合同生效时止，本投标始终有效。</w:t>
            </w:r>
          </w:p>
          <w:p>
            <w:pPr>
              <w:topLinePunct/>
              <w:snapToGrid w:val="0"/>
              <w:spacing w:line="360" w:lineRule="auto"/>
              <w:ind w:firstLine="480" w:firstLineChars="200"/>
              <w:rPr>
                <w:rFonts w:ascii="宋体" w:hAnsi="宋体"/>
                <w:sz w:val="24"/>
              </w:rPr>
            </w:pPr>
            <w:r>
              <w:rPr>
                <w:rFonts w:hint="eastAsia" w:ascii="宋体" w:hAnsi="宋体"/>
                <w:sz w:val="24"/>
              </w:rPr>
              <w:t>4、我们已经详细地阅读了全部招标文件及附件，包括澄清及参考文件（如果有的话），如果我们有不明及误解之处，愿意承担由此引起的后果。</w:t>
            </w:r>
          </w:p>
          <w:p>
            <w:pPr>
              <w:topLinePunct/>
              <w:snapToGrid w:val="0"/>
              <w:spacing w:line="360" w:lineRule="auto"/>
              <w:ind w:firstLine="480" w:firstLineChars="200"/>
              <w:rPr>
                <w:rFonts w:ascii="宋体" w:hAnsi="宋体"/>
                <w:sz w:val="24"/>
              </w:rPr>
            </w:pPr>
            <w:r>
              <w:rPr>
                <w:rFonts w:hint="eastAsia" w:ascii="宋体" w:hAnsi="宋体"/>
                <w:sz w:val="24"/>
              </w:rPr>
              <w:t>5、我们同意提供招标人要求的有关投标的其他资料。</w:t>
            </w:r>
          </w:p>
          <w:p>
            <w:pPr>
              <w:topLinePunct/>
              <w:snapToGrid w:val="0"/>
              <w:spacing w:line="360" w:lineRule="auto"/>
              <w:ind w:firstLine="480" w:firstLineChars="200"/>
              <w:rPr>
                <w:rFonts w:ascii="宋体" w:hAnsi="宋体"/>
                <w:sz w:val="24"/>
              </w:rPr>
            </w:pPr>
            <w:r>
              <w:rPr>
                <w:rFonts w:hint="eastAsia" w:ascii="宋体" w:hAnsi="宋体"/>
                <w:sz w:val="24"/>
              </w:rPr>
              <w:t>6、我们理解，招标人并无义务必须接受最低报价的投标或其他任何投标。</w:t>
            </w:r>
          </w:p>
          <w:p>
            <w:pPr>
              <w:topLinePunct/>
              <w:snapToGrid w:val="0"/>
              <w:spacing w:line="360" w:lineRule="auto"/>
              <w:ind w:firstLine="480" w:firstLineChars="200"/>
              <w:rPr>
                <w:rFonts w:ascii="宋体" w:hAnsi="宋体"/>
                <w:sz w:val="24"/>
              </w:rPr>
            </w:pPr>
            <w:r>
              <w:rPr>
                <w:rFonts w:hint="eastAsia" w:ascii="宋体" w:hAnsi="宋体"/>
                <w:sz w:val="24"/>
              </w:rPr>
              <w:t>7、所有有关本次投标的函电请寄：</w:t>
            </w:r>
            <w:r>
              <w:rPr>
                <w:rFonts w:hint="eastAsia" w:ascii="宋体" w:hAnsi="宋体"/>
                <w:sz w:val="24"/>
                <w:u w:val="single"/>
              </w:rPr>
              <w:t xml:space="preserve">                                    </w:t>
            </w:r>
          </w:p>
          <w:p>
            <w:pPr>
              <w:topLinePunct/>
              <w:snapToGrid w:val="0"/>
              <w:spacing w:line="360" w:lineRule="auto"/>
              <w:ind w:firstLine="4080" w:firstLineChars="1700"/>
              <w:rPr>
                <w:rFonts w:ascii="宋体" w:hAnsi="宋体"/>
                <w:sz w:val="24"/>
              </w:rPr>
            </w:pPr>
            <w:r>
              <w:rPr>
                <w:rFonts w:hint="eastAsia" w:ascii="宋体" w:hAnsi="宋体"/>
                <w:sz w:val="24"/>
              </w:rPr>
              <w:t xml:space="preserve">授权代表（签名）:                          </w:t>
            </w:r>
          </w:p>
          <w:p>
            <w:pPr>
              <w:topLinePunct/>
              <w:snapToGrid w:val="0"/>
              <w:spacing w:line="360" w:lineRule="auto"/>
              <w:ind w:firstLine="4080" w:firstLineChars="1700"/>
              <w:rPr>
                <w:rFonts w:ascii="宋体" w:hAnsi="宋体"/>
                <w:sz w:val="24"/>
              </w:rPr>
            </w:pPr>
            <w:r>
              <w:rPr>
                <w:rFonts w:hint="eastAsia" w:ascii="宋体" w:hAnsi="宋体"/>
                <w:sz w:val="24"/>
              </w:rPr>
              <w:t xml:space="preserve">投标方名称:                                </w:t>
            </w:r>
          </w:p>
          <w:p>
            <w:pPr>
              <w:topLinePunct/>
              <w:snapToGrid w:val="0"/>
              <w:spacing w:line="360" w:lineRule="auto"/>
              <w:ind w:firstLine="4080" w:firstLineChars="1700"/>
              <w:rPr>
                <w:rFonts w:ascii="宋体" w:hAnsi="宋体"/>
                <w:sz w:val="24"/>
              </w:rPr>
            </w:pPr>
            <w:r>
              <w:rPr>
                <w:rFonts w:hint="eastAsia" w:ascii="宋体" w:hAnsi="宋体"/>
                <w:sz w:val="24"/>
              </w:rPr>
              <w:t xml:space="preserve">投标方公章:                                </w:t>
            </w:r>
          </w:p>
          <w:p>
            <w:pPr>
              <w:topLinePunct/>
              <w:snapToGrid w:val="0"/>
              <w:spacing w:line="360" w:lineRule="auto"/>
              <w:rPr>
                <w:rFonts w:ascii="宋体" w:hAnsi="宋体"/>
                <w:sz w:val="24"/>
              </w:rPr>
            </w:pPr>
            <w:r>
              <w:rPr>
                <w:rFonts w:hint="eastAsia" w:ascii="宋体" w:hAnsi="宋体"/>
                <w:sz w:val="24"/>
              </w:rPr>
              <w:t xml:space="preserve">                                  日      期：</w:t>
            </w:r>
          </w:p>
          <w:p>
            <w:pPr>
              <w:snapToGrid w:val="0"/>
              <w:spacing w:line="360" w:lineRule="auto"/>
              <w:ind w:firstLine="4080" w:firstLineChars="1700"/>
              <w:rPr>
                <w:rFonts w:ascii="宋体" w:hAnsi="宋体"/>
                <w:sz w:val="24"/>
              </w:rPr>
            </w:pPr>
            <w:r>
              <w:rPr>
                <w:rFonts w:hint="eastAsia" w:ascii="宋体" w:hAnsi="宋体"/>
                <w:sz w:val="24"/>
              </w:rPr>
              <w:t xml:space="preserve">电      话： </w:t>
            </w:r>
          </w:p>
        </w:tc>
      </w:tr>
    </w:tbl>
    <w:p>
      <w:pPr>
        <w:tabs>
          <w:tab w:val="left" w:pos="11787"/>
        </w:tabs>
        <w:snapToGrid w:val="0"/>
        <w:spacing w:line="360" w:lineRule="auto"/>
        <w:ind w:left="0" w:leftChars="0" w:right="480" w:firstLine="0" w:firstLineChars="0"/>
        <w:rPr>
          <w:rFonts w:hint="eastAsia"/>
          <w:lang w:val="en-US" w:eastAsia="zh-CN"/>
        </w:rPr>
      </w:pPr>
    </w:p>
    <w:sectPr>
      <w:headerReference r:id="rId12" w:type="default"/>
      <w:pgSz w:w="11906" w:h="16838"/>
      <w:pgMar w:top="1418" w:right="1418" w:bottom="1701" w:left="1418"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right"/>
    </w:pPr>
    <w:r>
      <w:rPr>
        <w:rStyle w:val="27"/>
        <w:rFonts w:hint="eastAsia"/>
      </w:rPr>
      <w:t>第</w:t>
    </w: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r>
      <w:rPr>
        <w:rStyle w:val="27"/>
        <w:rFonts w:hint="eastAsia"/>
      </w:rPr>
      <w:t>页，共</w:t>
    </w:r>
    <w:r>
      <w:rPr>
        <w:rStyle w:val="27"/>
      </w:rPr>
      <w:fldChar w:fldCharType="begin"/>
    </w:r>
    <w:r>
      <w:rPr>
        <w:rStyle w:val="27"/>
      </w:rPr>
      <w:instrText xml:space="preserve"> NUMPAGES </w:instrText>
    </w:r>
    <w:r>
      <w:rPr>
        <w:rStyle w:val="27"/>
      </w:rPr>
      <w:fldChar w:fldCharType="separate"/>
    </w:r>
    <w:r>
      <w:rPr>
        <w:rStyle w:val="27"/>
      </w:rPr>
      <w:t>30</w:t>
    </w:r>
    <w:r>
      <w:rPr>
        <w:rStyle w:val="27"/>
      </w:rPr>
      <w:fldChar w:fldCharType="end"/>
    </w:r>
    <w:r>
      <w:rPr>
        <w:rStyle w:val="2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ind w:right="360"/>
      <w:jc w:val="right"/>
    </w:pPr>
    <w:r>
      <w:rPr>
        <w:rFonts w:hint="eastAsia"/>
      </w:rPr>
      <w:t>第</w:t>
    </w:r>
    <w:r>
      <w:rPr>
        <w:rStyle w:val="27"/>
      </w:rPr>
      <w:fldChar w:fldCharType="begin"/>
    </w:r>
    <w:r>
      <w:rPr>
        <w:rStyle w:val="27"/>
      </w:rPr>
      <w:instrText xml:space="preserve"> PAGE </w:instrText>
    </w:r>
    <w:r>
      <w:rPr>
        <w:rStyle w:val="27"/>
      </w:rPr>
      <w:fldChar w:fldCharType="separate"/>
    </w:r>
    <w:r>
      <w:rPr>
        <w:rStyle w:val="27"/>
      </w:rPr>
      <w:t>14</w:t>
    </w:r>
    <w:r>
      <w:rPr>
        <w:rStyle w:val="27"/>
      </w:rPr>
      <w:fldChar w:fldCharType="end"/>
    </w:r>
    <w:r>
      <w:rPr>
        <w:rStyle w:val="27"/>
        <w:rFonts w:hint="eastAsia"/>
      </w:rPr>
      <w:t>页，共</w:t>
    </w:r>
    <w:r>
      <w:rPr>
        <w:rStyle w:val="27"/>
      </w:rPr>
      <w:fldChar w:fldCharType="begin"/>
    </w:r>
    <w:r>
      <w:rPr>
        <w:rStyle w:val="27"/>
      </w:rPr>
      <w:instrText xml:space="preserve"> NUMPAGES </w:instrText>
    </w:r>
    <w:r>
      <w:rPr>
        <w:rStyle w:val="27"/>
      </w:rPr>
      <w:fldChar w:fldCharType="separate"/>
    </w:r>
    <w:r>
      <w:rPr>
        <w:rStyle w:val="27"/>
      </w:rPr>
      <w:t>32</w:t>
    </w:r>
    <w:r>
      <w:rPr>
        <w:rStyle w:val="27"/>
      </w:rPr>
      <w:fldChar w:fldCharType="end"/>
    </w:r>
    <w:r>
      <w:rPr>
        <w:rStyle w:val="2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both"/>
      <w:rPr>
        <w:rFonts w:ascii="黑体" w:eastAsia="黑体"/>
      </w:rPr>
    </w:pPr>
    <w:r>
      <w:rPr>
        <w:rFonts w:hint="eastAsia" w:ascii="黑体" w:eastAsia="黑体"/>
      </w:rPr>
      <w:drawing>
        <wp:inline distT="0" distB="0" distL="0" distR="0">
          <wp:extent cx="476250" cy="257175"/>
          <wp:effectExtent l="19050" t="0" r="0" b="0"/>
          <wp:docPr id="1" name="图片 1"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汕头大学·香港中文大学联合汕头国际眼科中心</w:t>
    </w:r>
    <w:r>
      <w:rPr>
        <w:rFonts w:hint="eastAsia" w:ascii="黑体" w:eastAsia="黑体"/>
      </w:rPr>
      <w:tab/>
    </w:r>
    <w:r>
      <w:rPr>
        <w:rFonts w:hint="eastAsia" w:ascii="黑体" w:eastAsia="黑体"/>
      </w:rPr>
      <w:t>招标号：</w:t>
    </w:r>
    <w:r>
      <w:rPr>
        <w:rFonts w:ascii="黑体" w:eastAsia="黑体"/>
      </w:rPr>
      <w:t>E03Y000</w:t>
    </w:r>
    <w:r>
      <w:rPr>
        <w:rFonts w:hint="eastAsia" w:ascii="黑体" w:eastAsia="黑体"/>
      </w:rPr>
      <w:t>99</w:t>
    </w:r>
  </w:p>
  <w:p>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distribute"/>
      <w:rPr>
        <w:rFonts w:hint="default" w:ascii="黑体" w:eastAsia="黑体"/>
        <w:lang w:val="en-US" w:eastAsia="zh-CN"/>
      </w:rPr>
    </w:pPr>
    <w:r>
      <w:rPr>
        <w:rFonts w:hint="eastAsia" w:ascii="黑体" w:eastAsia="黑体"/>
      </w:rPr>
      <w:drawing>
        <wp:inline distT="0" distB="0" distL="0" distR="0">
          <wp:extent cx="476250" cy="257175"/>
          <wp:effectExtent l="0" t="0" r="0" b="9525"/>
          <wp:docPr id="2" name="图片 2"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 xml:space="preserve">汕头大学·香港中文大学联合汕头国际眼科中心       </w:t>
    </w:r>
    <w:r>
      <w:rPr>
        <w:rFonts w:hint="eastAsia" w:ascii="黑体" w:eastAsia="黑体"/>
        <w:lang w:val="en-US" w:eastAsia="zh-CN"/>
      </w:rPr>
      <w:t xml:space="preserve">                                                                      </w:t>
    </w:r>
    <w:r>
      <w:rPr>
        <w:rFonts w:hint="eastAsia" w:ascii="黑体" w:eastAsia="黑体"/>
      </w:rPr>
      <w:t>招标号：</w:t>
    </w:r>
    <w:r>
      <w:rPr>
        <w:rFonts w:ascii="黑体" w:eastAsia="黑体"/>
      </w:rPr>
      <w:t>E03Y000</w:t>
    </w:r>
    <w:r>
      <w:rPr>
        <w:rFonts w:hint="eastAsia" w:ascii="黑体" w:eastAsia="黑体"/>
        <w:lang w:val="en-US" w:eastAsia="zh-CN"/>
      </w:rPr>
      <w:t>99</w:t>
    </w:r>
  </w:p>
  <w:p>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820"/>
        <w:tab w:val="clear" w:pos="8306"/>
      </w:tabs>
      <w:jc w:val="both"/>
      <w:rPr>
        <w:rFonts w:ascii="黑体" w:eastAsia="黑体"/>
      </w:rPr>
    </w:pPr>
    <w:r>
      <w:rPr>
        <w:rFonts w:hint="eastAsia" w:ascii="黑体" w:eastAsia="黑体"/>
      </w:rPr>
      <w:drawing>
        <wp:inline distT="0" distB="0" distL="0" distR="0">
          <wp:extent cx="476250" cy="257175"/>
          <wp:effectExtent l="19050" t="0" r="0" b="0"/>
          <wp:docPr id="7" name="图片 7" descr="JSI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SIEC LOGO"/>
                  <pic:cNvPicPr>
                    <a:picLocks noChangeAspect="1" noChangeArrowheads="1"/>
                  </pic:cNvPicPr>
                </pic:nvPicPr>
                <pic:blipFill>
                  <a:blip r:embed="rId1"/>
                  <a:srcRect/>
                  <a:stretch>
                    <a:fillRect/>
                  </a:stretch>
                </pic:blipFill>
                <pic:spPr>
                  <a:xfrm>
                    <a:off x="0" y="0"/>
                    <a:ext cx="476250" cy="257175"/>
                  </a:xfrm>
                  <a:prstGeom prst="rect">
                    <a:avLst/>
                  </a:prstGeom>
                  <a:noFill/>
                  <a:ln w="9525">
                    <a:noFill/>
                    <a:miter lim="800000"/>
                    <a:headEnd/>
                    <a:tailEnd/>
                  </a:ln>
                </pic:spPr>
              </pic:pic>
            </a:graphicData>
          </a:graphic>
        </wp:inline>
      </w:drawing>
    </w:r>
    <w:r>
      <w:rPr>
        <w:rFonts w:hint="eastAsia" w:ascii="黑体" w:eastAsia="黑体"/>
      </w:rPr>
      <w:t>汕头大学·香港中文大学联合汕头国际眼科中心</w:t>
    </w:r>
    <w:r>
      <w:rPr>
        <w:rFonts w:hint="eastAsia" w:ascii="黑体" w:eastAsia="黑体"/>
      </w:rPr>
      <w:tab/>
    </w:r>
    <w:r>
      <w:rPr>
        <w:rFonts w:hint="eastAsia" w:ascii="黑体" w:eastAsia="黑体"/>
      </w:rPr>
      <w:t>招标号：</w:t>
    </w:r>
    <w:r>
      <w:rPr>
        <w:rFonts w:ascii="黑体" w:eastAsia="黑体"/>
      </w:rPr>
      <w:t>E03Y000</w:t>
    </w:r>
    <w:r>
      <w:rPr>
        <w:rFonts w:hint="eastAsia" w:ascii="黑体" w:eastAsia="黑体"/>
      </w:rPr>
      <w:t>99</w:t>
    </w:r>
  </w:p>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2">
    <w:nsid w:val="4C9C54D1"/>
    <w:multiLevelType w:val="singleLevel"/>
    <w:tmpl w:val="4C9C54D1"/>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A3"/>
    <w:rsid w:val="00004ABE"/>
    <w:rsid w:val="00006EAB"/>
    <w:rsid w:val="0001174E"/>
    <w:rsid w:val="000213FB"/>
    <w:rsid w:val="000231F7"/>
    <w:rsid w:val="0002688C"/>
    <w:rsid w:val="00030291"/>
    <w:rsid w:val="00032142"/>
    <w:rsid w:val="0003280C"/>
    <w:rsid w:val="000328CA"/>
    <w:rsid w:val="00044304"/>
    <w:rsid w:val="00044318"/>
    <w:rsid w:val="000456EA"/>
    <w:rsid w:val="00047B6E"/>
    <w:rsid w:val="0005261B"/>
    <w:rsid w:val="000558C2"/>
    <w:rsid w:val="0005625F"/>
    <w:rsid w:val="000657F4"/>
    <w:rsid w:val="00070163"/>
    <w:rsid w:val="00071249"/>
    <w:rsid w:val="00075BDD"/>
    <w:rsid w:val="00076031"/>
    <w:rsid w:val="000768C6"/>
    <w:rsid w:val="000818CA"/>
    <w:rsid w:val="00082B83"/>
    <w:rsid w:val="00084D69"/>
    <w:rsid w:val="00086823"/>
    <w:rsid w:val="00086F00"/>
    <w:rsid w:val="00090B93"/>
    <w:rsid w:val="000946E6"/>
    <w:rsid w:val="0009520E"/>
    <w:rsid w:val="000A0A29"/>
    <w:rsid w:val="000A260F"/>
    <w:rsid w:val="000A5A63"/>
    <w:rsid w:val="000A600D"/>
    <w:rsid w:val="000A6B39"/>
    <w:rsid w:val="000B0EB2"/>
    <w:rsid w:val="000B18D5"/>
    <w:rsid w:val="000B5A52"/>
    <w:rsid w:val="000C0562"/>
    <w:rsid w:val="000C1B06"/>
    <w:rsid w:val="000D0FEE"/>
    <w:rsid w:val="000D7A16"/>
    <w:rsid w:val="000E41FE"/>
    <w:rsid w:val="000E7C12"/>
    <w:rsid w:val="000F129E"/>
    <w:rsid w:val="00100651"/>
    <w:rsid w:val="001037ED"/>
    <w:rsid w:val="00103815"/>
    <w:rsid w:val="00104505"/>
    <w:rsid w:val="00110152"/>
    <w:rsid w:val="001111F3"/>
    <w:rsid w:val="00114F5D"/>
    <w:rsid w:val="00115028"/>
    <w:rsid w:val="00125E13"/>
    <w:rsid w:val="0012622C"/>
    <w:rsid w:val="00127BB6"/>
    <w:rsid w:val="001341C9"/>
    <w:rsid w:val="00134B07"/>
    <w:rsid w:val="00143204"/>
    <w:rsid w:val="00143734"/>
    <w:rsid w:val="00144D90"/>
    <w:rsid w:val="0014513D"/>
    <w:rsid w:val="00150445"/>
    <w:rsid w:val="00153CBC"/>
    <w:rsid w:val="00163228"/>
    <w:rsid w:val="00165715"/>
    <w:rsid w:val="00166300"/>
    <w:rsid w:val="0018183B"/>
    <w:rsid w:val="00184DB9"/>
    <w:rsid w:val="00190D11"/>
    <w:rsid w:val="00190ECA"/>
    <w:rsid w:val="00194421"/>
    <w:rsid w:val="001975D2"/>
    <w:rsid w:val="00197A48"/>
    <w:rsid w:val="00197DD5"/>
    <w:rsid w:val="001A2F49"/>
    <w:rsid w:val="001A3BBC"/>
    <w:rsid w:val="001C6F4C"/>
    <w:rsid w:val="001D7554"/>
    <w:rsid w:val="001E0EAF"/>
    <w:rsid w:val="00202814"/>
    <w:rsid w:val="00202B4B"/>
    <w:rsid w:val="002046C6"/>
    <w:rsid w:val="00212A98"/>
    <w:rsid w:val="00213B1C"/>
    <w:rsid w:val="00215A9F"/>
    <w:rsid w:val="00215C7E"/>
    <w:rsid w:val="00216107"/>
    <w:rsid w:val="00217671"/>
    <w:rsid w:val="0022253D"/>
    <w:rsid w:val="00223042"/>
    <w:rsid w:val="00227625"/>
    <w:rsid w:val="002307A8"/>
    <w:rsid w:val="00233E5B"/>
    <w:rsid w:val="0023410F"/>
    <w:rsid w:val="0023788A"/>
    <w:rsid w:val="00237B18"/>
    <w:rsid w:val="00261402"/>
    <w:rsid w:val="00262146"/>
    <w:rsid w:val="00265489"/>
    <w:rsid w:val="00273F06"/>
    <w:rsid w:val="0027781F"/>
    <w:rsid w:val="0028315B"/>
    <w:rsid w:val="00284479"/>
    <w:rsid w:val="00286181"/>
    <w:rsid w:val="002955F6"/>
    <w:rsid w:val="00297B73"/>
    <w:rsid w:val="002A5655"/>
    <w:rsid w:val="002A60D9"/>
    <w:rsid w:val="002B7260"/>
    <w:rsid w:val="002C03DD"/>
    <w:rsid w:val="002C0A1E"/>
    <w:rsid w:val="002C13BF"/>
    <w:rsid w:val="002D0CC0"/>
    <w:rsid w:val="002E093D"/>
    <w:rsid w:val="002E1B36"/>
    <w:rsid w:val="003049E2"/>
    <w:rsid w:val="00311202"/>
    <w:rsid w:val="00317BEF"/>
    <w:rsid w:val="0032037F"/>
    <w:rsid w:val="00322DDE"/>
    <w:rsid w:val="003252A4"/>
    <w:rsid w:val="003262F9"/>
    <w:rsid w:val="003312D5"/>
    <w:rsid w:val="00331D82"/>
    <w:rsid w:val="003337D3"/>
    <w:rsid w:val="00333A43"/>
    <w:rsid w:val="00344E65"/>
    <w:rsid w:val="00346A99"/>
    <w:rsid w:val="00350E96"/>
    <w:rsid w:val="0036195F"/>
    <w:rsid w:val="00375AD3"/>
    <w:rsid w:val="00381694"/>
    <w:rsid w:val="00381BCA"/>
    <w:rsid w:val="00382BDF"/>
    <w:rsid w:val="00383E08"/>
    <w:rsid w:val="003869D7"/>
    <w:rsid w:val="0038760D"/>
    <w:rsid w:val="003A131C"/>
    <w:rsid w:val="003A386C"/>
    <w:rsid w:val="003B0470"/>
    <w:rsid w:val="003B0AAD"/>
    <w:rsid w:val="003B0ED0"/>
    <w:rsid w:val="003B2216"/>
    <w:rsid w:val="003B5DD7"/>
    <w:rsid w:val="003B69E7"/>
    <w:rsid w:val="003B6A3D"/>
    <w:rsid w:val="003C50C5"/>
    <w:rsid w:val="003C554D"/>
    <w:rsid w:val="003D0091"/>
    <w:rsid w:val="003D17CE"/>
    <w:rsid w:val="003E32C3"/>
    <w:rsid w:val="003E3B61"/>
    <w:rsid w:val="003E5FB6"/>
    <w:rsid w:val="003E65BC"/>
    <w:rsid w:val="003F0BFE"/>
    <w:rsid w:val="004000C9"/>
    <w:rsid w:val="0040708C"/>
    <w:rsid w:val="00407508"/>
    <w:rsid w:val="00413263"/>
    <w:rsid w:val="00413E8A"/>
    <w:rsid w:val="00425F0B"/>
    <w:rsid w:val="00433740"/>
    <w:rsid w:val="00440FB1"/>
    <w:rsid w:val="00444B9A"/>
    <w:rsid w:val="004467B6"/>
    <w:rsid w:val="00447F23"/>
    <w:rsid w:val="004515CD"/>
    <w:rsid w:val="00462B5F"/>
    <w:rsid w:val="004756AD"/>
    <w:rsid w:val="004756E1"/>
    <w:rsid w:val="004802F4"/>
    <w:rsid w:val="00480A07"/>
    <w:rsid w:val="00484941"/>
    <w:rsid w:val="0049127C"/>
    <w:rsid w:val="0049171E"/>
    <w:rsid w:val="004A0C6F"/>
    <w:rsid w:val="004B6305"/>
    <w:rsid w:val="004C2A15"/>
    <w:rsid w:val="004C39B6"/>
    <w:rsid w:val="004C582A"/>
    <w:rsid w:val="004C5CDB"/>
    <w:rsid w:val="004D16F1"/>
    <w:rsid w:val="004E17B1"/>
    <w:rsid w:val="004E48A3"/>
    <w:rsid w:val="004F06FB"/>
    <w:rsid w:val="004F3B52"/>
    <w:rsid w:val="00510D20"/>
    <w:rsid w:val="00511B0E"/>
    <w:rsid w:val="00517324"/>
    <w:rsid w:val="0052394B"/>
    <w:rsid w:val="00526EBA"/>
    <w:rsid w:val="0053048B"/>
    <w:rsid w:val="00537008"/>
    <w:rsid w:val="005408F6"/>
    <w:rsid w:val="00545EEF"/>
    <w:rsid w:val="005533D3"/>
    <w:rsid w:val="00553EF6"/>
    <w:rsid w:val="00555B1D"/>
    <w:rsid w:val="005652C3"/>
    <w:rsid w:val="005661DC"/>
    <w:rsid w:val="00566241"/>
    <w:rsid w:val="00576382"/>
    <w:rsid w:val="00580C3C"/>
    <w:rsid w:val="00591859"/>
    <w:rsid w:val="005933D9"/>
    <w:rsid w:val="005939F7"/>
    <w:rsid w:val="00594D40"/>
    <w:rsid w:val="00597E9D"/>
    <w:rsid w:val="005A09B4"/>
    <w:rsid w:val="005A0B9F"/>
    <w:rsid w:val="005B06DD"/>
    <w:rsid w:val="005B4D12"/>
    <w:rsid w:val="005C03FD"/>
    <w:rsid w:val="005C34ED"/>
    <w:rsid w:val="005C389F"/>
    <w:rsid w:val="005C7B87"/>
    <w:rsid w:val="005D1E62"/>
    <w:rsid w:val="005D33AD"/>
    <w:rsid w:val="005D48E3"/>
    <w:rsid w:val="005E6DD9"/>
    <w:rsid w:val="005E7B51"/>
    <w:rsid w:val="005F1E3C"/>
    <w:rsid w:val="005F2CCC"/>
    <w:rsid w:val="005F52B0"/>
    <w:rsid w:val="005F5352"/>
    <w:rsid w:val="005F5796"/>
    <w:rsid w:val="00600242"/>
    <w:rsid w:val="00606BA5"/>
    <w:rsid w:val="00612D00"/>
    <w:rsid w:val="00615925"/>
    <w:rsid w:val="00634E7B"/>
    <w:rsid w:val="00634EFD"/>
    <w:rsid w:val="00637A17"/>
    <w:rsid w:val="006408BB"/>
    <w:rsid w:val="00644C81"/>
    <w:rsid w:val="006479C7"/>
    <w:rsid w:val="0065082B"/>
    <w:rsid w:val="00651D72"/>
    <w:rsid w:val="00652FE4"/>
    <w:rsid w:val="0065407F"/>
    <w:rsid w:val="00656110"/>
    <w:rsid w:val="00671697"/>
    <w:rsid w:val="00671F60"/>
    <w:rsid w:val="00672FBA"/>
    <w:rsid w:val="0067534F"/>
    <w:rsid w:val="00680792"/>
    <w:rsid w:val="00682DA0"/>
    <w:rsid w:val="00686F04"/>
    <w:rsid w:val="00695261"/>
    <w:rsid w:val="00696B74"/>
    <w:rsid w:val="006A37FE"/>
    <w:rsid w:val="006B47F4"/>
    <w:rsid w:val="006B5598"/>
    <w:rsid w:val="006B6B2B"/>
    <w:rsid w:val="006C30CA"/>
    <w:rsid w:val="006C5918"/>
    <w:rsid w:val="006D20CF"/>
    <w:rsid w:val="006E6F32"/>
    <w:rsid w:val="006F2E22"/>
    <w:rsid w:val="006F67A0"/>
    <w:rsid w:val="006F6E31"/>
    <w:rsid w:val="00700911"/>
    <w:rsid w:val="00710D1E"/>
    <w:rsid w:val="00712510"/>
    <w:rsid w:val="007127DE"/>
    <w:rsid w:val="0071709C"/>
    <w:rsid w:val="00720585"/>
    <w:rsid w:val="00723A10"/>
    <w:rsid w:val="007322D4"/>
    <w:rsid w:val="00736D79"/>
    <w:rsid w:val="007431B6"/>
    <w:rsid w:val="00743640"/>
    <w:rsid w:val="00744C0F"/>
    <w:rsid w:val="00746E00"/>
    <w:rsid w:val="00747C39"/>
    <w:rsid w:val="00750B1E"/>
    <w:rsid w:val="007619B3"/>
    <w:rsid w:val="00761C2C"/>
    <w:rsid w:val="00763834"/>
    <w:rsid w:val="007648D0"/>
    <w:rsid w:val="00767544"/>
    <w:rsid w:val="00770699"/>
    <w:rsid w:val="00777D2C"/>
    <w:rsid w:val="00781CB1"/>
    <w:rsid w:val="007A1C7D"/>
    <w:rsid w:val="007C2943"/>
    <w:rsid w:val="007C2AA1"/>
    <w:rsid w:val="007C3B45"/>
    <w:rsid w:val="007C5FE6"/>
    <w:rsid w:val="007C7265"/>
    <w:rsid w:val="007D17EA"/>
    <w:rsid w:val="007D1AC5"/>
    <w:rsid w:val="007D70B0"/>
    <w:rsid w:val="007E092A"/>
    <w:rsid w:val="007E5310"/>
    <w:rsid w:val="007E5668"/>
    <w:rsid w:val="007E6AD9"/>
    <w:rsid w:val="007F085C"/>
    <w:rsid w:val="007F7AF9"/>
    <w:rsid w:val="0080262D"/>
    <w:rsid w:val="00806A11"/>
    <w:rsid w:val="008114BE"/>
    <w:rsid w:val="008247F4"/>
    <w:rsid w:val="00826B0B"/>
    <w:rsid w:val="00826F41"/>
    <w:rsid w:val="0083025E"/>
    <w:rsid w:val="00831DE8"/>
    <w:rsid w:val="00832F70"/>
    <w:rsid w:val="00837CE1"/>
    <w:rsid w:val="008471AB"/>
    <w:rsid w:val="00853285"/>
    <w:rsid w:val="008538E5"/>
    <w:rsid w:val="00856BE0"/>
    <w:rsid w:val="008570D4"/>
    <w:rsid w:val="008631F2"/>
    <w:rsid w:val="00864B99"/>
    <w:rsid w:val="008840A6"/>
    <w:rsid w:val="008876E3"/>
    <w:rsid w:val="00890319"/>
    <w:rsid w:val="008909D4"/>
    <w:rsid w:val="008C4413"/>
    <w:rsid w:val="008D3A6F"/>
    <w:rsid w:val="008D4F53"/>
    <w:rsid w:val="008E20EB"/>
    <w:rsid w:val="008E28E5"/>
    <w:rsid w:val="008E2EE6"/>
    <w:rsid w:val="008F0596"/>
    <w:rsid w:val="008F4D9C"/>
    <w:rsid w:val="009058A8"/>
    <w:rsid w:val="0090683F"/>
    <w:rsid w:val="00907FC5"/>
    <w:rsid w:val="00913C9E"/>
    <w:rsid w:val="00916DF4"/>
    <w:rsid w:val="00917584"/>
    <w:rsid w:val="00934ED4"/>
    <w:rsid w:val="00935005"/>
    <w:rsid w:val="00943635"/>
    <w:rsid w:val="009524BE"/>
    <w:rsid w:val="0095490E"/>
    <w:rsid w:val="009577C2"/>
    <w:rsid w:val="009607BB"/>
    <w:rsid w:val="00961160"/>
    <w:rsid w:val="0096311A"/>
    <w:rsid w:val="009637CD"/>
    <w:rsid w:val="00967A2A"/>
    <w:rsid w:val="009800A8"/>
    <w:rsid w:val="0098794E"/>
    <w:rsid w:val="00993BE4"/>
    <w:rsid w:val="00996346"/>
    <w:rsid w:val="009A1E85"/>
    <w:rsid w:val="009A260A"/>
    <w:rsid w:val="009A4743"/>
    <w:rsid w:val="009A518E"/>
    <w:rsid w:val="009B1AD6"/>
    <w:rsid w:val="009C2C7E"/>
    <w:rsid w:val="009C501C"/>
    <w:rsid w:val="009C779D"/>
    <w:rsid w:val="009D66B7"/>
    <w:rsid w:val="009F08AC"/>
    <w:rsid w:val="009F1916"/>
    <w:rsid w:val="009F1AEC"/>
    <w:rsid w:val="009F2920"/>
    <w:rsid w:val="009F3460"/>
    <w:rsid w:val="00A0193F"/>
    <w:rsid w:val="00A05161"/>
    <w:rsid w:val="00A108BE"/>
    <w:rsid w:val="00A21ED4"/>
    <w:rsid w:val="00A3132F"/>
    <w:rsid w:val="00A329F8"/>
    <w:rsid w:val="00A36D97"/>
    <w:rsid w:val="00A37123"/>
    <w:rsid w:val="00A401DA"/>
    <w:rsid w:val="00A453A0"/>
    <w:rsid w:val="00A7255A"/>
    <w:rsid w:val="00A72EC2"/>
    <w:rsid w:val="00A75CA4"/>
    <w:rsid w:val="00A81F75"/>
    <w:rsid w:val="00A81FE9"/>
    <w:rsid w:val="00A82D7D"/>
    <w:rsid w:val="00A8670A"/>
    <w:rsid w:val="00A869E4"/>
    <w:rsid w:val="00A87CB2"/>
    <w:rsid w:val="00A87D5E"/>
    <w:rsid w:val="00A97C06"/>
    <w:rsid w:val="00AB7129"/>
    <w:rsid w:val="00AD3348"/>
    <w:rsid w:val="00AD6207"/>
    <w:rsid w:val="00AE3724"/>
    <w:rsid w:val="00AE7126"/>
    <w:rsid w:val="00AF34B0"/>
    <w:rsid w:val="00AF3ADF"/>
    <w:rsid w:val="00AF6EC3"/>
    <w:rsid w:val="00AF7CF6"/>
    <w:rsid w:val="00B0336C"/>
    <w:rsid w:val="00B04C7F"/>
    <w:rsid w:val="00B05183"/>
    <w:rsid w:val="00B05BB5"/>
    <w:rsid w:val="00B1038C"/>
    <w:rsid w:val="00B129C4"/>
    <w:rsid w:val="00B1499F"/>
    <w:rsid w:val="00B22485"/>
    <w:rsid w:val="00B2273F"/>
    <w:rsid w:val="00B26577"/>
    <w:rsid w:val="00B32756"/>
    <w:rsid w:val="00B36770"/>
    <w:rsid w:val="00B42832"/>
    <w:rsid w:val="00B44597"/>
    <w:rsid w:val="00B4490B"/>
    <w:rsid w:val="00B47758"/>
    <w:rsid w:val="00B51B14"/>
    <w:rsid w:val="00B5215A"/>
    <w:rsid w:val="00B55F02"/>
    <w:rsid w:val="00B574E9"/>
    <w:rsid w:val="00B64E98"/>
    <w:rsid w:val="00B658A4"/>
    <w:rsid w:val="00B720DF"/>
    <w:rsid w:val="00B7506B"/>
    <w:rsid w:val="00B75D75"/>
    <w:rsid w:val="00B77D26"/>
    <w:rsid w:val="00B855A0"/>
    <w:rsid w:val="00B872F2"/>
    <w:rsid w:val="00B901CD"/>
    <w:rsid w:val="00B90588"/>
    <w:rsid w:val="00B91450"/>
    <w:rsid w:val="00B93C19"/>
    <w:rsid w:val="00B95E13"/>
    <w:rsid w:val="00BA09FF"/>
    <w:rsid w:val="00BA2FE5"/>
    <w:rsid w:val="00BA6754"/>
    <w:rsid w:val="00BA6C0B"/>
    <w:rsid w:val="00BB24E2"/>
    <w:rsid w:val="00BB275E"/>
    <w:rsid w:val="00BB5D03"/>
    <w:rsid w:val="00BC7841"/>
    <w:rsid w:val="00BC79A5"/>
    <w:rsid w:val="00BD30EC"/>
    <w:rsid w:val="00BD3772"/>
    <w:rsid w:val="00BE18AB"/>
    <w:rsid w:val="00BE4DC0"/>
    <w:rsid w:val="00BF4876"/>
    <w:rsid w:val="00BF5B38"/>
    <w:rsid w:val="00C011FE"/>
    <w:rsid w:val="00C044C5"/>
    <w:rsid w:val="00C060B0"/>
    <w:rsid w:val="00C10474"/>
    <w:rsid w:val="00C13357"/>
    <w:rsid w:val="00C14576"/>
    <w:rsid w:val="00C1516F"/>
    <w:rsid w:val="00C212D2"/>
    <w:rsid w:val="00C3155D"/>
    <w:rsid w:val="00C44E79"/>
    <w:rsid w:val="00C5697A"/>
    <w:rsid w:val="00C610E0"/>
    <w:rsid w:val="00C65714"/>
    <w:rsid w:val="00C701BE"/>
    <w:rsid w:val="00C70915"/>
    <w:rsid w:val="00C7363A"/>
    <w:rsid w:val="00C75BDA"/>
    <w:rsid w:val="00CB29BC"/>
    <w:rsid w:val="00CB4C77"/>
    <w:rsid w:val="00CB6276"/>
    <w:rsid w:val="00CC009A"/>
    <w:rsid w:val="00CC1522"/>
    <w:rsid w:val="00CC6BEE"/>
    <w:rsid w:val="00CD62BA"/>
    <w:rsid w:val="00CE6058"/>
    <w:rsid w:val="00CF26F0"/>
    <w:rsid w:val="00CF2738"/>
    <w:rsid w:val="00CF4CB4"/>
    <w:rsid w:val="00D017B3"/>
    <w:rsid w:val="00D04037"/>
    <w:rsid w:val="00D10DF5"/>
    <w:rsid w:val="00D122AB"/>
    <w:rsid w:val="00D13922"/>
    <w:rsid w:val="00D16B78"/>
    <w:rsid w:val="00D22EFE"/>
    <w:rsid w:val="00D236C1"/>
    <w:rsid w:val="00D24874"/>
    <w:rsid w:val="00D278A8"/>
    <w:rsid w:val="00D303E2"/>
    <w:rsid w:val="00D419D0"/>
    <w:rsid w:val="00D443BA"/>
    <w:rsid w:val="00D515A3"/>
    <w:rsid w:val="00D52738"/>
    <w:rsid w:val="00D52CA4"/>
    <w:rsid w:val="00D75249"/>
    <w:rsid w:val="00D8357D"/>
    <w:rsid w:val="00D96AB8"/>
    <w:rsid w:val="00DA040D"/>
    <w:rsid w:val="00DA082D"/>
    <w:rsid w:val="00DA0B1A"/>
    <w:rsid w:val="00DA0E4F"/>
    <w:rsid w:val="00DA1B67"/>
    <w:rsid w:val="00DA448D"/>
    <w:rsid w:val="00DA44C7"/>
    <w:rsid w:val="00DB552E"/>
    <w:rsid w:val="00DB68F1"/>
    <w:rsid w:val="00DB6BAE"/>
    <w:rsid w:val="00DB7501"/>
    <w:rsid w:val="00DB770E"/>
    <w:rsid w:val="00DB7CAF"/>
    <w:rsid w:val="00DC136E"/>
    <w:rsid w:val="00DC3E66"/>
    <w:rsid w:val="00DC4847"/>
    <w:rsid w:val="00DC69C4"/>
    <w:rsid w:val="00DC785F"/>
    <w:rsid w:val="00DD3826"/>
    <w:rsid w:val="00DE1FF3"/>
    <w:rsid w:val="00DE26F4"/>
    <w:rsid w:val="00DE2EA6"/>
    <w:rsid w:val="00DE49FD"/>
    <w:rsid w:val="00DF2034"/>
    <w:rsid w:val="00DF210B"/>
    <w:rsid w:val="00DF3481"/>
    <w:rsid w:val="00DF41BF"/>
    <w:rsid w:val="00E0028C"/>
    <w:rsid w:val="00E00FC7"/>
    <w:rsid w:val="00E202BD"/>
    <w:rsid w:val="00E21B96"/>
    <w:rsid w:val="00E24A6C"/>
    <w:rsid w:val="00E24D09"/>
    <w:rsid w:val="00E25FAB"/>
    <w:rsid w:val="00E37FAC"/>
    <w:rsid w:val="00E45FE6"/>
    <w:rsid w:val="00E46176"/>
    <w:rsid w:val="00E538FC"/>
    <w:rsid w:val="00E60C87"/>
    <w:rsid w:val="00E61742"/>
    <w:rsid w:val="00E76304"/>
    <w:rsid w:val="00E765A1"/>
    <w:rsid w:val="00E77341"/>
    <w:rsid w:val="00E9146E"/>
    <w:rsid w:val="00E92025"/>
    <w:rsid w:val="00E9320C"/>
    <w:rsid w:val="00E94CA3"/>
    <w:rsid w:val="00E95307"/>
    <w:rsid w:val="00E95669"/>
    <w:rsid w:val="00E95D1D"/>
    <w:rsid w:val="00E97F10"/>
    <w:rsid w:val="00EA3608"/>
    <w:rsid w:val="00EB041E"/>
    <w:rsid w:val="00EB0614"/>
    <w:rsid w:val="00EB78E7"/>
    <w:rsid w:val="00EC06B7"/>
    <w:rsid w:val="00EC4E74"/>
    <w:rsid w:val="00ED0489"/>
    <w:rsid w:val="00ED65CF"/>
    <w:rsid w:val="00ED7293"/>
    <w:rsid w:val="00EE0375"/>
    <w:rsid w:val="00EE0423"/>
    <w:rsid w:val="00EE485A"/>
    <w:rsid w:val="00EE721E"/>
    <w:rsid w:val="00EF09FB"/>
    <w:rsid w:val="00EF0C20"/>
    <w:rsid w:val="00EF0CF9"/>
    <w:rsid w:val="00EF2380"/>
    <w:rsid w:val="00F0272E"/>
    <w:rsid w:val="00F0363F"/>
    <w:rsid w:val="00F103C0"/>
    <w:rsid w:val="00F12133"/>
    <w:rsid w:val="00F15902"/>
    <w:rsid w:val="00F218CE"/>
    <w:rsid w:val="00F22E0A"/>
    <w:rsid w:val="00F271F0"/>
    <w:rsid w:val="00F42A16"/>
    <w:rsid w:val="00F4323D"/>
    <w:rsid w:val="00F53886"/>
    <w:rsid w:val="00F54877"/>
    <w:rsid w:val="00F56FAA"/>
    <w:rsid w:val="00F65381"/>
    <w:rsid w:val="00F67BC6"/>
    <w:rsid w:val="00F71200"/>
    <w:rsid w:val="00F76B27"/>
    <w:rsid w:val="00F8775A"/>
    <w:rsid w:val="00F9017D"/>
    <w:rsid w:val="00F9574A"/>
    <w:rsid w:val="00F97967"/>
    <w:rsid w:val="00FA6E07"/>
    <w:rsid w:val="00FA7B96"/>
    <w:rsid w:val="00FB2E3B"/>
    <w:rsid w:val="00FB37FA"/>
    <w:rsid w:val="00FC2EDB"/>
    <w:rsid w:val="00FD065C"/>
    <w:rsid w:val="00FD49C1"/>
    <w:rsid w:val="00FE56B4"/>
    <w:rsid w:val="00FE67C5"/>
    <w:rsid w:val="00FF33EF"/>
    <w:rsid w:val="00FF701D"/>
    <w:rsid w:val="00FF727C"/>
    <w:rsid w:val="00FF7409"/>
    <w:rsid w:val="00FF769E"/>
    <w:rsid w:val="03AB3827"/>
    <w:rsid w:val="04556D42"/>
    <w:rsid w:val="0DE869DF"/>
    <w:rsid w:val="140603E8"/>
    <w:rsid w:val="171D7460"/>
    <w:rsid w:val="18BB5333"/>
    <w:rsid w:val="2A6F1B5B"/>
    <w:rsid w:val="328C29A2"/>
    <w:rsid w:val="34395390"/>
    <w:rsid w:val="36FB6BDF"/>
    <w:rsid w:val="39A34D70"/>
    <w:rsid w:val="39AA1AE9"/>
    <w:rsid w:val="39EB3328"/>
    <w:rsid w:val="3ECD7744"/>
    <w:rsid w:val="42E12C92"/>
    <w:rsid w:val="45D142A3"/>
    <w:rsid w:val="4A161919"/>
    <w:rsid w:val="51A21EC5"/>
    <w:rsid w:val="51DC2BA6"/>
    <w:rsid w:val="53853EBE"/>
    <w:rsid w:val="559B4B26"/>
    <w:rsid w:val="579A37EC"/>
    <w:rsid w:val="5AFC639B"/>
    <w:rsid w:val="5D5E5AF7"/>
    <w:rsid w:val="5FC868E5"/>
    <w:rsid w:val="65BA3AA5"/>
    <w:rsid w:val="68B1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numPr>
        <w:ilvl w:val="0"/>
        <w:numId w:val="1"/>
      </w:numPr>
      <w:outlineLvl w:val="1"/>
    </w:pPr>
    <w:rPr>
      <w:rFonts w:eastAsia="仿宋_GB2312"/>
      <w:b/>
      <w:bCs/>
      <w:szCs w:val="20"/>
    </w:rPr>
  </w:style>
  <w:style w:type="paragraph" w:styleId="4">
    <w:name w:val="heading 3"/>
    <w:basedOn w:val="1"/>
    <w:next w:val="1"/>
    <w:qFormat/>
    <w:uiPriority w:val="0"/>
    <w:pPr>
      <w:keepNext/>
      <w:numPr>
        <w:ilvl w:val="1"/>
        <w:numId w:val="2"/>
      </w:numPr>
      <w:outlineLvl w:val="2"/>
    </w:pPr>
    <w:rPr>
      <w:rFonts w:eastAsia="仿宋_GB2312"/>
      <w:b/>
      <w:bCs/>
      <w:szCs w:val="20"/>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qFormat/>
    <w:uiPriority w:val="0"/>
    <w:pPr>
      <w:keepNext/>
      <w:keepLines/>
      <w:spacing w:line="288" w:lineRule="auto"/>
      <w:jc w:val="center"/>
      <w:outlineLvl w:val="4"/>
    </w:pPr>
    <w:rPr>
      <w:rFonts w:eastAsia="楷体_GB2312"/>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szCs w:val="20"/>
    </w:rPr>
  </w:style>
  <w:style w:type="paragraph" w:styleId="8">
    <w:name w:val="Normal Indent"/>
    <w:basedOn w:val="1"/>
    <w:qFormat/>
    <w:uiPriority w:val="99"/>
    <w:pPr>
      <w:ind w:firstLine="420" w:firstLineChars="200"/>
    </w:pPr>
    <w:rPr>
      <w:rFonts w:ascii="Calibri" w:hAnsi="Calibri"/>
      <w:sz w:val="21"/>
    </w:rPr>
  </w:style>
  <w:style w:type="paragraph" w:styleId="9">
    <w:name w:val="caption"/>
    <w:basedOn w:val="1"/>
    <w:next w:val="1"/>
    <w:unhideWhenUsed/>
    <w:qFormat/>
    <w:uiPriority w:val="35"/>
    <w:rPr>
      <w:rFonts w:ascii="Cambria" w:hAnsi="Cambria" w:eastAsia="黑体"/>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line="360" w:lineRule="auto"/>
    </w:pPr>
    <w:rPr>
      <w:sz w:val="16"/>
      <w:szCs w:val="16"/>
    </w:rPr>
  </w:style>
  <w:style w:type="paragraph" w:styleId="12">
    <w:name w:val="Body Text Indent"/>
    <w:basedOn w:val="1"/>
    <w:qFormat/>
    <w:uiPriority w:val="0"/>
    <w:pPr>
      <w:spacing w:after="120"/>
      <w:ind w:left="420" w:leftChars="200"/>
    </w:pPr>
    <w:rPr>
      <w:sz w:val="21"/>
    </w:rPr>
  </w:style>
  <w:style w:type="paragraph" w:styleId="13">
    <w:name w:val="Plain Text"/>
    <w:basedOn w:val="1"/>
    <w:qFormat/>
    <w:uiPriority w:val="0"/>
    <w:rPr>
      <w:rFonts w:ascii="宋体" w:hAnsi="Courier New"/>
      <w:kern w:val="0"/>
      <w:sz w:val="20"/>
      <w:szCs w:val="20"/>
    </w:rPr>
  </w:style>
  <w:style w:type="paragraph" w:styleId="14">
    <w:name w:val="Date"/>
    <w:basedOn w:val="1"/>
    <w:next w:val="1"/>
    <w:link w:val="36"/>
    <w:qFormat/>
    <w:uiPriority w:val="0"/>
    <w:pPr>
      <w:ind w:left="100" w:leftChars="2500"/>
    </w:pPr>
  </w:style>
  <w:style w:type="paragraph" w:styleId="15">
    <w:name w:val="Body Text Indent 2"/>
    <w:basedOn w:val="1"/>
    <w:qFormat/>
    <w:uiPriority w:val="0"/>
    <w:pPr>
      <w:spacing w:after="120" w:line="480" w:lineRule="auto"/>
      <w:ind w:left="420" w:leftChars="200"/>
    </w:pPr>
    <w:rPr>
      <w:sz w:val="21"/>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semiHidden/>
    <w:qFormat/>
    <w:uiPriority w:val="0"/>
    <w:pPr>
      <w:tabs>
        <w:tab w:val="right" w:leader="middleDot" w:pos="8720"/>
      </w:tabs>
      <w:spacing w:line="360" w:lineRule="auto"/>
      <w:ind w:left="700" w:leftChars="250"/>
    </w:pPr>
    <w:rPr>
      <w:rFonts w:ascii="宋体"/>
      <w:bCs/>
    </w:rPr>
  </w:style>
  <w:style w:type="paragraph" w:styleId="21">
    <w:name w:val="toc 2"/>
    <w:basedOn w:val="1"/>
    <w:next w:val="1"/>
    <w:qFormat/>
    <w:uiPriority w:val="0"/>
    <w:pPr>
      <w:ind w:left="420" w:leftChars="200"/>
    </w:pPr>
  </w:style>
  <w:style w:type="paragraph" w:styleId="22">
    <w:name w:val="Normal (Web)"/>
    <w:basedOn w:val="1"/>
    <w:qFormat/>
    <w:uiPriority w:val="0"/>
    <w:pPr>
      <w:jc w:val="left"/>
    </w:pPr>
    <w:rPr>
      <w:rFonts w:ascii="Calibri" w:hAnsi="Calibri"/>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paragraph" w:customStyle="1" w:styleId="29">
    <w:name w:val="Default"/>
    <w:qFormat/>
    <w:uiPriority w:val="0"/>
    <w:pPr>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30">
    <w:name w:val="Char2 Char Char Char Char Char Char"/>
    <w:basedOn w:val="1"/>
    <w:qFormat/>
    <w:uiPriority w:val="0"/>
    <w:pPr>
      <w:widowControl/>
      <w:spacing w:line="400" w:lineRule="exact"/>
      <w:jc w:val="center"/>
    </w:pPr>
    <w:rPr>
      <w:rFonts w:ascii="Verdana" w:hAnsi="Verdana"/>
      <w:kern w:val="0"/>
      <w:sz w:val="21"/>
      <w:szCs w:val="20"/>
      <w:lang w:eastAsia="en-US"/>
    </w:rPr>
  </w:style>
  <w:style w:type="character" w:customStyle="1" w:styleId="31">
    <w:name w:val="标题 1 Char"/>
    <w:basedOn w:val="25"/>
    <w:link w:val="2"/>
    <w:qFormat/>
    <w:uiPriority w:val="0"/>
    <w:rPr>
      <w:b/>
      <w:bCs/>
      <w:kern w:val="44"/>
      <w:sz w:val="44"/>
      <w:szCs w:val="44"/>
    </w:rPr>
  </w:style>
  <w:style w:type="character" w:customStyle="1" w:styleId="32">
    <w:name w:val="ca-0"/>
    <w:basedOn w:val="25"/>
    <w:qFormat/>
    <w:uiPriority w:val="0"/>
  </w:style>
  <w:style w:type="paragraph" w:customStyle="1" w:styleId="33">
    <w:name w:val="表格文字"/>
    <w:basedOn w:val="1"/>
    <w:qFormat/>
    <w:uiPriority w:val="0"/>
    <w:pPr>
      <w:spacing w:before="25" w:after="25"/>
      <w:jc w:val="left"/>
    </w:pPr>
    <w:rPr>
      <w:rFonts w:ascii="Calibri" w:hAnsi="Calibri"/>
      <w:bCs/>
      <w:spacing w:val="10"/>
      <w:kern w:val="0"/>
      <w:sz w:val="24"/>
    </w:rPr>
  </w:style>
  <w:style w:type="character" w:customStyle="1" w:styleId="34">
    <w:name w:val="批注框文本 Char"/>
    <w:basedOn w:val="25"/>
    <w:link w:val="16"/>
    <w:qFormat/>
    <w:uiPriority w:val="0"/>
    <w:rPr>
      <w:kern w:val="2"/>
      <w:sz w:val="18"/>
      <w:szCs w:val="18"/>
    </w:rPr>
  </w:style>
  <w:style w:type="character" w:customStyle="1" w:styleId="35">
    <w:name w:val="标题 4 Char"/>
    <w:basedOn w:val="25"/>
    <w:link w:val="5"/>
    <w:qFormat/>
    <w:uiPriority w:val="9"/>
    <w:rPr>
      <w:rFonts w:ascii="Cambria" w:hAnsi="Cambria"/>
      <w:b/>
      <w:bCs/>
      <w:kern w:val="2"/>
      <w:sz w:val="28"/>
      <w:szCs w:val="28"/>
    </w:rPr>
  </w:style>
  <w:style w:type="character" w:customStyle="1" w:styleId="36">
    <w:name w:val="日期 Char"/>
    <w:basedOn w:val="25"/>
    <w:link w:val="14"/>
    <w:qFormat/>
    <w:uiPriority w:val="0"/>
    <w:rPr>
      <w:kern w:val="2"/>
      <w:sz w:val="28"/>
      <w:szCs w:val="24"/>
    </w:rPr>
  </w:style>
  <w:style w:type="paragraph" w:customStyle="1" w:styleId="37">
    <w:name w:val="题注4"/>
    <w:basedOn w:val="1"/>
    <w:next w:val="9"/>
    <w:qFormat/>
    <w:uiPriority w:val="0"/>
    <w:pPr>
      <w:ind w:left="-132" w:leftChars="-64" w:right="-50" w:rightChars="-50" w:hanging="2"/>
      <w:jc w:val="center"/>
    </w:pPr>
    <w:rPr>
      <w:rFonts w:ascii="Times New Roman" w:hAnsi="Times New Roman"/>
      <w:b/>
      <w:color w:val="FF0000"/>
      <w:szCs w:val="20"/>
      <w:lang w:val="en-GB"/>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AECD9-4F86-4313-958F-54D5258119E9}">
  <ds:schemaRefs/>
</ds:datastoreItem>
</file>

<file path=docProps/app.xml><?xml version="1.0" encoding="utf-8"?>
<Properties xmlns="http://schemas.openxmlformats.org/officeDocument/2006/extended-properties" xmlns:vt="http://schemas.openxmlformats.org/officeDocument/2006/docPropsVTypes">
  <Template>Normal</Template>
  <Company>Eye Center</Company>
  <Pages>32</Pages>
  <Words>2573</Words>
  <Characters>14671</Characters>
  <Lines>122</Lines>
  <Paragraphs>34</Paragraphs>
  <TotalTime>3</TotalTime>
  <ScaleCrop>false</ScaleCrop>
  <LinksUpToDate>false</LinksUpToDate>
  <CharactersWithSpaces>17210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2020-06-18T08:35:00Z</dcterms:created>
  <dc:creator>WPF</dc:creator>
  <cp:lastModifiedBy>林浩洋</cp:lastModifiedBy>
  <cp:lastPrinted>2014-10-08T08:26:00Z</cp:lastPrinted>
  <dcterms:modified xsi:type="dcterms:W3CDTF">2021-12-30T09:13:18Z</dcterms:modified>
  <dc:title>汕头大学医学院眼科中心采购项目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02C3E0641F8840A9A61EBFC02BEE3097</vt:lpwstr>
  </property>
</Properties>
</file>