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center"/>
        <w:rPr>
          <w:rFonts w:ascii="宋体"/>
          <w:b/>
          <w:bCs/>
          <w:sz w:val="48"/>
          <w:szCs w:val="48"/>
        </w:rPr>
      </w:pPr>
      <w:r>
        <w:rPr>
          <w:rFonts w:hint="eastAsia" w:ascii="宋体" w:hAnsi="宋体"/>
          <w:b/>
          <w:bCs/>
          <w:sz w:val="48"/>
          <w:szCs w:val="48"/>
        </w:rPr>
        <w:t>汕头大学医学院第一附属医院</w:t>
      </w:r>
    </w:p>
    <w:p>
      <w:pPr>
        <w:pageBreakBefore w:val="0"/>
        <w:kinsoku/>
        <w:overflowPunct/>
        <w:topLinePunct w:val="0"/>
        <w:bidi w:val="0"/>
        <w:spacing w:line="360" w:lineRule="auto"/>
        <w:jc w:val="center"/>
        <w:rPr>
          <w:rFonts w:ascii="宋体"/>
          <w:sz w:val="48"/>
          <w:szCs w:val="48"/>
        </w:rPr>
      </w:pPr>
    </w:p>
    <w:p>
      <w:pPr>
        <w:pageBreakBefore w:val="0"/>
        <w:kinsoku/>
        <w:overflowPunct/>
        <w:topLinePunct w:val="0"/>
        <w:bidi w:val="0"/>
        <w:spacing w:line="360" w:lineRule="auto"/>
        <w:jc w:val="center"/>
        <w:rPr>
          <w:rFonts w:ascii="宋体"/>
          <w:sz w:val="44"/>
        </w:rPr>
      </w:pPr>
    </w:p>
    <w:p>
      <w:pPr>
        <w:pageBreakBefore w:val="0"/>
        <w:kinsoku/>
        <w:overflowPunct/>
        <w:topLinePunct w:val="0"/>
        <w:bidi w:val="0"/>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pageBreakBefore w:val="0"/>
        <w:kinsoku/>
        <w:overflowPunct/>
        <w:topLinePunct w:val="0"/>
        <w:bidi w:val="0"/>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9"/>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9"/>
                <v:stroke on="f"/>
                <v:imagedata o:title=""/>
                <o:lock v:ext="edit" aspectratio="f"/>
              </v:shape>
            </w:pict>
          </mc:Fallback>
        </mc:AlternateContent>
      </w:r>
    </w:p>
    <w:p>
      <w:pPr>
        <w:pageBreakBefore w:val="0"/>
        <w:kinsoku/>
        <w:overflowPunct/>
        <w:topLinePunct w:val="0"/>
        <w:bidi w:val="0"/>
        <w:spacing w:line="360" w:lineRule="auto"/>
        <w:jc w:val="center"/>
        <w:rPr>
          <w:rFonts w:ascii="宋体"/>
          <w:sz w:val="52"/>
        </w:rPr>
      </w:pPr>
    </w:p>
    <w:p>
      <w:pPr>
        <w:pageBreakBefore w:val="0"/>
        <w:kinsoku/>
        <w:overflowPunct/>
        <w:topLinePunct w:val="0"/>
        <w:bidi w:val="0"/>
        <w:spacing w:line="360" w:lineRule="auto"/>
        <w:rPr>
          <w:rFonts w:ascii="宋体"/>
          <w:sz w:val="32"/>
        </w:rPr>
      </w:pPr>
    </w:p>
    <w:p>
      <w:pPr>
        <w:pageBreakBefore w:val="0"/>
        <w:kinsoku/>
        <w:overflowPunct/>
        <w:topLinePunct w:val="0"/>
        <w:bidi w:val="0"/>
        <w:spacing w:line="360" w:lineRule="auto"/>
        <w:rPr>
          <w:rFonts w:hint="eastAsia" w:ascii="黑体" w:hAnsi="黑体" w:eastAsia="黑体" w:cs="黑体"/>
          <w:color w:val="auto"/>
          <w:sz w:val="24"/>
          <w:szCs w:val="24"/>
          <w:u w:val="single"/>
          <w:lang w:val="en-US" w:eastAsia="zh-CN"/>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w:t>
      </w:r>
    </w:p>
    <w:p>
      <w:pPr>
        <w:pageBreakBefore w:val="0"/>
        <w:kinsoku/>
        <w:overflowPunct/>
        <w:topLinePunct w:val="0"/>
        <w:bidi w:val="0"/>
        <w:spacing w:line="360" w:lineRule="auto"/>
        <w:ind w:firstLine="1440" w:firstLineChars="600"/>
        <w:rPr>
          <w:rFonts w:ascii="宋体"/>
          <w:b/>
          <w:bCs/>
          <w:sz w:val="24"/>
          <w:szCs w:val="24"/>
        </w:rPr>
      </w:pPr>
      <w:r>
        <w:rPr>
          <w:rFonts w:hint="eastAsia" w:ascii="黑体" w:hAnsi="黑体" w:eastAsia="黑体" w:cs="黑体"/>
          <w:color w:val="auto"/>
          <w:sz w:val="24"/>
          <w:szCs w:val="24"/>
          <w:u w:val="single"/>
          <w:lang w:val="en-US" w:eastAsia="zh-CN"/>
        </w:rPr>
        <w:t>大鼠静脉自身给药试验系统科教设备项目</w:t>
      </w:r>
    </w:p>
    <w:p>
      <w:pPr>
        <w:pageBreakBefore w:val="0"/>
        <w:kinsoku/>
        <w:overflowPunct/>
        <w:topLinePunct w:val="0"/>
        <w:bidi w:val="0"/>
        <w:spacing w:line="360" w:lineRule="auto"/>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SDFYY-ZCB2022010</w:t>
      </w: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left"/>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sz w:val="36"/>
        </w:rPr>
      </w:pPr>
    </w:p>
    <w:p>
      <w:pPr>
        <w:pageBreakBefore w:val="0"/>
        <w:kinsoku/>
        <w:overflowPunct/>
        <w:topLinePunct w:val="0"/>
        <w:bidi w:val="0"/>
        <w:spacing w:line="36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6</w:t>
      </w:r>
      <w:r>
        <w:rPr>
          <w:rFonts w:hint="eastAsia" w:ascii="宋体" w:hAnsi="宋体"/>
          <w:b/>
          <w:bCs/>
          <w:color w:val="auto"/>
          <w:sz w:val="32"/>
          <w:szCs w:val="32"/>
        </w:rPr>
        <w:t>月</w:t>
      </w:r>
    </w:p>
    <w:p>
      <w:pPr>
        <w:pageBreakBefore w:val="0"/>
        <w:kinsoku/>
        <w:overflowPunct/>
        <w:topLinePunct w:val="0"/>
        <w:bidi w:val="0"/>
        <w:spacing w:line="360" w:lineRule="auto"/>
        <w:jc w:val="center"/>
        <w:rPr>
          <w:rFonts w:ascii="宋体"/>
          <w:b/>
          <w:bCs/>
          <w:sz w:val="44"/>
        </w:rPr>
      </w:pPr>
    </w:p>
    <w:p>
      <w:pPr>
        <w:pageBreakBefore w:val="0"/>
        <w:kinsoku/>
        <w:overflowPunct/>
        <w:topLinePunct w:val="0"/>
        <w:bidi w:val="0"/>
        <w:spacing w:line="360" w:lineRule="auto"/>
        <w:jc w:val="center"/>
        <w:rPr>
          <w:rFonts w:ascii="宋体"/>
          <w:b/>
          <w:bCs/>
          <w:sz w:val="32"/>
        </w:rPr>
      </w:pPr>
      <w:r>
        <w:rPr>
          <w:rFonts w:ascii="宋体" w:hAnsi="宋体"/>
          <w:b/>
          <w:bCs/>
          <w:sz w:val="30"/>
          <w:szCs w:val="30"/>
        </w:rPr>
        <w:t>http://www.stuh.com.cn</w:t>
      </w:r>
    </w:p>
    <w:p>
      <w:pPr>
        <w:pageBreakBefore w:val="0"/>
        <w:kinsoku/>
        <w:overflowPunct/>
        <w:topLinePunct w:val="0"/>
        <w:bidi w:val="0"/>
        <w:spacing w:line="360" w:lineRule="auto"/>
        <w:jc w:val="center"/>
        <w:rPr>
          <w:rFonts w:hint="eastAsia" w:ascii="华文新魏" w:eastAsia="华文新魏"/>
          <w:sz w:val="30"/>
          <w:szCs w:val="30"/>
          <w:lang w:val="en-US" w:eastAsia="zh-CN"/>
        </w:rPr>
      </w:pPr>
      <w:bookmarkStart w:id="0" w:name="_Toc23927923"/>
      <w:r>
        <w:rPr>
          <w:rFonts w:ascii="宋体"/>
        </w:rPr>
        <w:br w:type="page"/>
      </w:r>
      <w:bookmarkEnd w:id="0"/>
    </w:p>
    <w:p>
      <w:pPr>
        <w:pageBreakBefore w:val="0"/>
        <w:kinsoku/>
        <w:overflowPunct/>
        <w:topLinePunct w:val="0"/>
        <w:bidi w:val="0"/>
        <w:spacing w:line="360" w:lineRule="auto"/>
        <w:jc w:val="both"/>
        <w:rPr>
          <w:rFonts w:ascii="宋体" w:hAnsi="宋体"/>
          <w:szCs w:val="21"/>
        </w:rPr>
        <w:sectPr>
          <w:footerReference r:id="rId3" w:type="default"/>
          <w:pgSz w:w="11906" w:h="16838"/>
          <w:pgMar w:top="1440" w:right="1800" w:bottom="1440" w:left="1800" w:header="851" w:footer="992" w:gutter="0"/>
          <w:pgNumType w:fmt="decimal"/>
          <w:cols w:space="720" w:num="1"/>
          <w:docGrid w:type="lines" w:linePitch="312" w:charSpace="0"/>
        </w:sectPr>
      </w:pPr>
    </w:p>
    <w:p>
      <w:pPr>
        <w:pageBreakBefore w:val="0"/>
        <w:kinsoku/>
        <w:overflowPunct/>
        <w:topLinePunct w:val="0"/>
        <w:bidi w:val="0"/>
        <w:spacing w:line="360" w:lineRule="auto"/>
        <w:jc w:val="center"/>
        <w:rPr>
          <w:rFonts w:hint="eastAsia" w:eastAsia="楷体_GB2312"/>
          <w:b/>
          <w:spacing w:val="80"/>
          <w:sz w:val="32"/>
        </w:rPr>
      </w:pPr>
    </w:p>
    <w:p>
      <w:pPr>
        <w:pageBreakBefore w:val="0"/>
        <w:kinsoku/>
        <w:overflowPunct/>
        <w:topLinePunct w:val="0"/>
        <w:bidi w:val="0"/>
        <w:spacing w:line="360" w:lineRule="auto"/>
        <w:rPr>
          <w:rFonts w:hint="eastAsia" w:eastAsia="黑体"/>
          <w:b/>
          <w:sz w:val="44"/>
        </w:rPr>
      </w:pPr>
    </w:p>
    <w:p>
      <w:pPr>
        <w:pageBreakBefore w:val="0"/>
        <w:tabs>
          <w:tab w:val="left" w:pos="7260"/>
        </w:tabs>
        <w:kinsoku/>
        <w:overflowPunct/>
        <w:topLinePunct w:val="0"/>
        <w:bidi w:val="0"/>
        <w:spacing w:line="360" w:lineRule="auto"/>
        <w:rPr>
          <w:rFonts w:hint="eastAsia" w:eastAsia="黑体"/>
          <w:b/>
          <w:sz w:val="44"/>
        </w:rPr>
      </w:pPr>
      <w:r>
        <w:rPr>
          <w:rFonts w:eastAsia="黑体"/>
          <w:b/>
          <w:sz w:val="44"/>
        </w:rPr>
        <w:tab/>
      </w:r>
    </w:p>
    <w:p>
      <w:pPr>
        <w:pageBreakBefore w:val="0"/>
        <w:kinsoku/>
        <w:overflowPunct/>
        <w:topLinePunct w:val="0"/>
        <w:bidi w:val="0"/>
        <w:spacing w:line="360" w:lineRule="auto"/>
        <w:jc w:val="center"/>
        <w:rPr>
          <w:rFonts w:hint="eastAsia" w:eastAsia="黑体"/>
          <w:b/>
          <w:sz w:val="44"/>
          <w:szCs w:val="44"/>
        </w:rPr>
      </w:pPr>
      <w:r>
        <w:rPr>
          <w:rFonts w:hint="eastAsia" w:eastAsia="黑体"/>
          <w:b/>
          <w:sz w:val="44"/>
          <w:szCs w:val="44"/>
        </w:rPr>
        <w:t>目   录</w:t>
      </w:r>
    </w:p>
    <w:p>
      <w:pPr>
        <w:pageBreakBefore w:val="0"/>
        <w:kinsoku/>
        <w:overflowPunct/>
        <w:topLinePunct w:val="0"/>
        <w:bidi w:val="0"/>
        <w:spacing w:line="360" w:lineRule="auto"/>
        <w:jc w:val="center"/>
        <w:rPr>
          <w:rFonts w:hint="eastAsia" w:eastAsia="黑体"/>
          <w:b/>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pageBreakBefore w:val="0"/>
        <w:kinsoku/>
        <w:overflowPunct/>
        <w:topLinePunct w:val="0"/>
        <w:bidi w:val="0"/>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pageBreakBefore w:val="0"/>
        <w:kinsoku/>
        <w:overflowPunct/>
        <w:topLinePunct w:val="0"/>
        <w:bidi w:val="0"/>
        <w:spacing w:line="360" w:lineRule="auto"/>
        <w:ind w:left="1079" w:leftChars="514" w:firstLine="1260" w:firstLineChars="350"/>
        <w:rPr>
          <w:rFonts w:eastAsia="黑体"/>
          <w:sz w:val="36"/>
          <w:szCs w:val="36"/>
        </w:rPr>
      </w:pPr>
    </w:p>
    <w:p>
      <w:pPr>
        <w:pageBreakBefore w:val="0"/>
        <w:kinsoku/>
        <w:overflowPunct/>
        <w:topLinePunct w:val="0"/>
        <w:bidi w:val="0"/>
        <w:spacing w:line="360" w:lineRule="auto"/>
        <w:ind w:left="1079" w:leftChars="514" w:firstLine="1260" w:firstLineChars="350"/>
        <w:rPr>
          <w:rFonts w:hint="eastAsia" w:eastAsia="黑体"/>
          <w:sz w:val="36"/>
          <w:szCs w:val="36"/>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ind w:firstLine="480" w:firstLineChars="200"/>
        <w:rPr>
          <w:sz w:val="24"/>
        </w:rPr>
      </w:pPr>
    </w:p>
    <w:p>
      <w:pPr>
        <w:pageBreakBefore w:val="0"/>
        <w:kinsoku/>
        <w:overflowPunct/>
        <w:topLinePunct w:val="0"/>
        <w:bidi w:val="0"/>
        <w:spacing w:line="360" w:lineRule="auto"/>
        <w:jc w:val="center"/>
        <w:rPr>
          <w:rFonts w:hint="eastAsia" w:eastAsia="黑体"/>
          <w:b/>
          <w:sz w:val="44"/>
        </w:rPr>
        <w:sectPr>
          <w:headerReference r:id="rId4" w:type="first"/>
          <w:footerReference r:id="rId5" w:type="default"/>
          <w:footerReference r:id="rId6" w:type="even"/>
          <w:pgSz w:w="11907" w:h="16840"/>
          <w:pgMar w:top="1134" w:right="1418" w:bottom="1134" w:left="1418" w:header="737" w:footer="454" w:gutter="0"/>
          <w:pgNumType w:fmt="decimal" w:start="1"/>
          <w:cols w:space="720" w:num="1"/>
          <w:docGrid w:type="linesAndChars" w:linePitch="312" w:charSpace="0"/>
        </w:sectPr>
      </w:pPr>
    </w:p>
    <w:p>
      <w:pPr>
        <w:pStyle w:val="28"/>
        <w:pageBreakBefore w:val="0"/>
        <w:kinsoku/>
        <w:overflowPunct/>
        <w:topLinePunct w:val="0"/>
        <w:bidi w:val="0"/>
        <w:spacing w:line="360" w:lineRule="auto"/>
        <w:rPr>
          <w:rFonts w:hint="eastAsia"/>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第一部分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投 标 邀 请 函</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pageBreakBefore w:val="0"/>
        <w:kinsoku/>
        <w:overflowPunct/>
        <w:topLinePunct w:val="0"/>
        <w:bidi w:val="0"/>
        <w:spacing w:line="360" w:lineRule="auto"/>
        <w:jc w:val="center"/>
        <w:rPr>
          <w:rFonts w:hint="eastAsia"/>
          <w:b/>
          <w:kern w:val="28"/>
          <w:sz w:val="21"/>
          <w:szCs w:val="21"/>
        </w:rPr>
      </w:pP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汕头大学医学院第一附属医院就大鼠静脉自身给药试验系统科教设备项目进行公开招标采购，</w:t>
      </w:r>
      <w:r>
        <w:rPr>
          <w:rFonts w:hint="eastAsia" w:ascii="宋体"/>
          <w:szCs w:val="21"/>
        </w:rPr>
        <w:t>欢迎符合资格条件的</w:t>
      </w:r>
      <w:r>
        <w:rPr>
          <w:rFonts w:hint="eastAsia" w:ascii="宋体"/>
          <w:szCs w:val="21"/>
          <w:lang w:val="en-US" w:eastAsia="zh-CN"/>
        </w:rPr>
        <w:t>潜在</w:t>
      </w:r>
      <w:r>
        <w:rPr>
          <w:rFonts w:hint="eastAsia" w:ascii="宋体"/>
          <w:szCs w:val="21"/>
        </w:rPr>
        <w:t>供应商</w:t>
      </w:r>
      <w:r>
        <w:rPr>
          <w:rFonts w:hint="eastAsia" w:ascii="宋体"/>
          <w:szCs w:val="21"/>
          <w:lang w:val="en-US" w:eastAsia="zh-CN"/>
        </w:rPr>
        <w:t>参加</w:t>
      </w:r>
      <w:r>
        <w:rPr>
          <w:rFonts w:hint="eastAsia" w:ascii="宋体"/>
          <w:szCs w:val="21"/>
          <w:lang w:eastAsia="zh-CN"/>
        </w:rPr>
        <w:t>，</w:t>
      </w:r>
      <w:r>
        <w:rPr>
          <w:rFonts w:hint="eastAsia" w:ascii="宋体"/>
          <w:szCs w:val="21"/>
        </w:rPr>
        <w:t>具体内容如下：</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一、项目基本情况</w:t>
      </w:r>
    </w:p>
    <w:p>
      <w:pPr>
        <w:pageBreakBefore w:val="0"/>
        <w:kinsoku/>
        <w:overflowPunct/>
        <w:topLinePunct w:val="0"/>
        <w:bidi w:val="0"/>
        <w:adjustRightInd w:val="0"/>
        <w:snapToGrid w:val="0"/>
        <w:spacing w:line="360" w:lineRule="auto"/>
        <w:ind w:firstLine="420" w:firstLineChars="200"/>
        <w:rPr>
          <w:rFonts w:hint="default" w:ascii="宋体"/>
          <w:szCs w:val="21"/>
          <w:lang w:val="en-US" w:eastAsia="zh-CN"/>
        </w:rPr>
      </w:pPr>
      <w:r>
        <w:rPr>
          <w:rFonts w:hint="eastAsia" w:ascii="宋体"/>
          <w:szCs w:val="21"/>
          <w:lang w:val="en-US" w:eastAsia="zh-CN"/>
        </w:rPr>
        <w:t>1.项目编号：SDFYY-ZCB2022010</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2.项目名称：汕头大学医学院第一附属医院大鼠静脉自身给药试验系统科教设备项目</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3.采购方式：公开招标</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4.采购需求：详见采购文件</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5.交货地点：汕头市长平路57号（具体地点由招标人指定）</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6.交货期限：合同签订后30天内完成交货和安装调试并交付采购人正常使用。</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二、申请人的资格要求：</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1.具有独立承担民事责任能力的在中华人民共和国境内进行工商注册登记的法人或其他组织。</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2.有依法缴纳税收和社会保障资金的良好记录：提供投标截止日前6个月内任意1个月依法缴纳税收和社会保障资金的相关材料。如依法免税或不需要缴纳社会保障资金的，提供相应证明材料。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3.具有良好的商业信誉和健全的财务会计制度：供应商必须具有良好的商业信誉和健全的财务会计制度（提供2021年度财务状况报告或基本开户行出具的资信证明）。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4.履行合同所必须的设备和专业技术能力：按投标（响应）文件格式填报设备及专业技术能力情况。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5</w:t>
      </w:r>
      <w:r>
        <w:rPr>
          <w:rFonts w:hint="default"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default"/>
        </w:rPr>
      </w:pPr>
      <w:r>
        <w:rPr>
          <w:rFonts w:hint="eastAsia" w:ascii="宋体"/>
          <w:szCs w:val="21"/>
          <w:lang w:val="en-US" w:eastAsia="zh-CN"/>
        </w:rPr>
        <w:t>6.</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7</w:t>
      </w:r>
      <w:r>
        <w:rPr>
          <w:rFonts w:hint="default" w:ascii="宋体"/>
          <w:szCs w:val="21"/>
        </w:rPr>
        <w:t>.本项目不接受联合体投标。</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8</w:t>
      </w:r>
      <w:r>
        <w:rPr>
          <w:rFonts w:hint="default" w:ascii="宋体"/>
          <w:szCs w:val="21"/>
        </w:rPr>
        <w:t>.投标人已在招标公告规定时间内向汕头大学</w:t>
      </w:r>
      <w:r>
        <w:rPr>
          <w:rFonts w:hint="eastAsia" w:ascii="宋体"/>
          <w:szCs w:val="21"/>
          <w:lang w:val="en-US" w:eastAsia="zh-CN"/>
        </w:rPr>
        <w:t>医学院第一附属医院招标采购办公室</w:t>
      </w:r>
      <w:r>
        <w:rPr>
          <w:rFonts w:hint="default" w:ascii="宋体"/>
          <w:szCs w:val="21"/>
        </w:rPr>
        <w:t>报名登记成功。</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三</w:t>
      </w:r>
      <w:r>
        <w:rPr>
          <w:rFonts w:hint="eastAsia" w:ascii="宋体"/>
          <w:szCs w:val="21"/>
        </w:rPr>
        <w:t>、需要落实的政府采购政策：</w:t>
      </w:r>
    </w:p>
    <w:p>
      <w:pPr>
        <w:pageBreakBefore w:val="0"/>
        <w:kinsoku/>
        <w:overflowPunct/>
        <w:topLinePunct w:val="0"/>
        <w:bidi w:val="0"/>
        <w:adjustRightInd w:val="0"/>
        <w:snapToGrid w:val="0"/>
        <w:spacing w:line="360" w:lineRule="auto"/>
        <w:ind w:firstLine="420" w:firstLineChars="200"/>
        <w:rPr>
          <w:rFonts w:hint="default"/>
          <w:highlight w:val="none"/>
        </w:rPr>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w:t>
      </w:r>
      <w:r>
        <w:rPr>
          <w:rFonts w:hint="eastAsia" w:ascii="宋体"/>
          <w:szCs w:val="21"/>
          <w:highlight w:val="none"/>
        </w:rPr>
        <w:t>品政府采购执行机制的通知（财库〔2019〕9号）、关于印发节能产品政府采购品目清单的通知（财库〔2019〕19号）等。</w:t>
      </w:r>
    </w:p>
    <w:p>
      <w:pPr>
        <w:pageBreakBefore w:val="0"/>
        <w:kinsoku/>
        <w:overflowPunct/>
        <w:topLinePunct w:val="0"/>
        <w:bidi w:val="0"/>
        <w:adjustRightInd w:val="0"/>
        <w:snapToGrid w:val="0"/>
        <w:spacing w:line="360" w:lineRule="auto"/>
        <w:ind w:firstLine="420" w:firstLineChars="200"/>
        <w:rPr>
          <w:rFonts w:hint="default" w:ascii="宋体"/>
          <w:szCs w:val="21"/>
          <w:highlight w:val="none"/>
        </w:rPr>
      </w:pPr>
      <w:r>
        <w:rPr>
          <w:rFonts w:hint="eastAsia" w:ascii="宋体"/>
          <w:szCs w:val="21"/>
          <w:highlight w:val="none"/>
          <w:lang w:val="en-US" w:eastAsia="zh-CN"/>
        </w:rPr>
        <w:t>四</w:t>
      </w:r>
      <w:r>
        <w:rPr>
          <w:rFonts w:hint="default" w:ascii="宋体"/>
          <w:szCs w:val="21"/>
          <w:highlight w:val="none"/>
        </w:rPr>
        <w:t>、报名时间及</w:t>
      </w:r>
      <w:r>
        <w:rPr>
          <w:rFonts w:hint="eastAsia" w:ascii="宋体"/>
          <w:szCs w:val="21"/>
          <w:highlight w:val="none"/>
          <w:lang w:val="en-US" w:eastAsia="zh-CN"/>
        </w:rPr>
        <w:t>要求</w:t>
      </w:r>
      <w:r>
        <w:rPr>
          <w:rFonts w:hint="default" w:ascii="宋体"/>
          <w:szCs w:val="21"/>
          <w:highlight w:val="none"/>
        </w:rPr>
        <w:t>：</w:t>
      </w:r>
    </w:p>
    <w:p>
      <w:pPr>
        <w:pageBreakBefore w:val="0"/>
        <w:kinsoku/>
        <w:overflowPunct/>
        <w:topLinePunct w:val="0"/>
        <w:bidi w:val="0"/>
        <w:adjustRightInd w:val="0"/>
        <w:snapToGrid w:val="0"/>
        <w:spacing w:line="360" w:lineRule="auto"/>
        <w:ind w:firstLine="420" w:firstLineChars="200"/>
        <w:rPr>
          <w:rFonts w:hint="eastAsia" w:ascii="宋体"/>
          <w:szCs w:val="21"/>
          <w:highlight w:val="none"/>
          <w:lang w:val="en-US" w:eastAsia="zh-CN"/>
        </w:rPr>
      </w:pPr>
      <w:r>
        <w:rPr>
          <w:rFonts w:hint="default" w:ascii="宋体"/>
          <w:szCs w:val="21"/>
          <w:highlight w:val="none"/>
        </w:rPr>
        <w:t>1.</w:t>
      </w:r>
      <w:r>
        <w:rPr>
          <w:rFonts w:hint="default" w:ascii="宋体" w:hAnsi="宋体" w:eastAsia="宋体" w:cs="宋体"/>
          <w:i w:val="0"/>
          <w:iCs w:val="0"/>
          <w:caps w:val="0"/>
          <w:color w:val="000000" w:themeColor="text1"/>
          <w:spacing w:val="0"/>
          <w:sz w:val="21"/>
          <w:szCs w:val="21"/>
          <w:highlight w:val="none"/>
          <w:shd w:val="clear" w:fill="FFFFFF"/>
          <w:vertAlign w:val="baseline"/>
          <w14:textFill>
            <w14:solidFill>
              <w14:schemeClr w14:val="tx1"/>
            </w14:solidFill>
          </w14:textFill>
        </w:rPr>
        <w:t>报名时间：</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16</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日至</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 xml:space="preserve"> 8</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（北京时间，法定节假日除外）。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highlight w:val="none"/>
        </w:rPr>
        <w:t>2.</w:t>
      </w:r>
      <w:r>
        <w:rPr>
          <w:rFonts w:hint="eastAsia" w:ascii="宋体"/>
          <w:szCs w:val="21"/>
          <w:highlight w:val="none"/>
          <w:lang w:val="en-US" w:eastAsia="zh-CN"/>
        </w:rPr>
        <w:t>报名地点：</w:t>
      </w:r>
      <w:r>
        <w:rPr>
          <w:rFonts w:hint="default" w:ascii="宋体"/>
          <w:szCs w:val="21"/>
        </w:rPr>
        <w:t>汕头大学</w:t>
      </w:r>
      <w:r>
        <w:rPr>
          <w:rFonts w:hint="eastAsia" w:ascii="宋体"/>
          <w:szCs w:val="21"/>
          <w:lang w:val="en-US" w:eastAsia="zh-CN"/>
        </w:rPr>
        <w:t>医学院第一附属医院综合楼6楼招标采购办公室</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w:t>
      </w:r>
      <w:r>
        <w:rPr>
          <w:rFonts w:hint="eastAsia" w:ascii="宋体"/>
          <w:szCs w:val="21"/>
          <w:lang w:val="en-US" w:eastAsia="zh-CN"/>
        </w:rPr>
        <w:t>请带齐以下资料（全部须加盖公章）：</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（1）报名函（格式见招标文件）；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（2）投标人企业营业执照或事业单位法人证书或其他组织、税务登记证及组织机构代码证复印件（已办理三证合一或五证合一的投标人则只需提供营业执照）；</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（3）投标人法定代表人证明书及法定代表人身份证复印件（格式见招标文件）；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（4）投标人法定代表人授权委托书及授权代表身份证复印件（法定代表人为投标人代表并亲自签署投标文件的可不提交</w:t>
      </w:r>
      <w:r>
        <w:rPr>
          <w:rFonts w:hint="eastAsia" w:ascii="宋体"/>
          <w:szCs w:val="21"/>
          <w:lang w:eastAsia="zh-CN"/>
        </w:rPr>
        <w:t>，</w:t>
      </w:r>
      <w:r>
        <w:rPr>
          <w:rFonts w:hint="default" w:ascii="宋体"/>
          <w:szCs w:val="21"/>
        </w:rPr>
        <w:t>格式见招标文件）。</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文件提供人必须保证以上文件真实可靠，如因所提供文件不实导致与本项目有关的任何损失和后果由提供人承担。</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4.</w:t>
      </w:r>
      <w:r>
        <w:rPr>
          <w:rFonts w:hint="eastAsia" w:ascii="宋体"/>
          <w:szCs w:val="21"/>
          <w:lang w:val="en-US" w:eastAsia="zh-CN"/>
        </w:rPr>
        <w:t>招标采购办公室</w:t>
      </w:r>
      <w:r>
        <w:rPr>
          <w:rFonts w:hint="default" w:ascii="宋体"/>
          <w:szCs w:val="21"/>
        </w:rPr>
        <w:t>对投标人提交报名资料的核对，仅代表其报名的确认，不代表其投标资格的确认。投标人的投标资格最终以评标小组</w:t>
      </w:r>
      <w:bookmarkStart w:id="23" w:name="_GoBack"/>
      <w:bookmarkEnd w:id="23"/>
      <w:r>
        <w:rPr>
          <w:rFonts w:hint="default" w:ascii="宋体"/>
          <w:szCs w:val="21"/>
        </w:rPr>
        <w:t>根据其投标文件中的相关资料作出的评审结论为准。当评标小组对投标文件中资质证明文件的复印件有疑问时，招标人有权利要求投标人在规定时间内提供原件进行核对。</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五</w:t>
      </w:r>
      <w:r>
        <w:rPr>
          <w:rFonts w:hint="default" w:ascii="宋体"/>
          <w:szCs w:val="21"/>
        </w:rPr>
        <w:t>、招标文件的获取：</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本项目招标文件免费发放，投标人可直接下载本公告附件之招标文件，无需购买。</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六</w:t>
      </w:r>
      <w:r>
        <w:rPr>
          <w:rFonts w:hint="default" w:ascii="宋体"/>
          <w:szCs w:val="21"/>
        </w:rPr>
        <w:t>、投标保证金：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本项目不收取投标保证金。</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七</w:t>
      </w:r>
      <w:r>
        <w:rPr>
          <w:rFonts w:hint="default" w:ascii="宋体"/>
          <w:szCs w:val="21"/>
        </w:rPr>
        <w:t>、投标文件</w:t>
      </w:r>
      <w:r>
        <w:rPr>
          <w:rFonts w:hint="eastAsia" w:ascii="宋体"/>
          <w:szCs w:val="21"/>
          <w:lang w:val="en-US" w:eastAsia="zh-CN"/>
        </w:rPr>
        <w:t>递交</w:t>
      </w:r>
      <w:r>
        <w:rPr>
          <w:rFonts w:hint="default" w:ascii="宋体"/>
          <w:szCs w:val="21"/>
        </w:rPr>
        <w:t>地点及截止时间：</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1.投标地址：</w:t>
      </w:r>
      <w:r>
        <w:rPr>
          <w:rFonts w:hint="eastAsia" w:ascii="宋体"/>
          <w:szCs w:val="21"/>
        </w:rPr>
        <w:t>汕头大学医学院第一附属医院</w:t>
      </w:r>
      <w:r>
        <w:rPr>
          <w:rFonts w:hint="default" w:ascii="宋体"/>
          <w:szCs w:val="21"/>
        </w:rPr>
        <w:t>综合楼</w:t>
      </w:r>
      <w:r>
        <w:rPr>
          <w:rFonts w:hint="eastAsia" w:ascii="宋体"/>
          <w:szCs w:val="21"/>
        </w:rPr>
        <w:t>6楼招标采购办公室</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2.投标时间：202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7</w:t>
      </w:r>
      <w:r>
        <w:rPr>
          <w:rFonts w:hint="default" w:ascii="宋体"/>
          <w:szCs w:val="21"/>
        </w:rPr>
        <w:t>日</w:t>
      </w:r>
      <w:r>
        <w:rPr>
          <w:rFonts w:hint="eastAsia" w:ascii="宋体"/>
          <w:szCs w:val="21"/>
          <w:lang w:val="en-US" w:eastAsia="zh-CN"/>
        </w:rPr>
        <w:t>8</w:t>
      </w:r>
      <w:r>
        <w:rPr>
          <w:rFonts w:hint="default" w:ascii="宋体"/>
          <w:szCs w:val="21"/>
        </w:rPr>
        <w:t>:00-15:00（北京时间），逾期送达的投标文件将不予接收。</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3.投标截止时间：202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7</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4.开标时间：202</w:t>
      </w:r>
      <w:r>
        <w:rPr>
          <w:rFonts w:hint="eastAsia" w:ascii="宋体"/>
          <w:szCs w:val="21"/>
          <w:lang w:val="en-US" w:eastAsia="zh-CN"/>
        </w:rPr>
        <w:t>2</w:t>
      </w:r>
      <w:r>
        <w:rPr>
          <w:rFonts w:hint="default" w:ascii="宋体"/>
          <w:szCs w:val="21"/>
        </w:rPr>
        <w:t>年</w:t>
      </w:r>
      <w:r>
        <w:rPr>
          <w:rFonts w:hint="eastAsia" w:ascii="宋体"/>
          <w:szCs w:val="21"/>
          <w:lang w:val="en-US" w:eastAsia="zh-CN"/>
        </w:rPr>
        <w:t>7</w:t>
      </w:r>
      <w:r>
        <w:rPr>
          <w:rFonts w:hint="default" w:ascii="宋体"/>
          <w:szCs w:val="21"/>
        </w:rPr>
        <w:t>月</w:t>
      </w:r>
      <w:r>
        <w:rPr>
          <w:rFonts w:hint="eastAsia" w:ascii="宋体"/>
          <w:szCs w:val="21"/>
          <w:lang w:val="en-US" w:eastAsia="zh-CN"/>
        </w:rPr>
        <w:t>7</w:t>
      </w:r>
      <w:r>
        <w:rPr>
          <w:rFonts w:hint="default" w:ascii="宋体"/>
          <w:szCs w:val="21"/>
        </w:rPr>
        <w:t>日15时00分（北京时间）</w:t>
      </w:r>
      <w:r>
        <w:rPr>
          <w:rFonts w:hint="eastAsia" w:ascii="宋体"/>
          <w:szCs w:val="21"/>
          <w:lang w:eastAsia="zh-CN"/>
        </w:rPr>
        <w:t>。</w:t>
      </w:r>
    </w:p>
    <w:p>
      <w:pPr>
        <w:pageBreakBefore w:val="0"/>
        <w:kinsoku/>
        <w:overflowPunct/>
        <w:topLinePunct w:val="0"/>
        <w:bidi w:val="0"/>
        <w:adjustRightInd w:val="0"/>
        <w:snapToGrid w:val="0"/>
        <w:spacing w:line="360" w:lineRule="auto"/>
        <w:ind w:firstLine="420" w:firstLineChars="200"/>
        <w:rPr>
          <w:rFonts w:hint="eastAsia" w:ascii="宋体"/>
          <w:szCs w:val="21"/>
          <w:lang w:eastAsia="zh-CN"/>
        </w:rPr>
      </w:pPr>
      <w:r>
        <w:rPr>
          <w:rFonts w:hint="default" w:ascii="宋体"/>
          <w:szCs w:val="21"/>
        </w:rPr>
        <w:t>5.开标地点：</w:t>
      </w:r>
      <w:r>
        <w:rPr>
          <w:rFonts w:hint="eastAsia" w:ascii="宋体"/>
          <w:szCs w:val="21"/>
        </w:rPr>
        <w:t>汕头大学医学院第一附属医院</w:t>
      </w:r>
      <w:r>
        <w:rPr>
          <w:rFonts w:hint="default" w:ascii="宋体"/>
          <w:szCs w:val="21"/>
        </w:rPr>
        <w:t>综合楼</w:t>
      </w:r>
      <w:r>
        <w:rPr>
          <w:rFonts w:hint="eastAsia" w:ascii="宋体"/>
          <w:szCs w:val="21"/>
          <w:lang w:val="en-US" w:eastAsia="zh-CN"/>
        </w:rPr>
        <w:t>5楼</w:t>
      </w:r>
      <w:r>
        <w:rPr>
          <w:rFonts w:hint="default" w:ascii="宋体"/>
          <w:szCs w:val="21"/>
        </w:rPr>
        <w:t>会议室</w:t>
      </w:r>
      <w:r>
        <w:rPr>
          <w:rFonts w:hint="eastAsia" w:asci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hAnsi="宋体"/>
          <w:szCs w:val="21"/>
          <w:lang w:val="en-US" w:eastAsia="zh-CN"/>
        </w:rPr>
      </w:pPr>
      <w:r>
        <w:rPr>
          <w:rFonts w:hint="eastAsia" w:ascii="宋体" w:hAnsi="宋体"/>
          <w:szCs w:val="21"/>
          <w:lang w:val="en-US" w:eastAsia="zh-CN"/>
        </w:rPr>
        <w:t>八、报名及投标文件递交方式</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default" w:ascii="宋体"/>
          <w:szCs w:val="21"/>
          <w:highlight w:val="none"/>
        </w:rPr>
      </w:pPr>
      <w:r>
        <w:rPr>
          <w:rFonts w:hint="eastAsia" w:ascii="宋体" w:hAnsi="宋体"/>
          <w:szCs w:val="21"/>
          <w:lang w:val="en-US" w:eastAsia="zh-CN"/>
        </w:rPr>
        <w:t>本项目的报名资料及投标文件原则</w:t>
      </w:r>
      <w:r>
        <w:rPr>
          <w:rFonts w:hint="eastAsia" w:ascii="宋体" w:hAnsi="宋体"/>
          <w:szCs w:val="21"/>
          <w:highlight w:val="none"/>
          <w:lang w:val="en-US" w:eastAsia="zh-CN"/>
        </w:rPr>
        <w:t>要求由</w:t>
      </w:r>
      <w:r>
        <w:rPr>
          <w:rFonts w:hint="eastAsia" w:ascii="宋体" w:hAnsi="宋体"/>
          <w:szCs w:val="21"/>
          <w:highlight w:val="none"/>
        </w:rPr>
        <w:t>法定代表人或其授权代表</w:t>
      </w:r>
      <w:r>
        <w:rPr>
          <w:rFonts w:hint="eastAsia" w:ascii="宋体" w:hAnsi="宋体"/>
          <w:szCs w:val="21"/>
          <w:highlight w:val="none"/>
          <w:lang w:val="en-US" w:eastAsia="zh-CN"/>
        </w:rPr>
        <w:t>亲自</w:t>
      </w:r>
      <w:r>
        <w:rPr>
          <w:rFonts w:hint="eastAsia" w:ascii="宋体" w:hAnsi="宋体"/>
          <w:szCs w:val="21"/>
          <w:highlight w:val="none"/>
        </w:rPr>
        <w:t>送达</w:t>
      </w:r>
      <w:r>
        <w:rPr>
          <w:rFonts w:hint="eastAsia" w:ascii="宋体" w:hAnsi="宋体"/>
          <w:szCs w:val="21"/>
          <w:highlight w:val="none"/>
          <w:lang w:eastAsia="zh-CN"/>
        </w:rPr>
        <w:t>，</w:t>
      </w:r>
      <w:r>
        <w:rPr>
          <w:rFonts w:hint="eastAsia" w:ascii="宋体" w:hAnsi="宋体"/>
          <w:szCs w:val="21"/>
          <w:highlight w:val="none"/>
        </w:rPr>
        <w:t>受新冠疫情影响</w:t>
      </w:r>
      <w:r>
        <w:rPr>
          <w:rFonts w:hint="eastAsia" w:ascii="宋体" w:hAnsi="宋体"/>
          <w:szCs w:val="21"/>
          <w:highlight w:val="none"/>
          <w:lang w:val="en-US" w:eastAsia="zh-CN"/>
        </w:rPr>
        <w:t>也</w:t>
      </w:r>
      <w:r>
        <w:rPr>
          <w:rFonts w:hint="eastAsia" w:ascii="宋体" w:hAnsi="宋体"/>
          <w:szCs w:val="21"/>
          <w:highlight w:val="none"/>
        </w:rPr>
        <w:t>可为邮寄，寄达地址：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报名资料和投标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邮寄过程投标文件受损丢失等由投标人负责</w:t>
      </w:r>
      <w:r>
        <w:rPr>
          <w:rFonts w:hint="eastAsia" w:ascii="宋体" w:hAnsi="宋体"/>
          <w:szCs w:val="21"/>
          <w:highlight w:val="none"/>
        </w:rPr>
        <w:t>）。</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九</w:t>
      </w:r>
      <w:r>
        <w:rPr>
          <w:rFonts w:hint="default" w:ascii="宋体"/>
          <w:szCs w:val="21"/>
        </w:rPr>
        <w:t>、公告发布媒介：</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本公告在汕头大学医学院官网主页(www.med.stu.edu.cn)、汕头大学医学院第一附属医院官网主页（www.stuh.com.cn）</w:t>
      </w:r>
      <w:r>
        <w:rPr>
          <w:rFonts w:hint="default" w:ascii="宋体"/>
          <w:szCs w:val="21"/>
        </w:rPr>
        <w:t>信息公告栏上发布，各媒体发布的文本如有不同之处，以</w:t>
      </w:r>
      <w:r>
        <w:rPr>
          <w:rFonts w:hint="eastAsia" w:ascii="宋体"/>
          <w:szCs w:val="21"/>
          <w:lang w:val="en-US" w:eastAsia="zh-CN"/>
        </w:rPr>
        <w:t>汕头大学医学院第一附属医院官网主页（www.stuh.com.cn）</w:t>
      </w:r>
      <w:r>
        <w:rPr>
          <w:rFonts w:hint="default" w:ascii="宋体"/>
          <w:szCs w:val="21"/>
        </w:rPr>
        <w:t>信息公告栏上发布的文本为准。</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lang w:val="en-US" w:eastAsia="zh-CN"/>
        </w:rPr>
        <w:t>十</w:t>
      </w:r>
      <w:r>
        <w:rPr>
          <w:rFonts w:hint="default" w:ascii="宋体"/>
          <w:szCs w:val="21"/>
        </w:rPr>
        <w:t>、</w:t>
      </w:r>
      <w:r>
        <w:rPr>
          <w:rFonts w:hint="eastAsia" w:ascii="宋体"/>
          <w:szCs w:val="21"/>
          <w:lang w:val="en-US" w:eastAsia="zh-CN"/>
        </w:rPr>
        <w:t>联系事项</w:t>
      </w:r>
      <w:r>
        <w:rPr>
          <w:rFonts w:hint="default" w:ascii="宋体"/>
          <w:szCs w:val="21"/>
        </w:rPr>
        <w:t>：</w:t>
      </w:r>
    </w:p>
    <w:p>
      <w:pPr>
        <w:pageBreakBefore w:val="0"/>
        <w:kinsoku/>
        <w:overflowPunct/>
        <w:topLinePunct w:val="0"/>
        <w:bidi w:val="0"/>
        <w:adjustRightInd w:val="0"/>
        <w:snapToGrid w:val="0"/>
        <w:spacing w:line="360" w:lineRule="auto"/>
        <w:ind w:firstLine="420" w:firstLineChars="200"/>
        <w:rPr>
          <w:rFonts w:hint="eastAsia" w:ascii="宋体"/>
          <w:szCs w:val="21"/>
          <w:lang w:val="en-US" w:eastAsia="zh-CN"/>
        </w:rPr>
      </w:pPr>
      <w:r>
        <w:rPr>
          <w:rFonts w:hint="default" w:ascii="宋体"/>
          <w:szCs w:val="21"/>
        </w:rPr>
        <w:t>1.招标组织：</w:t>
      </w:r>
      <w:r>
        <w:rPr>
          <w:rFonts w:hint="eastAsia" w:ascii="宋体"/>
          <w:szCs w:val="21"/>
        </w:rPr>
        <w:t>汕头大学医学院第一附属医院</w:t>
      </w:r>
      <w:r>
        <w:rPr>
          <w:rFonts w:hint="eastAsia" w:ascii="宋体"/>
          <w:szCs w:val="21"/>
          <w:lang w:val="en-US" w:eastAsia="zh-CN"/>
        </w:rPr>
        <w:t>招标采购办公室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0754-88905636</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联 系 人：</w:t>
      </w:r>
      <w:r>
        <w:rPr>
          <w:rFonts w:hint="eastAsia" w:ascii="宋体"/>
          <w:szCs w:val="21"/>
          <w:lang w:val="en-US" w:eastAsia="zh-CN"/>
        </w:rPr>
        <w:t>张</w:t>
      </w:r>
      <w:r>
        <w:rPr>
          <w:rFonts w:hint="default" w:ascii="宋体"/>
          <w:szCs w:val="21"/>
        </w:rPr>
        <w:t>老师、</w:t>
      </w:r>
      <w:r>
        <w:rPr>
          <w:rFonts w:hint="eastAsia" w:ascii="宋体"/>
          <w:szCs w:val="21"/>
          <w:lang w:val="en-US" w:eastAsia="zh-CN"/>
        </w:rPr>
        <w:t>袁</w:t>
      </w:r>
      <w:r>
        <w:rPr>
          <w:rFonts w:hint="default" w:ascii="宋体"/>
          <w:szCs w:val="21"/>
        </w:rPr>
        <w:t>老师</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邮 箱：</w:t>
      </w:r>
      <w:r>
        <w:rPr>
          <w:rFonts w:hint="eastAsia" w:ascii="宋体"/>
          <w:szCs w:val="21"/>
          <w:lang w:val="en-US" w:eastAsia="zh-CN"/>
        </w:rPr>
        <w:fldChar w:fldCharType="begin"/>
      </w:r>
      <w:r>
        <w:rPr>
          <w:rFonts w:hint="eastAsia" w:ascii="宋体"/>
          <w:szCs w:val="21"/>
          <w:lang w:val="en-US" w:eastAsia="zh-CN"/>
        </w:rPr>
        <w:instrText xml:space="preserve"> HYPERLINK "mailto:fyzbcgbgs@163.com" </w:instrText>
      </w:r>
      <w:r>
        <w:rPr>
          <w:rFonts w:hint="eastAsia" w:ascii="宋体"/>
          <w:szCs w:val="21"/>
          <w:lang w:val="en-US" w:eastAsia="zh-CN"/>
        </w:rPr>
        <w:fldChar w:fldCharType="separate"/>
      </w:r>
      <w:r>
        <w:rPr>
          <w:rFonts w:hint="eastAsia" w:ascii="宋体"/>
          <w:szCs w:val="21"/>
        </w:rPr>
        <w:t>fyzbcgbgs@163.com</w:t>
      </w:r>
      <w:r>
        <w:rPr>
          <w:rFonts w:hint="eastAsia" w:ascii="宋体"/>
          <w:szCs w:val="21"/>
          <w:lang w:val="en-US" w:eastAsia="zh-CN"/>
        </w:rPr>
        <w:fldChar w:fldCharType="end"/>
      </w:r>
      <w:r>
        <w:rPr>
          <w:rFonts w:hint="eastAsia" w:ascii="宋体"/>
          <w:szCs w:val="21"/>
          <w:lang w:val="en-US" w:eastAsia="zh-CN"/>
        </w:rPr>
        <w:t> </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2.</w:t>
      </w:r>
      <w:r>
        <w:rPr>
          <w:rFonts w:hint="eastAsia" w:ascii="宋体"/>
          <w:szCs w:val="21"/>
        </w:rPr>
        <w:t>汕头大学医学院第一附属医院</w:t>
      </w:r>
      <w:r>
        <w:rPr>
          <w:rFonts w:hint="eastAsia" w:ascii="宋体"/>
          <w:szCs w:val="21"/>
          <w:lang w:val="en-US" w:eastAsia="zh-CN"/>
        </w:rPr>
        <w:t>纪检室</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default" w:ascii="宋体"/>
          <w:szCs w:val="21"/>
        </w:rPr>
        <w:t>电 话：</w:t>
      </w:r>
      <w:r>
        <w:rPr>
          <w:rFonts w:hint="eastAsia" w:ascii="宋体"/>
          <w:szCs w:val="21"/>
          <w:lang w:val="en-US" w:eastAsia="zh-CN"/>
        </w:rPr>
        <w:t>0754-88905391</w:t>
      </w:r>
    </w:p>
    <w:p>
      <w:pPr>
        <w:pageBreakBefore w:val="0"/>
        <w:kinsoku/>
        <w:overflowPunct/>
        <w:topLinePunct w:val="0"/>
        <w:bidi w:val="0"/>
        <w:adjustRightInd w:val="0"/>
        <w:snapToGrid w:val="0"/>
        <w:spacing w:line="360" w:lineRule="auto"/>
        <w:ind w:firstLine="420" w:firstLineChars="200"/>
        <w:rPr>
          <w:rFonts w:hint="default" w:ascii="宋体"/>
          <w:szCs w:val="21"/>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ageBreakBefore w:val="0"/>
        <w:kinsoku/>
        <w:wordWrap w:val="0"/>
        <w:overflowPunct/>
        <w:topLinePunct w:val="0"/>
        <w:bidi w:val="0"/>
        <w:spacing w:line="360" w:lineRule="auto"/>
        <w:jc w:val="right"/>
        <w:rPr>
          <w:rFonts w:hint="eastAsia" w:ascii="宋体"/>
          <w:sz w:val="21"/>
          <w:szCs w:val="21"/>
        </w:rPr>
      </w:pPr>
      <w:r>
        <w:rPr>
          <w:rFonts w:hint="eastAsia" w:ascii="宋体"/>
          <w:sz w:val="21"/>
          <w:szCs w:val="21"/>
        </w:rPr>
        <w:t>汕头大学医学院第一附属医院</w:t>
      </w:r>
    </w:p>
    <w:p>
      <w:pPr>
        <w:pageBreakBefore w:val="0"/>
        <w:kinsoku/>
        <w:wordWrap w:val="0"/>
        <w:overflowPunct/>
        <w:topLinePunct w:val="0"/>
        <w:bidi w:val="0"/>
        <w:spacing w:line="360" w:lineRule="auto"/>
        <w:jc w:val="right"/>
        <w:rPr>
          <w:rFonts w:hint="eastAsia" w:ascii="宋体"/>
          <w:szCs w:val="21"/>
        </w:rPr>
      </w:pPr>
      <w:r>
        <w:rPr>
          <w:rFonts w:hint="eastAsia" w:ascii="宋体"/>
          <w:szCs w:val="21"/>
          <w:lang w:val="en-US" w:eastAsia="zh-CN"/>
        </w:rPr>
        <w:t>二〇二二年六月十六日</w:t>
      </w:r>
      <w:r>
        <w:rPr>
          <w:rFonts w:hint="eastAsia" w:ascii="宋体"/>
          <w:szCs w:val="21"/>
        </w:rP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第二部分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ascii="宋体" w:hAnsi="宋体" w:cs="宋体"/>
          <w:b/>
          <w:szCs w:val="21"/>
        </w:rPr>
      </w:pPr>
      <w:r>
        <w:rPr>
          <w:rFonts w:hint="eastAsia" w:eastAsia="黑体"/>
          <w:b/>
          <w:sz w:val="44"/>
        </w:rPr>
        <w:t>用 户 需 求 书</w:t>
      </w:r>
      <w:r>
        <w:rPr>
          <w:sz w:val="24"/>
          <w:szCs w:val="24"/>
        </w:rPr>
        <w:br w:type="page"/>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rPr>
      </w:pPr>
      <w:r>
        <w:rPr>
          <w:rFonts w:hint="eastAsia" w:ascii="宋体" w:hAnsi="宋体" w:eastAsia="宋体" w:cs="宋体"/>
          <w:b/>
          <w:bCs/>
          <w:sz w:val="21"/>
          <w:szCs w:val="21"/>
        </w:rPr>
        <w:t>一、供货清单及交货期</w:t>
      </w:r>
    </w:p>
    <w:p>
      <w:pPr>
        <w:keepNext w:val="0"/>
        <w:keepLines w:val="0"/>
        <w:pageBreakBefore w:val="0"/>
        <w:kinsoku/>
        <w:wordWrap/>
        <w:overflowPunct/>
        <w:topLinePunct w:val="0"/>
        <w:bidi w:val="0"/>
        <w:adjustRightInd w:val="0"/>
        <w:snapToGrid w:val="0"/>
        <w:spacing w:before="156" w:before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1、设备名称和数量：</w:t>
      </w:r>
    </w:p>
    <w:tbl>
      <w:tblPr>
        <w:tblStyle w:val="2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268"/>
        <w:gridCol w:w="744"/>
        <w:gridCol w:w="780"/>
        <w:gridCol w:w="1776"/>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标包</w:t>
            </w:r>
          </w:p>
        </w:tc>
        <w:tc>
          <w:tcPr>
            <w:tcW w:w="3268"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74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78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776"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cs="宋体"/>
                <w:sz w:val="21"/>
                <w:szCs w:val="21"/>
                <w:lang w:val="en-US" w:eastAsia="zh-CN"/>
              </w:rPr>
              <w:t>最高限价</w:t>
            </w:r>
            <w:r>
              <w:rPr>
                <w:rFonts w:hint="eastAsia" w:ascii="宋体" w:hAnsi="宋体" w:eastAsia="宋体" w:cs="宋体"/>
                <w:sz w:val="21"/>
                <w:szCs w:val="21"/>
              </w:rPr>
              <w:t>（</w:t>
            </w:r>
            <w:r>
              <w:rPr>
                <w:rFonts w:hint="eastAsia" w:ascii="宋体" w:hAnsi="宋体" w:eastAsia="宋体" w:cs="宋体"/>
                <w:sz w:val="21"/>
                <w:szCs w:val="21"/>
                <w:lang w:val="en-US" w:eastAsia="zh-CN"/>
              </w:rPr>
              <w:t>万</w:t>
            </w:r>
            <w:r>
              <w:rPr>
                <w:rFonts w:hint="eastAsia" w:ascii="宋体" w:hAnsi="宋体" w:eastAsia="宋体" w:cs="宋体"/>
                <w:sz w:val="21"/>
                <w:szCs w:val="21"/>
              </w:rPr>
              <w:t>元）</w:t>
            </w:r>
          </w:p>
        </w:tc>
        <w:tc>
          <w:tcPr>
            <w:tcW w:w="65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4"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3268"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bidi="ar"/>
              </w:rPr>
            </w:pPr>
            <w:r>
              <w:rPr>
                <w:rFonts w:hint="eastAsia" w:ascii="Times New Roman" w:hAnsi="Times New Roman" w:eastAsia="宋体" w:cs="宋体"/>
                <w:color w:val="000000"/>
                <w:kern w:val="2"/>
                <w:sz w:val="21"/>
                <w:szCs w:val="24"/>
                <w:lang w:val="en-US" w:eastAsia="zh-CN" w:bidi="ar"/>
              </w:rPr>
              <w:t>大鼠静脉自身给药实验系统</w:t>
            </w:r>
          </w:p>
        </w:tc>
        <w:tc>
          <w:tcPr>
            <w:tcW w:w="744"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8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套</w:t>
            </w:r>
          </w:p>
        </w:tc>
        <w:tc>
          <w:tcPr>
            <w:tcW w:w="1776" w:type="dxa"/>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18</w:t>
            </w:r>
            <w:r>
              <w:rPr>
                <w:rFonts w:hint="eastAsia" w:ascii="宋体" w:hAnsi="宋体" w:cs="宋体"/>
                <w:color w:val="000000"/>
                <w:kern w:val="0"/>
                <w:sz w:val="21"/>
                <w:szCs w:val="21"/>
                <w:lang w:val="en-US" w:eastAsia="zh-CN" w:bidi="ar"/>
              </w:rPr>
              <w:t>.2</w:t>
            </w:r>
          </w:p>
        </w:tc>
        <w:tc>
          <w:tcPr>
            <w:tcW w:w="659"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000000"/>
                <w:sz w:val="21"/>
                <w:szCs w:val="21"/>
              </w:rPr>
            </w:pPr>
          </w:p>
        </w:tc>
      </w:tr>
    </w:tbl>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（1）以上报价包含税费（供货商应根据招标人要求开具增值税发票），供货商负责设备的供货、运输、安装、调试、现场培训、验收、技术支持和售后服务等相关服务。</w:t>
      </w:r>
    </w:p>
    <w:p>
      <w:pPr>
        <w:pStyle w:val="28"/>
        <w:ind w:firstLine="420" w:firstLineChars="200"/>
        <w:rPr>
          <w:rFonts w:hint="eastAsia"/>
        </w:rPr>
      </w:pPr>
      <w:r>
        <w:rPr>
          <w:rFonts w:hint="eastAsia" w:ascii="Times New Roman" w:hAnsi="Times New Roman" w:cs="宋体"/>
          <w:kern w:val="2"/>
          <w:sz w:val="21"/>
          <w:szCs w:val="24"/>
          <w:lang w:val="en-US" w:eastAsia="zh-CN" w:bidi="ar"/>
        </w:rPr>
        <w:t>（2</w:t>
      </w:r>
      <w:r>
        <w:rPr>
          <w:rFonts w:hint="eastAsia" w:ascii="宋体" w:hAnsi="宋体" w:eastAsia="宋体" w:cs="宋体"/>
          <w:color w:val="auto"/>
          <w:kern w:val="2"/>
          <w:sz w:val="21"/>
          <w:szCs w:val="21"/>
          <w:lang w:val="en-US" w:eastAsia="zh-CN" w:bidi="ar-SA"/>
        </w:rPr>
        <w:t>）</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2、交货期限：供应商接到采购人的采购订单后需在30天内完成交货和安装调试并交付正常使用。</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rPr>
      </w:pPr>
      <w:r>
        <w:rPr>
          <w:rFonts w:hint="eastAsia" w:ascii="宋体" w:hAnsi="宋体" w:eastAsia="宋体" w:cs="宋体"/>
          <w:sz w:val="21"/>
          <w:szCs w:val="21"/>
        </w:rPr>
        <w:t>3、交货地点：汕头大学医学院第一附属医院指定地点。</w:t>
      </w: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二、设备一般要求</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所供设备（包括必需部件）应是全新、未使用过的产品，机身标识明显，准确显示设</w:t>
      </w:r>
      <w:r>
        <w:rPr>
          <w:rFonts w:hint="eastAsia" w:ascii="宋体" w:hAnsi="宋体" w:eastAsia="宋体" w:cs="宋体"/>
          <w:sz w:val="21"/>
          <w:szCs w:val="21"/>
          <w:highlight w:val="none"/>
        </w:rPr>
        <w:t>备</w:t>
      </w:r>
      <w:r>
        <w:rPr>
          <w:rFonts w:hint="eastAsia" w:ascii="宋体" w:hAnsi="宋体" w:cs="宋体"/>
          <w:sz w:val="21"/>
          <w:szCs w:val="21"/>
          <w:highlight w:val="none"/>
          <w:lang w:val="en-US" w:eastAsia="zh-CN"/>
        </w:rPr>
        <w:t>品牌、</w:t>
      </w:r>
      <w:r>
        <w:rPr>
          <w:rFonts w:hint="eastAsia" w:ascii="宋体" w:hAnsi="宋体" w:eastAsia="宋体" w:cs="宋体"/>
          <w:sz w:val="21"/>
          <w:szCs w:val="21"/>
        </w:rPr>
        <w:t>型号、规格、生产商；设备外观清洁，字体清晰、明确。</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所供货物技术规格、标准应符合用户需求书要求,技术参数须提供原厂技术参数文件为凭证。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对于影响设备正常工作的必要组成部分，无论在技术规范中指出与否，投标人都应在投标文件中明确列出。</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进口产品必须提供该产品的报关单等合法进货渠道证明。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投标人应在投标文件中提交所投设备的详细配置清单。</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在不涉及到硬件的情况下，免费提供同型号设备的软件版本升级服务。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投标设备若属于医疗器械类别，必须提供产品本身所属的医疗器械备案凭证或者医疗器械注册证。</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卖方须在设备安装后调试阶段安排现场使用和维修技术培训，保证设备使用方能完全掌握相关技术。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中标人需向用户提供中英文操作手册、维护手册、维修手册、软件备份、故障代码表、备件清单、零部件、维修密码等维护维修必需的材料信息。</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应保证95%开机率。</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卖方在国内应具有配件保税库，以保证零配件的供应。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如所投产品为进口产品</w:t>
      </w:r>
      <w:r>
        <w:rPr>
          <w:rFonts w:hint="eastAsia" w:ascii="宋体" w:hAnsi="宋体" w:eastAsia="宋体" w:cs="宋体"/>
          <w:sz w:val="21"/>
          <w:szCs w:val="21"/>
          <w:lang w:eastAsia="zh-CN"/>
        </w:rPr>
        <w:t>）</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卖方在省内应有经过生产厂商专门培训的专业工程师组成的专业维修站，提供安装及维修服务。</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卖方提供的设备不侵犯任何第三方的专利、商标或版权。</w:t>
      </w:r>
    </w:p>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r>
        <w:rPr>
          <w:rFonts w:hint="eastAsia" w:ascii="宋体" w:hAnsi="宋体" w:eastAsia="宋体" w:cs="宋体"/>
          <w:b/>
          <w:bCs/>
          <w:sz w:val="21"/>
          <w:szCs w:val="21"/>
        </w:rPr>
        <w:t>三、技术指标和参数</w:t>
      </w:r>
    </w:p>
    <w:tbl>
      <w:tblPr>
        <w:tblStyle w:val="22"/>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4" w:type="dxa"/>
            <w:noWrap w:val="0"/>
            <w:vAlign w:val="top"/>
          </w:tcPr>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主要用途：</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用于大鼠静脉自身给药实验和其他操作条件反射行为实验，以及大鼠自发活动实验，大鼠条件性位置偏爱实验。可以编辑任意行为任务，要求有以下基本配置及要求：</w:t>
            </w:r>
          </w:p>
          <w:p>
            <w:pPr>
              <w:keepNext w:val="0"/>
              <w:keepLines w:val="0"/>
              <w:pageBreakBefore w:val="0"/>
              <w:numPr>
                <w:ilvl w:val="0"/>
                <w:numId w:val="1"/>
              </w:numPr>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4套模块化大鼠操作箱（工作尺寸：292x277x292mm），含控制软件；</w:t>
            </w:r>
          </w:p>
          <w:p>
            <w:pPr>
              <w:keepNext w:val="0"/>
              <w:keepLines w:val="0"/>
              <w:pageBreakBefore w:val="0"/>
              <w:numPr>
                <w:ilvl w:val="0"/>
                <w:numId w:val="1"/>
              </w:numPr>
              <w:suppressLineNumbers w:val="0"/>
              <w:shd w:val="clear" w:color="auto" w:fill="FFFFFF"/>
              <w:kinsoku/>
              <w:wordWrap/>
              <w:overflowPunct/>
              <w:topLinePunct w:val="0"/>
              <w:bidi w:val="0"/>
              <w:adjustRightInd w:val="0"/>
              <w:snapToGrid w:val="0"/>
              <w:spacing w:before="0" w:beforeAutospacing="0" w:after="0" w:afterAutospacing="0"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1套大鼠自发活动实验箱（工作尺寸420＊420＊350mm），含控制软件，摄像头以及视频采集卡；</w:t>
            </w:r>
          </w:p>
          <w:p>
            <w:pPr>
              <w:keepNext w:val="0"/>
              <w:keepLines w:val="0"/>
              <w:pageBreakBefore w:val="0"/>
              <w:numPr>
                <w:ilvl w:val="0"/>
                <w:numId w:val="1"/>
              </w:numPr>
              <w:suppressLineNumbers w:val="0"/>
              <w:shd w:val="clear" w:color="auto" w:fill="FFFFFF"/>
              <w:kinsoku/>
              <w:wordWrap/>
              <w:overflowPunct/>
              <w:topLinePunct w:val="0"/>
              <w:bidi w:val="0"/>
              <w:adjustRightInd w:val="0"/>
              <w:snapToGrid w:val="0"/>
              <w:spacing w:before="0" w:beforeAutospacing="0" w:after="0" w:afterAutospacing="0" w:line="360" w:lineRule="auto"/>
              <w:ind w:left="0" w:leftChars="0" w:right="0" w:firstLine="420" w:firstLineChars="200"/>
              <w:rPr>
                <w:rFonts w:hint="eastAsia" w:ascii="宋体" w:hAnsi="宋体" w:eastAsia="宋体" w:cs="宋体"/>
                <w:sz w:val="21"/>
                <w:szCs w:val="21"/>
              </w:rPr>
            </w:pPr>
            <w:r>
              <w:rPr>
                <w:rFonts w:hint="eastAsia" w:ascii="宋体" w:hAnsi="宋体" w:eastAsia="宋体" w:cs="宋体"/>
                <w:sz w:val="21"/>
                <w:szCs w:val="21"/>
              </w:rPr>
              <w:t>1套大鼠条件性位置偏爱箱（工作尺寸770＊240＊370mm）；</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210" w:firstLineChars="100"/>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4.随机配套满足200只老鼠实验所需耗材；</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5.箱体材料：透明亚克力，ABS塑料，不锈钢，铝合金；</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6.模块化操作面板为双鼻触面板；</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7.模块化操作面板配置：2鼻触（内含信号灯），1个LED笼灯，1个蜂鸣器，1个食物槽，1个舔水接口，1个可电击底板和1个垃圾托盘；</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8.每个模块化大鼠操作箱配置1个可调速（8速）蠕动泵；</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9.每个模块化大鼠操作箱配置1个静脉输液平衡支架；</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10.每个模块化大鼠操作箱配置1个隔音箱，尺寸600x600x500mm（长x宽x高），材料为密度板；</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11.可以进行静脉自身给药，药物辨别，自发活动，条件性位置偏爱实验；</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12.一台电脑可以控制多个操作箱，每个操作箱可以独立运行不同的实验程序、信号采集，并支持中英文使用界面切换。每个实验笼可同时提供多种信号采集和控制：8路数字量输入（如压杆，鼻触，红外开关）、8路数字量输出（如灯光，声音，激光器）8路声音（wav 文件或音频信号发色器）；</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13.软件具有灵活的实验方法编辑功能，可以用于绝大多数实验动物行为分析。含有以下自定义实验变量：计数变量、计时变量、计算变量、模拟信号变量，并具有完善的实验数据分级管理（按课题、实验、动物）、实验安排功能，完成整个系统的自动化运行；</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14.数据格式为加密压缩格式，必须通过系统附带软件才可浏览，实验数据按课题、实验、动物分类的方式保存，每个实验动物一次实验产生一个不可修改的加密数据文件</w:t>
            </w:r>
            <w:r>
              <w:rPr>
                <w:rFonts w:hint="eastAsia" w:ascii="宋体" w:hAnsi="宋体" w:eastAsia="宋体" w:cs="宋体"/>
                <w:sz w:val="21"/>
                <w:szCs w:val="21"/>
                <w:lang w:eastAsia="zh-CN"/>
              </w:rPr>
              <w:t>；</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210" w:firstLineChars="100"/>
              <w:rPr>
                <w:rFonts w:hint="eastAsia" w:ascii="宋体" w:hAnsi="宋体" w:eastAsia="宋体" w:cs="宋体"/>
                <w:sz w:val="21"/>
                <w:szCs w:val="21"/>
                <w:lang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15.配套的软件必须提供计算机软件著作权登记证书</w:t>
            </w:r>
            <w:r>
              <w:rPr>
                <w:rFonts w:hint="eastAsia" w:ascii="宋体" w:hAnsi="宋体" w:cs="宋体"/>
                <w:sz w:val="21"/>
                <w:szCs w:val="21"/>
                <w:lang w:eastAsia="zh-CN"/>
              </w:rPr>
              <w:t>；</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lang w:eastAsia="zh-CN"/>
              </w:rPr>
            </w:pPr>
            <w:r>
              <w:rPr>
                <w:rFonts w:hint="eastAsia" w:ascii="宋体" w:hAnsi="宋体" w:cs="宋体"/>
                <w:sz w:val="21"/>
                <w:szCs w:val="21"/>
                <w:lang w:val="en-US" w:eastAsia="zh-CN"/>
              </w:rPr>
              <w:t>16.</w:t>
            </w:r>
            <w:r>
              <w:rPr>
                <w:rFonts w:hint="eastAsia" w:ascii="宋体" w:hAnsi="宋体" w:eastAsia="宋体" w:cs="宋体"/>
                <w:sz w:val="21"/>
                <w:szCs w:val="21"/>
              </w:rPr>
              <w:t>软件需要有版权</w:t>
            </w:r>
            <w:r>
              <w:rPr>
                <w:rFonts w:hint="eastAsia" w:ascii="宋体" w:hAnsi="宋体" w:eastAsia="宋体" w:cs="宋体"/>
                <w:sz w:val="21"/>
                <w:szCs w:val="21"/>
                <w:lang w:eastAsia="zh-CN"/>
              </w:rPr>
              <w:t>。</w:t>
            </w:r>
          </w:p>
          <w:p>
            <w:pPr>
              <w:pStyle w:val="2"/>
              <w:keepNext w:val="0"/>
              <w:keepLines w:val="0"/>
              <w:suppressLineNumbers w:val="0"/>
              <w:spacing w:before="0" w:beforeAutospacing="0" w:after="0" w:afterAutospacing="0"/>
              <w:rPr>
                <w:rFonts w:hint="eastAsia"/>
                <w:lang w:eastAsia="zh-CN"/>
              </w:rPr>
            </w:pP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安装及培训：</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1、免费提供技术工程师上门安装、调试及现场培训，培训涉及大鼠静脉自身给药实验系统使用的各个方面：系统操作，系统硬件维护等，确保用户能熟练掌握设备使用、数据分析及日常维护保养。</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质保期：提供仪器设备的免费保修期三年（保修期内免费维修并更换除消耗品以外的零部件，维修人员的路费、食宿等自理）配套软件可提供终身免费升级。质保期内正常使用中出现的何故障，均可保证负责无偿调试及维修，所更换的部件可享受顺延保修期优惠，质保期后可享受优惠价格的零配件供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不高于市场价格</w:t>
            </w:r>
            <w:r>
              <w:rPr>
                <w:rFonts w:hint="eastAsia" w:ascii="宋体" w:hAnsi="宋体" w:eastAsia="宋体" w:cs="宋体"/>
                <w:sz w:val="21"/>
                <w:szCs w:val="21"/>
              </w:rPr>
              <w:t>。</w:t>
            </w:r>
          </w:p>
          <w:p>
            <w:pPr>
              <w:keepNext w:val="0"/>
              <w:keepLines w:val="0"/>
              <w:pageBreakBefore w:val="0"/>
              <w:suppressLineNumbers w:val="0"/>
              <w:shd w:val="clear" w:color="auto" w:fill="FFFFFF"/>
              <w:kinsoku/>
              <w:wordWrap/>
              <w:overflowPunct/>
              <w:topLinePunct w:val="0"/>
              <w:bidi w:val="0"/>
              <w:adjustRightInd w:val="0"/>
              <w:snapToGrid w:val="0"/>
              <w:spacing w:before="0" w:beforeAutospacing="0" w:after="0" w:afterAutospacing="0" w:line="360" w:lineRule="auto"/>
              <w:ind w:left="0" w:right="0" w:firstLine="420" w:firstLineChars="200"/>
              <w:rPr>
                <w:rFonts w:hint="default"/>
                <w:lang w:val="en-US" w:eastAsia="zh-CN"/>
              </w:rPr>
            </w:pPr>
            <w:r>
              <w:rPr>
                <w:rFonts w:hint="eastAsia" w:ascii="宋体" w:hAnsi="宋体" w:eastAsia="宋体" w:cs="宋体"/>
                <w:sz w:val="21"/>
                <w:szCs w:val="21"/>
              </w:rPr>
              <w:t>3、售后维护：提供24小时专线技术咨询服务，若电话、微信咨询无法解决故障，则5个工作日内现场解决，重特大故障二周内现场解决。</w:t>
            </w:r>
          </w:p>
        </w:tc>
      </w:tr>
    </w:tbl>
    <w:p>
      <w:pPr>
        <w:keepNext w:val="0"/>
        <w:keepLines w:val="0"/>
        <w:pageBreakBefore w:val="0"/>
        <w:shd w:val="clear" w:color="auto" w:fill="FFFFFF"/>
        <w:kinsoku/>
        <w:wordWrap/>
        <w:overflowPunct/>
        <w:topLinePunct w:val="0"/>
        <w:bidi w:val="0"/>
        <w:adjustRightInd w:val="0"/>
        <w:snapToGrid w:val="0"/>
        <w:spacing w:line="360" w:lineRule="auto"/>
        <w:ind w:left="600" w:hanging="600"/>
        <w:rPr>
          <w:rFonts w:hint="eastAsia" w:ascii="宋体" w:hAnsi="宋体" w:eastAsia="宋体" w:cs="宋体"/>
          <w:b/>
          <w:bCs/>
          <w:sz w:val="21"/>
          <w:szCs w:val="21"/>
        </w:rPr>
      </w:pP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备注：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b/>
          <w:bCs/>
          <w:sz w:val="21"/>
          <w:szCs w:val="21"/>
          <w:u w:val="single"/>
        </w:rPr>
      </w:pPr>
      <w:r>
        <w:rPr>
          <w:rFonts w:hint="eastAsia" w:ascii="宋体" w:hAnsi="宋体" w:eastAsia="宋体" w:cs="宋体"/>
          <w:b/>
          <w:bCs/>
          <w:sz w:val="21"/>
          <w:szCs w:val="21"/>
          <w:u w:val="single"/>
          <w:lang w:val="en-US" w:eastAsia="zh-CN"/>
        </w:rPr>
        <w:t>1</w:t>
      </w:r>
      <w:r>
        <w:rPr>
          <w:rFonts w:hint="eastAsia" w:ascii="宋体" w:hAnsi="宋体" w:eastAsia="宋体" w:cs="宋体"/>
          <w:b/>
          <w:bCs/>
          <w:sz w:val="21"/>
          <w:szCs w:val="21"/>
          <w:u w:val="single"/>
        </w:rPr>
        <w:t>、供货商除按设备售后规定，负责培训设备操作人员，还必须培训1-2名负责此设备维护、维修的工程师。</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b/>
          <w:bCs/>
          <w:sz w:val="21"/>
          <w:szCs w:val="21"/>
          <w:u w:val="single"/>
        </w:rPr>
      </w:pP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、如该设备需要联接相关信息系统，供货方必须协调设备厂家配合信息系统提供方，联接调试好信息系统，并负责支付相关费用。</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四、技术文件要求</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firstLine="420"/>
        <w:rPr>
          <w:rFonts w:hint="eastAsia" w:ascii="宋体" w:hAnsi="宋体" w:eastAsia="宋体" w:cs="宋体"/>
          <w:sz w:val="21"/>
          <w:szCs w:val="21"/>
        </w:rPr>
      </w:pPr>
      <w:r>
        <w:rPr>
          <w:rFonts w:hint="eastAsia" w:ascii="宋体" w:hAnsi="宋体" w:eastAsia="宋体" w:cs="宋体"/>
          <w:sz w:val="21"/>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五、包装和发运</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应按出厂标准及国家有关要求进行包装。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运输方式：航空、铁路公路、邮寄等运输费用由中标方负担。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运输风险负担：在运输过程中造成的产品灭失或损坏由中标方负担。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包装要求：设备的包装均应有良好的防湿、防锈、防潮、防腐及防碰撞的措施。凡由于包装不良造成的损失和由此产生的费用均由中标方承担。包装不回收。</w:t>
      </w:r>
    </w:p>
    <w:p>
      <w:pPr>
        <w:keepNext w:val="0"/>
        <w:keepLines w:val="0"/>
        <w:pageBreakBefore w:val="0"/>
        <w:shd w:val="clear" w:color="auto" w:fill="FFFFFF"/>
        <w:kinsoku/>
        <w:wordWrap/>
        <w:overflowPunct/>
        <w:topLinePunct w:val="0"/>
        <w:bidi w:val="0"/>
        <w:adjustRightInd w:val="0"/>
        <w:snapToGrid w:val="0"/>
        <w:spacing w:before="156" w:beforeLines="50" w:line="360" w:lineRule="auto"/>
        <w:ind w:left="603" w:hanging="600" w:hangingChars="286"/>
        <w:rPr>
          <w:rFonts w:hint="eastAsia" w:ascii="宋体" w:hAnsi="宋体" w:eastAsia="宋体" w:cs="宋体"/>
          <w:b/>
          <w:bCs/>
          <w:sz w:val="21"/>
          <w:szCs w:val="21"/>
        </w:rPr>
      </w:pPr>
      <w:r>
        <w:rPr>
          <w:rFonts w:hint="eastAsia" w:ascii="宋体" w:hAnsi="宋体" w:eastAsia="宋体" w:cs="宋体"/>
          <w:b/>
          <w:bCs/>
          <w:sz w:val="21"/>
          <w:szCs w:val="21"/>
        </w:rPr>
        <w:t>六、安装、调试与验收</w:t>
      </w:r>
    </w:p>
    <w:p>
      <w:pPr>
        <w:pageBreakBefore w:val="0"/>
        <w:kinsoku/>
        <w:overflowPunct/>
        <w:topLinePunct w:val="0"/>
        <w:bidi w:val="0"/>
        <w:snapToGrid w:val="0"/>
        <w:spacing w:line="360" w:lineRule="auto"/>
        <w:ind w:left="0" w:leftChars="0" w:firstLine="420" w:firstLineChars="200"/>
        <w:rPr>
          <w:rFonts w:hint="eastAsia" w:ascii="宋体" w:hAnsi="宋体" w:cs="宋体"/>
        </w:rPr>
      </w:pPr>
      <w:r>
        <w:rPr>
          <w:rFonts w:hint="eastAsia" w:ascii="宋体" w:hAnsi="宋体"/>
          <w:lang w:val="en-US" w:eastAsia="zh-CN"/>
        </w:rPr>
        <w:t>1、</w:t>
      </w:r>
      <w:r>
        <w:rPr>
          <w:rFonts w:hint="eastAsia" w:ascii="宋体" w:hAnsi="宋体" w:eastAsia="宋体" w:cs="宋体"/>
          <w:sz w:val="21"/>
          <w:szCs w:val="21"/>
        </w:rPr>
        <w:t>供货商</w:t>
      </w:r>
      <w:r>
        <w:rPr>
          <w:rFonts w:hint="eastAsia" w:ascii="宋体" w:hAnsi="宋体" w:cs="宋体"/>
        </w:rPr>
        <w:t>负责合同项下的安装调试，一切费用由</w:t>
      </w:r>
      <w:r>
        <w:rPr>
          <w:rFonts w:hint="eastAsia" w:ascii="宋体" w:hAnsi="宋体" w:eastAsia="宋体" w:cs="宋体"/>
          <w:sz w:val="21"/>
          <w:szCs w:val="21"/>
        </w:rPr>
        <w:t>供货商</w:t>
      </w:r>
      <w:r>
        <w:rPr>
          <w:rFonts w:hint="eastAsia" w:ascii="宋体" w:hAnsi="宋体" w:cs="宋体"/>
        </w:rPr>
        <w:t>负责。如果合同设备运输和安装调试过程中因事故造成货物短缺、损坏，</w:t>
      </w:r>
      <w:r>
        <w:rPr>
          <w:rFonts w:hint="eastAsia" w:ascii="宋体" w:hAnsi="宋体" w:eastAsia="宋体" w:cs="宋体"/>
          <w:sz w:val="21"/>
          <w:szCs w:val="21"/>
        </w:rPr>
        <w:t>供货商</w:t>
      </w:r>
      <w:r>
        <w:rPr>
          <w:rFonts w:hint="eastAsia" w:ascii="宋体" w:hAnsi="宋体" w:cs="宋体"/>
        </w:rPr>
        <w:t>应及时安排换装，以保证合同设备安装调试的成功完成。换货的相关费用由</w:t>
      </w:r>
      <w:r>
        <w:rPr>
          <w:rFonts w:hint="eastAsia" w:ascii="宋体" w:hAnsi="宋体" w:eastAsia="宋体" w:cs="宋体"/>
          <w:sz w:val="21"/>
          <w:szCs w:val="21"/>
        </w:rPr>
        <w:t>供货商</w:t>
      </w:r>
      <w:r>
        <w:rPr>
          <w:rFonts w:hint="eastAsia" w:ascii="宋体" w:hAnsi="宋体" w:cs="宋体"/>
        </w:rPr>
        <w:t>承担。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cs="宋体"/>
          <w:lang w:val="en-US" w:eastAsia="zh-CN"/>
        </w:rPr>
        <w:t>2、</w:t>
      </w:r>
      <w:r>
        <w:rPr>
          <w:rFonts w:hint="eastAsia" w:ascii="宋体" w:hAnsi="宋体" w:eastAsia="宋体" w:cs="宋体"/>
          <w:sz w:val="21"/>
          <w:szCs w:val="21"/>
        </w:rPr>
        <w:t>供货商</w:t>
      </w:r>
      <w:r>
        <w:rPr>
          <w:rFonts w:hint="eastAsia" w:ascii="宋体" w:hAnsi="宋体" w:cs="宋体"/>
        </w:rPr>
        <w:t>安装时须对各安装场地内的其它设备、设施有良好保护措施。</w:t>
      </w:r>
      <w:r>
        <w:rPr>
          <w:rFonts w:hint="eastAsia" w:ascii="宋体" w:hAnsi="宋体" w:eastAsia="宋体" w:cs="宋体"/>
          <w:sz w:val="21"/>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rPr>
        <w:t>供货商</w:t>
      </w:r>
      <w:r>
        <w:rPr>
          <w:rFonts w:hint="eastAsia" w:ascii="宋体" w:hAnsi="宋体" w:eastAsia="宋体" w:cs="宋体"/>
          <w:sz w:val="21"/>
          <w:szCs w:val="21"/>
          <w:highlight w:val="none"/>
        </w:rPr>
        <w:t>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验收</w:t>
      </w:r>
      <w:r>
        <w:rPr>
          <w:rFonts w:hint="eastAsia" w:ascii="宋体" w:hAnsi="宋体" w:eastAsia="宋体" w:cs="宋体"/>
          <w:sz w:val="21"/>
          <w:szCs w:val="21"/>
          <w:highlight w:val="none"/>
        </w:rPr>
        <w:t>时间：在中标方安排生产厂商技术人员完成安装调试后1个月内完成验收工作。</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sz w:val="21"/>
          <w:szCs w:val="21"/>
          <w:highlight w:val="none"/>
          <w:lang w:val="en-US" w:eastAsia="zh-CN"/>
        </w:rPr>
        <w:t>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ind w:left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ind w:firstLine="420" w:firstLineChars="200"/>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eastAsia="宋体" w:cs="宋体"/>
          <w:sz w:val="21"/>
          <w:szCs w:val="21"/>
        </w:rPr>
        <w:t>供货商</w:t>
      </w:r>
      <w:r>
        <w:rPr>
          <w:rFonts w:hint="eastAsia" w:ascii="宋体" w:hAnsi="宋体" w:cs="宋体"/>
          <w:color w:val="000000"/>
          <w:szCs w:val="21"/>
          <w:highlight w:val="none"/>
        </w:rPr>
        <w:t>保证合同项下提供的设备不侵犯任何第三方的专利、商标或版权。否则，</w:t>
      </w:r>
      <w:r>
        <w:rPr>
          <w:rFonts w:hint="eastAsia" w:ascii="宋体" w:hAnsi="宋体" w:eastAsia="宋体" w:cs="宋体"/>
          <w:sz w:val="21"/>
          <w:szCs w:val="21"/>
        </w:rPr>
        <w:t>供货商</w:t>
      </w:r>
      <w:r>
        <w:rPr>
          <w:rFonts w:hint="eastAsia" w:ascii="宋体" w:hAnsi="宋体" w:cs="宋体"/>
          <w:color w:val="000000"/>
          <w:szCs w:val="21"/>
          <w:highlight w:val="none"/>
        </w:rPr>
        <w:t>须承担对第三方的专利或版权的侵权责任并承担因此而发生的所有费用。</w:t>
      </w:r>
    </w:p>
    <w:p>
      <w:pPr>
        <w:pStyle w:val="49"/>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b/>
          <w:bCs/>
          <w:sz w:val="21"/>
          <w:szCs w:val="21"/>
          <w:lang w:val="zh-CN"/>
        </w:rPr>
      </w:pPr>
      <w:r>
        <w:rPr>
          <w:rFonts w:hint="eastAsia" w:ascii="宋体" w:hAnsi="宋体" w:eastAsia="宋体" w:cs="宋体"/>
          <w:b/>
          <w:bCs/>
          <w:sz w:val="21"/>
          <w:szCs w:val="21"/>
          <w:lang w:val="zh-CN"/>
        </w:rPr>
        <w:t>七、付款方式</w:t>
      </w:r>
    </w:p>
    <w:p>
      <w:pPr>
        <w:pStyle w:val="49"/>
        <w:keepNext w:val="0"/>
        <w:keepLines w:val="0"/>
        <w:pageBreakBefore w:val="0"/>
        <w:kinsoku/>
        <w:wordWrap/>
        <w:overflowPunct/>
        <w:topLinePunct w:val="0"/>
        <w:autoSpaceDE w:val="0"/>
        <w:autoSpaceDN w:val="0"/>
        <w:bidi w:val="0"/>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支付比例</w:t>
      </w:r>
      <w:r>
        <w:rPr>
          <w:rFonts w:hint="default" w:ascii="宋体" w:hAnsi="宋体" w:cs="宋体"/>
          <w:lang w:val="en-US" w:eastAsia="zh-CN"/>
        </w:rPr>
        <w:t>100%</w:t>
      </w:r>
      <w:r>
        <w:rPr>
          <w:rFonts w:hint="eastAsia" w:ascii="宋体" w:hAnsi="宋体" w:cs="宋体"/>
          <w:lang w:val="en-US" w:eastAsia="zh-CN"/>
        </w:rPr>
        <w:t>，合同设备到达招标人指定地点完成安装、调试、验收、培训并交付使用后，中标人凭：</w:t>
      </w:r>
      <w:r>
        <w:rPr>
          <w:rFonts w:hint="default" w:ascii="宋体" w:hAnsi="宋体" w:cs="宋体"/>
          <w:lang w:val="en-US" w:eastAsia="zh-CN"/>
        </w:rPr>
        <w:t>①</w:t>
      </w:r>
      <w:r>
        <w:rPr>
          <w:rFonts w:hint="eastAsia" w:ascii="宋体" w:hAnsi="宋体" w:cs="宋体"/>
          <w:lang w:val="en-US" w:eastAsia="zh-CN"/>
        </w:rPr>
        <w:t>合同、</w:t>
      </w:r>
      <w:r>
        <w:rPr>
          <w:rFonts w:hint="default" w:ascii="宋体" w:hAnsi="宋体" w:cs="宋体"/>
          <w:lang w:val="en-US" w:eastAsia="zh-CN"/>
        </w:rPr>
        <w:t>②</w:t>
      </w:r>
      <w:r>
        <w:rPr>
          <w:rFonts w:hint="eastAsia" w:ascii="宋体" w:hAnsi="宋体" w:cs="宋体"/>
          <w:lang w:val="en-US" w:eastAsia="zh-CN"/>
        </w:rPr>
        <w:t>正式全额发票、</w:t>
      </w:r>
      <w:r>
        <w:rPr>
          <w:rFonts w:hint="default" w:ascii="宋体" w:hAnsi="宋体" w:cs="宋体"/>
          <w:lang w:val="en-US" w:eastAsia="zh-CN"/>
        </w:rPr>
        <w:t>③</w:t>
      </w:r>
      <w:r>
        <w:rPr>
          <w:rFonts w:hint="eastAsia" w:ascii="宋体" w:hAnsi="宋体" w:cs="宋体"/>
          <w:lang w:val="en-US" w:eastAsia="zh-CN"/>
        </w:rPr>
        <w:t>验收调试合格报告（加盖招标人公章）、</w:t>
      </w:r>
      <w:r>
        <w:rPr>
          <w:rFonts w:hint="default" w:ascii="宋体" w:hAnsi="宋体" w:cs="宋体"/>
          <w:lang w:val="en-US" w:eastAsia="zh-CN"/>
        </w:rPr>
        <w:t>④</w:t>
      </w:r>
      <w:r>
        <w:rPr>
          <w:rFonts w:hint="eastAsia" w:ascii="宋体" w:hAnsi="宋体" w:cs="宋体"/>
          <w:lang w:val="en-US" w:eastAsia="zh-CN"/>
        </w:rPr>
        <w:t>中标通知书向招标人申请付款，招标人于</w:t>
      </w:r>
      <w:r>
        <w:rPr>
          <w:rFonts w:hint="default" w:ascii="宋体" w:hAnsi="宋体" w:cs="宋体"/>
          <w:lang w:val="en-US" w:eastAsia="zh-CN"/>
        </w:rPr>
        <w:t>6</w:t>
      </w:r>
      <w:r>
        <w:rPr>
          <w:rFonts w:hint="eastAsia" w:ascii="宋体" w:hAnsi="宋体" w:cs="宋体"/>
          <w:lang w:val="en-US" w:eastAsia="zh-CN"/>
        </w:rPr>
        <w:t>个月内向中标人支付合同总金额的</w:t>
      </w:r>
      <w:r>
        <w:rPr>
          <w:rFonts w:hint="default" w:ascii="宋体" w:hAnsi="宋体" w:cs="宋体"/>
          <w:lang w:val="en-US" w:eastAsia="zh-CN"/>
        </w:rPr>
        <w:t>100</w:t>
      </w:r>
      <w:r>
        <w:rPr>
          <w:rFonts w:hint="eastAsia" w:ascii="宋体" w:hAnsi="宋体" w:cs="宋体"/>
          <w:lang w:val="en-US" w:eastAsia="zh-CN"/>
        </w:rPr>
        <w:t>％。中标人在签订合同</w:t>
      </w:r>
      <w:r>
        <w:rPr>
          <w:rFonts w:hint="default" w:ascii="宋体" w:hAnsi="宋体" w:cs="宋体"/>
          <w:lang w:val="en-US" w:eastAsia="zh-CN"/>
        </w:rPr>
        <w:t>1</w:t>
      </w:r>
      <w:r>
        <w:rPr>
          <w:rFonts w:hint="eastAsia" w:ascii="宋体" w:hAnsi="宋体" w:cs="宋体"/>
          <w:lang w:val="en-US" w:eastAsia="zh-CN"/>
        </w:rPr>
        <w:t>个月内向招标人支付合同价的</w:t>
      </w:r>
      <w:r>
        <w:rPr>
          <w:rFonts w:hint="default" w:ascii="宋体" w:hAnsi="宋体" w:cs="宋体"/>
          <w:lang w:val="en-US" w:eastAsia="zh-CN"/>
        </w:rPr>
        <w:t>5%</w:t>
      </w:r>
      <w:r>
        <w:rPr>
          <w:rFonts w:hint="eastAsia" w:ascii="宋体" w:hAnsi="宋体" w:cs="宋体"/>
          <w:lang w:val="en-US" w:eastAsia="zh-CN"/>
        </w:rPr>
        <w:t>作为履约保证金（履约保证金在保修期结束后</w:t>
      </w:r>
      <w:r>
        <w:rPr>
          <w:rFonts w:hint="default" w:ascii="宋体" w:hAnsi="宋体" w:cs="宋体"/>
          <w:lang w:val="en-US" w:eastAsia="zh-CN"/>
        </w:rPr>
        <w:t>3</w:t>
      </w:r>
      <w:r>
        <w:rPr>
          <w:rFonts w:hint="eastAsia" w:ascii="宋体" w:hAnsi="宋体" w:cs="宋体"/>
          <w:lang w:val="en-US" w:eastAsia="zh-CN"/>
        </w:rPr>
        <w:t>个月内可办理返还手续，具体以实际到账为准）</w:t>
      </w:r>
    </w:p>
    <w:p>
      <w:pPr>
        <w:pStyle w:val="49"/>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sz w:val="21"/>
          <w:szCs w:val="21"/>
          <w:lang w:val="zh-CN"/>
        </w:rPr>
      </w:pPr>
      <w:r>
        <w:rPr>
          <w:rFonts w:hint="eastAsia" w:ascii="宋体" w:hAnsi="宋体" w:eastAsia="宋体" w:cs="宋体"/>
          <w:b/>
          <w:bCs/>
          <w:sz w:val="21"/>
          <w:szCs w:val="21"/>
        </w:rPr>
        <w:t>八</w:t>
      </w:r>
      <w:r>
        <w:rPr>
          <w:rFonts w:hint="eastAsia" w:ascii="宋体" w:hAnsi="宋体" w:eastAsia="宋体" w:cs="宋体"/>
          <w:b/>
          <w:bCs/>
          <w:sz w:val="21"/>
          <w:szCs w:val="21"/>
          <w:lang w:val="zh-CN"/>
        </w:rPr>
        <w:t>、质量保证及售后要求</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zh-CN"/>
        </w:rPr>
        <w:t>设备免费保修：项目整体验收后，提供叁年的免费质保期，质保期自双方代表在货物验收报告上签字之日起计算。质保期内中标人负责提供设备的三包（包修、包换、包退）服务，须有可随时上门提供维护、保修、技术支持等服务。</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zh-CN"/>
        </w:rPr>
        <w:t>中标人</w:t>
      </w:r>
      <w:r>
        <w:rPr>
          <w:rFonts w:hint="eastAsia" w:ascii="宋体" w:hAnsi="宋体" w:cs="宋体"/>
        </w:rPr>
        <w:t>为甲方提供操作及维护培训，主要内容为设备的基本结构、性能、主要部件的构造及原理，日常使用操作、保养与管理，常见故障的排除，紧急情况的处理等，培训地点主要在设备安装现场或按双方协商安排。</w:t>
      </w:r>
    </w:p>
    <w:p>
      <w:pPr>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第三部分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b/>
          <w:sz w:val="44"/>
        </w:rPr>
      </w:pPr>
      <w:r>
        <w:rPr>
          <w:rFonts w:hint="eastAsia" w:eastAsia="黑体"/>
          <w:b/>
          <w:sz w:val="44"/>
        </w:rPr>
        <w:t>投 标 人 须 知</w:t>
      </w:r>
    </w:p>
    <w:p>
      <w:pPr>
        <w:pageBreakBefore w:val="0"/>
        <w:kinsoku/>
        <w:overflowPunct/>
        <w:topLinePunct w:val="0"/>
        <w:bidi w:val="0"/>
        <w:spacing w:line="360" w:lineRule="auto"/>
        <w:jc w:val="center"/>
        <w:rPr>
          <w:rFonts w:hint="eastAsia"/>
          <w:b/>
          <w:sz w:val="32"/>
          <w:szCs w:val="32"/>
        </w:rPr>
      </w:pPr>
      <w:r>
        <w:rPr>
          <w:sz w:val="24"/>
        </w:rPr>
        <w:br w:type="page"/>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bookmarkStart w:id="1" w:name="_Toc402856406"/>
      <w:bookmarkStart w:id="2" w:name="_Toc402856407"/>
      <w:bookmarkStart w:id="3" w:name="_Toc102300271"/>
      <w:bookmarkStart w:id="4" w:name="_Toc262242490"/>
      <w:r>
        <w:rPr>
          <w:rFonts w:hint="eastAsia" w:ascii="Times New Roman" w:hAnsi="Times New Roman"/>
          <w:b/>
          <w:sz w:val="21"/>
          <w:szCs w:val="21"/>
        </w:rPr>
        <w:t>一、  说明</w:t>
      </w:r>
      <w:bookmarkEnd w:id="1"/>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2"/>
      <w:bookmarkEnd w:id="3"/>
      <w:bookmarkEnd w:id="4"/>
      <w:bookmarkStart w:id="5" w:name="_Hlt98175198"/>
      <w:bookmarkEnd w:id="5"/>
    </w:p>
    <w:p>
      <w:pPr>
        <w:pStyle w:val="12"/>
        <w:pageBreakBefore w:val="0"/>
        <w:kinsoku/>
        <w:overflowPunct/>
        <w:topLinePunct w:val="0"/>
        <w:bidi w:val="0"/>
        <w:adjustRightInd w:val="0"/>
        <w:snapToGrid w:val="0"/>
        <w:spacing w:line="360" w:lineRule="auto"/>
        <w:ind w:left="0" w:leftChars="0" w:firstLine="420" w:firstLineChars="200"/>
        <w:rPr>
          <w:rFonts w:hint="eastAsia" w:hAnsi="宋体"/>
          <w:sz w:val="21"/>
          <w:szCs w:val="21"/>
          <w:lang w:val="en-US" w:eastAsia="zh-CN"/>
        </w:rPr>
      </w:pPr>
      <w:r>
        <w:rPr>
          <w:rFonts w:hint="eastAsia" w:hAnsi="宋体"/>
          <w:sz w:val="21"/>
          <w:szCs w:val="21"/>
          <w:lang w:val="en-US" w:eastAsia="zh-CN"/>
        </w:rPr>
        <w:t>实验室建设经费</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pageBreakBefore w:val="0"/>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pageBreakBefore w:val="0"/>
        <w:kinsoku/>
        <w:overflowPunct/>
        <w:topLinePunct w:val="0"/>
        <w:bidi w:val="0"/>
        <w:adjustRightInd w:val="0"/>
        <w:snapToGrid w:val="0"/>
        <w:spacing w:line="36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pageBreakBefore w:val="0"/>
        <w:kinsoku/>
        <w:overflowPunct/>
        <w:topLinePunct w:val="0"/>
        <w:bidi w:val="0"/>
        <w:adjustRightInd w:val="0"/>
        <w:snapToGrid w:val="0"/>
        <w:spacing w:line="36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2"/>
        <w:pageBreakBefore w:val="0"/>
        <w:kinsoku/>
        <w:overflowPunct/>
        <w:topLinePunct w:val="0"/>
        <w:bidi w:val="0"/>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pageBreakBefore w:val="0"/>
        <w:kinsoku/>
        <w:overflowPunct/>
        <w:topLinePunct w:val="0"/>
        <w:bidi w:val="0"/>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pageBreakBefore w:val="0"/>
        <w:numPr>
          <w:ilvl w:val="0"/>
          <w:numId w:val="2"/>
        </w:numPr>
        <w:tabs>
          <w:tab w:val="left" w:pos="540"/>
        </w:tabs>
        <w:kinsoku/>
        <w:overflowPunct/>
        <w:topLinePunct w:val="0"/>
        <w:bidi w:val="0"/>
        <w:adjustRightInd w:val="0"/>
        <w:snapToGrid w:val="0"/>
        <w:spacing w:line="36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pageBreakBefore w:val="0"/>
        <w:numPr>
          <w:ilvl w:val="0"/>
          <w:numId w:val="0"/>
        </w:numPr>
        <w:tabs>
          <w:tab w:val="left" w:pos="540"/>
        </w:tabs>
        <w:kinsoku/>
        <w:overflowPunct/>
        <w:topLinePunct w:val="0"/>
        <w:bidi w:val="0"/>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2"/>
        <w:pageBreakBefore w:val="0"/>
        <w:kinsoku/>
        <w:overflowPunct/>
        <w:topLinePunct w:val="0"/>
        <w:bidi w:val="0"/>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pageBreakBefore w:val="0"/>
        <w:numPr>
          <w:ilvl w:val="0"/>
          <w:numId w:val="0"/>
        </w:numPr>
        <w:kinsoku/>
        <w:overflowPunct/>
        <w:topLinePunct w:val="0"/>
        <w:bidi w:val="0"/>
        <w:spacing w:line="36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pageBreakBefore w:val="0"/>
        <w:numPr>
          <w:ilvl w:val="0"/>
          <w:numId w:val="0"/>
        </w:numPr>
        <w:kinsoku/>
        <w:overflowPunct/>
        <w:topLinePunct w:val="0"/>
        <w:bidi w:val="0"/>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pageBreakBefore w:val="0"/>
        <w:kinsoku/>
        <w:overflowPunct/>
        <w:topLinePunct w:val="0"/>
        <w:bidi w:val="0"/>
        <w:adjustRightInd w:val="0"/>
        <w:snapToGrid w:val="0"/>
        <w:spacing w:line="36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pageBreakBefore w:val="0"/>
        <w:kinsoku/>
        <w:overflowPunct/>
        <w:topLinePunct w:val="0"/>
        <w:bidi w:val="0"/>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pageBreakBefore w:val="0"/>
        <w:kinsoku/>
        <w:overflowPunct/>
        <w:topLinePunct w:val="0"/>
        <w:bidi w:val="0"/>
        <w:spacing w:line="36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pageBreakBefore w:val="0"/>
        <w:kinsoku/>
        <w:overflowPunct/>
        <w:topLinePunct w:val="0"/>
        <w:bidi w:val="0"/>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pageBreakBefore w:val="0"/>
        <w:kinsoku/>
        <w:overflowPunct/>
        <w:topLinePunct w:val="0"/>
        <w:bidi w:val="0"/>
        <w:spacing w:line="36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pageBreakBefore w:val="0"/>
        <w:kinsoku/>
        <w:overflowPunct/>
        <w:topLinePunct w:val="0"/>
        <w:bidi w:val="0"/>
        <w:spacing w:line="360" w:lineRule="auto"/>
        <w:rPr>
          <w:rFonts w:hint="eastAsia" w:ascii="宋体"/>
          <w:szCs w:val="21"/>
        </w:rPr>
      </w:pPr>
      <w:r>
        <w:rPr>
          <w:rFonts w:hint="eastAsia" w:ascii="宋体"/>
          <w:szCs w:val="21"/>
        </w:rPr>
        <w:t>文件的规定；</w:t>
      </w:r>
    </w:p>
    <w:p>
      <w:pPr>
        <w:pageBreakBefore w:val="0"/>
        <w:kinsoku/>
        <w:overflowPunct/>
        <w:topLinePunct w:val="0"/>
        <w:bidi w:val="0"/>
        <w:spacing w:line="36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pageBreakBefore w:val="0"/>
        <w:kinsoku/>
        <w:overflowPunct/>
        <w:topLinePunct w:val="0"/>
        <w:bidi w:val="0"/>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pageBreakBefore w:val="0"/>
        <w:kinsoku/>
        <w:overflowPunct/>
        <w:topLinePunct w:val="0"/>
        <w:bidi w:val="0"/>
        <w:adjustRightInd w:val="0"/>
        <w:snapToGrid w:val="0"/>
        <w:spacing w:line="36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pageBreakBefore w:val="0"/>
        <w:numPr>
          <w:ilvl w:val="0"/>
          <w:numId w:val="0"/>
        </w:numPr>
        <w:tabs>
          <w:tab w:val="left" w:pos="0"/>
        </w:tabs>
        <w:kinsoku/>
        <w:overflowPunct/>
        <w:topLinePunct w:val="0"/>
        <w:bidi w:val="0"/>
        <w:adjustRightInd w:val="0"/>
        <w:snapToGrid w:val="0"/>
        <w:spacing w:line="36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pageBreakBefore w:val="0"/>
        <w:kinsoku/>
        <w:overflowPunct/>
        <w:topLinePunct w:val="0"/>
        <w:autoSpaceDE w:val="0"/>
        <w:autoSpaceDN w:val="0"/>
        <w:bidi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pageBreakBefore w:val="0"/>
        <w:kinsoku/>
        <w:overflowPunct/>
        <w:topLinePunct w:val="0"/>
        <w:autoSpaceDE w:val="0"/>
        <w:autoSpaceDN w:val="0"/>
        <w:bidi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2"/>
        <w:pageBreakBefore w:val="0"/>
        <w:numPr>
          <w:ilvl w:val="0"/>
          <w:numId w:val="3"/>
        </w:numPr>
        <w:kinsoku/>
        <w:overflowPunct/>
        <w:topLinePunct w:val="0"/>
        <w:bidi w:val="0"/>
        <w:adjustRightInd w:val="0"/>
        <w:snapToGrid w:val="0"/>
        <w:spacing w:line="360" w:lineRule="auto"/>
        <w:ind w:left="0" w:leftChars="0" w:firstLine="420" w:firstLineChars="200"/>
        <w:rPr>
          <w:rFonts w:hint="eastAsia" w:hAnsi="宋体"/>
          <w:sz w:val="21"/>
          <w:szCs w:val="21"/>
        </w:rPr>
      </w:pPr>
      <w:r>
        <w:rPr>
          <w:rFonts w:hint="eastAsia" w:hAnsi="宋体"/>
          <w:sz w:val="21"/>
          <w:szCs w:val="21"/>
        </w:rPr>
        <w:t>投标人应按照“第二部分  用户需求书”规定的内容、责任范围以及合同条款进行</w:t>
      </w:r>
      <w:r>
        <w:rPr>
          <w:rFonts w:hint="eastAsia" w:ascii="宋体" w:hAnsi="宋体"/>
          <w:b w:val="0"/>
          <w:bCs w:val="0"/>
          <w:highlight w:val="none"/>
          <w:lang w:val="en-US" w:eastAsia="zh-CN"/>
        </w:rPr>
        <w:t>报价，报价不得超过</w:t>
      </w:r>
      <w:r>
        <w:rPr>
          <w:rFonts w:hint="eastAsia" w:hAnsi="宋体"/>
          <w:b w:val="0"/>
          <w:bCs w:val="0"/>
          <w:highlight w:val="none"/>
          <w:lang w:val="en-US" w:eastAsia="zh-CN"/>
        </w:rPr>
        <w:t>最高限价</w:t>
      </w: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pageBreakBefore w:val="0"/>
        <w:kinsoku/>
        <w:overflowPunct/>
        <w:topLinePunct w:val="0"/>
        <w:bidi w:val="0"/>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pageBreakBefore w:val="0"/>
        <w:kinsoku/>
        <w:overflowPunct/>
        <w:topLinePunct w:val="0"/>
        <w:bidi w:val="0"/>
        <w:adjustRightInd w:val="0"/>
        <w:snapToGrid w:val="0"/>
        <w:spacing w:line="36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pageBreakBefore w:val="0"/>
        <w:kinsoku/>
        <w:overflowPunct/>
        <w:topLinePunct w:val="0"/>
        <w:bidi w:val="0"/>
        <w:adjustRightInd w:val="0"/>
        <w:snapToGrid w:val="0"/>
        <w:spacing w:line="36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pageBreakBefore w:val="0"/>
        <w:kinsoku/>
        <w:overflowPunct/>
        <w:topLinePunct w:val="0"/>
        <w:bidi w:val="0"/>
        <w:adjustRightInd w:val="0"/>
        <w:snapToGrid w:val="0"/>
        <w:spacing w:line="360" w:lineRule="auto"/>
        <w:rPr>
          <w:rFonts w:hint="eastAsia" w:hAnsi="宋体"/>
          <w:sz w:val="21"/>
          <w:szCs w:val="21"/>
        </w:rPr>
      </w:pPr>
      <w:r>
        <w:rPr>
          <w:rFonts w:hint="eastAsia" w:hAnsi="宋体"/>
          <w:sz w:val="21"/>
          <w:szCs w:val="21"/>
        </w:rPr>
        <w:t>提交的投标价格中；</w:t>
      </w:r>
    </w:p>
    <w:p>
      <w:pPr>
        <w:pStyle w:val="12"/>
        <w:pageBreakBefore w:val="0"/>
        <w:kinsoku/>
        <w:overflowPunct/>
        <w:topLinePunct w:val="0"/>
        <w:bidi w:val="0"/>
        <w:adjustRightInd w:val="0"/>
        <w:snapToGrid w:val="0"/>
        <w:spacing w:line="36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pageBreakBefore w:val="0"/>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法定代表人证明书及授权委托书；</w:t>
      </w:r>
    </w:p>
    <w:p>
      <w:pPr>
        <w:pStyle w:val="12"/>
        <w:pageBreakBefore w:val="0"/>
        <w:kinsoku/>
        <w:overflowPunct/>
        <w:topLinePunct w:val="0"/>
        <w:bidi w:val="0"/>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法人营业执照副本和资质证书副本复印件；</w:t>
      </w:r>
    </w:p>
    <w:p>
      <w:pPr>
        <w:pStyle w:val="12"/>
        <w:pageBreakBefore w:val="0"/>
        <w:kinsoku/>
        <w:overflowPunct/>
        <w:topLinePunct w:val="0"/>
        <w:bidi w:val="0"/>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投标报价表</w:t>
      </w:r>
      <w:r>
        <w:rPr>
          <w:rFonts w:hint="eastAsia" w:hAnsi="宋体"/>
          <w:color w:val="000000" w:themeColor="text1"/>
          <w:sz w:val="21"/>
          <w:szCs w:val="21"/>
          <w:lang w:eastAsia="zh-CN"/>
          <w14:textFill>
            <w14:solidFill>
              <w14:schemeClr w14:val="tx1"/>
            </w14:solidFill>
          </w14:textFill>
        </w:rPr>
        <w:t>。</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pageBreakBefore w:val="0"/>
        <w:kinsoku/>
        <w:overflowPunct/>
        <w:topLinePunct w:val="0"/>
        <w:bidi w:val="0"/>
        <w:adjustRightInd w:val="0"/>
        <w:snapToGrid w:val="0"/>
        <w:spacing w:line="36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pageBreakBefore w:val="0"/>
        <w:kinsoku/>
        <w:overflowPunct/>
        <w:topLinePunct w:val="0"/>
        <w:bidi w:val="0"/>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在参加本次招标活动前三年内在经营活动中没有重大违法记录的证明；</w:t>
      </w:r>
    </w:p>
    <w:p>
      <w:pPr>
        <w:pageBreakBefore w:val="0"/>
        <w:kinsoku/>
        <w:overflowPunct/>
        <w:topLinePunct w:val="0"/>
        <w:autoSpaceDE w:val="0"/>
        <w:autoSpaceDN w:val="0"/>
        <w:bidi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在核定的经营范围内报价</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pageBreakBefore w:val="0"/>
        <w:tabs>
          <w:tab w:val="left" w:pos="8280"/>
        </w:tabs>
        <w:kinsoku/>
        <w:overflowPunct/>
        <w:topLinePunct w:val="0"/>
        <w:autoSpaceDE w:val="0"/>
        <w:autoSpaceDN w:val="0"/>
        <w:bidi w:val="0"/>
        <w:adjustRightInd w:val="0"/>
        <w:snapToGrid w:val="0"/>
        <w:spacing w:line="360" w:lineRule="auto"/>
        <w:ind w:left="9" w:leftChars="0" w:right="32" w:firstLine="407" w:firstLineChars="194"/>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w:t>
      </w:r>
      <w:r>
        <w:rPr>
          <w:rFonts w:hint="eastAsia" w:ascii="宋体" w:hAnsi="宋体"/>
          <w:szCs w:val="21"/>
          <w:lang w:eastAsia="zh-CN"/>
        </w:rPr>
        <w:t>、</w:t>
      </w:r>
      <w:r>
        <w:rPr>
          <w:rFonts w:hint="eastAsia" w:ascii="宋体" w:hAnsi="宋体"/>
          <w:szCs w:val="21"/>
          <w:lang w:val="zh-CN" w:eastAsia="zh-CN"/>
        </w:rPr>
        <w:t>投标分项报价表、</w:t>
      </w:r>
      <w:r>
        <w:rPr>
          <w:rFonts w:hint="eastAsia" w:ascii="宋体" w:hAnsi="宋体"/>
          <w:szCs w:val="21"/>
          <w:lang w:val="en-US" w:eastAsia="zh-CN"/>
        </w:rPr>
        <w:t>配套耗材报价表、投标文件电子版</w:t>
      </w:r>
      <w:r>
        <w:rPr>
          <w:rFonts w:hint="eastAsia" w:ascii="宋体" w:hAnsi="宋体"/>
          <w:szCs w:val="21"/>
          <w:lang w:val="zh-CN" w:eastAsia="zh-CN"/>
        </w:rPr>
        <w:t>（电子文件采用光盘或U盘储存，其中经济部分文件</w:t>
      </w:r>
      <w:r>
        <w:rPr>
          <w:rFonts w:hint="eastAsia" w:ascii="宋体" w:hAnsi="宋体"/>
          <w:szCs w:val="21"/>
          <w:lang w:val="en-US" w:eastAsia="zh-CN"/>
        </w:rPr>
        <w:t>及</w:t>
      </w:r>
      <w:r>
        <w:rPr>
          <w:rFonts w:hint="eastAsia" w:ascii="宋体" w:hAnsi="宋体"/>
          <w:szCs w:val="21"/>
          <w:lang w:val="zh-CN" w:eastAsia="zh-CN"/>
        </w:rPr>
        <w:t>货物说明一览表需用MS Office的Excel格式提供）</w:t>
      </w:r>
      <w:r>
        <w:rPr>
          <w:rFonts w:hint="eastAsia" w:ascii="宋体" w:hAnsi="宋体"/>
          <w:szCs w:val="21"/>
          <w:lang w:eastAsia="zh-CN"/>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highlight w:val="none"/>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达投标地点，任何迟于投标截止时间的投标将被视为无效投标。受新冠疫情影响，本项目</w:t>
      </w:r>
      <w:r>
        <w:rPr>
          <w:rFonts w:hint="eastAsia" w:ascii="宋体" w:hAnsi="宋体"/>
          <w:szCs w:val="21"/>
          <w:lang w:val="en-US" w:eastAsia="zh-CN"/>
        </w:rPr>
        <w:t>投标</w:t>
      </w:r>
      <w:r>
        <w:rPr>
          <w:rFonts w:hint="eastAsia" w:ascii="宋体" w:hAnsi="宋体"/>
          <w:szCs w:val="21"/>
        </w:rPr>
        <w:t>文件递交方</w:t>
      </w:r>
      <w:r>
        <w:rPr>
          <w:rFonts w:hint="eastAsia" w:ascii="宋体" w:hAnsi="宋体"/>
          <w:szCs w:val="21"/>
          <w:highlight w:val="none"/>
        </w:rPr>
        <w:t>式可为邮寄，寄达地址：</w:t>
      </w:r>
      <w:r>
        <w:rPr>
          <w:rFonts w:hint="eastAsia" w:ascii="宋体" w:hAnsi="宋体"/>
          <w:szCs w:val="21"/>
          <w:highlight w:val="none"/>
          <w:lang w:val="en-US" w:eastAsia="zh-CN"/>
        </w:rPr>
        <w:t>汕头大学医学院第一附属医院综合楼6</w:t>
      </w:r>
      <w:r>
        <w:rPr>
          <w:rFonts w:hint="eastAsia" w:ascii="宋体" w:hAnsi="宋体"/>
          <w:szCs w:val="21"/>
          <w:highlight w:val="none"/>
        </w:rPr>
        <w:t>楼</w:t>
      </w:r>
      <w:r>
        <w:rPr>
          <w:rFonts w:hint="eastAsia" w:ascii="宋体" w:hAnsi="宋体"/>
          <w:szCs w:val="21"/>
          <w:highlight w:val="none"/>
          <w:lang w:val="en-US" w:eastAsia="zh-CN"/>
        </w:rPr>
        <w:t>招标采购办公室</w:t>
      </w:r>
      <w:r>
        <w:rPr>
          <w:rFonts w:hint="eastAsia" w:ascii="宋体" w:hAnsi="宋体"/>
          <w:szCs w:val="21"/>
          <w:highlight w:val="none"/>
        </w:rPr>
        <w:t>（收件人：</w:t>
      </w:r>
      <w:r>
        <w:rPr>
          <w:rFonts w:hint="eastAsia" w:ascii="宋体" w:hAnsi="宋体"/>
          <w:szCs w:val="21"/>
          <w:highlight w:val="none"/>
          <w:lang w:val="en-US" w:eastAsia="zh-CN"/>
        </w:rPr>
        <w:t>袁老师</w:t>
      </w:r>
      <w:r>
        <w:rPr>
          <w:rFonts w:hint="eastAsia" w:ascii="宋体" w:hAnsi="宋体"/>
          <w:szCs w:val="21"/>
          <w:highlight w:val="none"/>
        </w:rPr>
        <w:t>，收件电话：0754-</w:t>
      </w:r>
      <w:r>
        <w:rPr>
          <w:rFonts w:hint="eastAsia" w:ascii="宋体" w:hAnsi="宋体"/>
          <w:szCs w:val="21"/>
          <w:highlight w:val="none"/>
          <w:lang w:val="en-US" w:eastAsia="zh-CN"/>
        </w:rPr>
        <w:t>88905636</w:t>
      </w:r>
      <w:r>
        <w:rPr>
          <w:rFonts w:hint="eastAsia" w:ascii="宋体" w:hAnsi="宋体"/>
          <w:szCs w:val="21"/>
          <w:highlight w:val="none"/>
        </w:rPr>
        <w:t>）。寄达时间：递交截止时间前（请各</w:t>
      </w:r>
      <w:r>
        <w:rPr>
          <w:rFonts w:hint="eastAsia" w:ascii="宋体" w:hAnsi="宋体"/>
          <w:szCs w:val="21"/>
          <w:highlight w:val="none"/>
          <w:lang w:val="en-US" w:eastAsia="zh-CN"/>
        </w:rPr>
        <w:t>投标人</w:t>
      </w:r>
      <w:r>
        <w:rPr>
          <w:rFonts w:hint="eastAsia" w:ascii="宋体" w:hAnsi="宋体"/>
          <w:szCs w:val="21"/>
          <w:highlight w:val="none"/>
        </w:rPr>
        <w:t>提前安排好邮寄工作，逾期寄达的</w:t>
      </w:r>
      <w:r>
        <w:rPr>
          <w:rFonts w:hint="eastAsia" w:ascii="宋体" w:hAnsi="宋体"/>
          <w:szCs w:val="21"/>
          <w:highlight w:val="none"/>
          <w:lang w:val="en-US" w:eastAsia="zh-CN"/>
        </w:rPr>
        <w:t>投标</w:t>
      </w:r>
      <w:r>
        <w:rPr>
          <w:rFonts w:hint="eastAsia" w:ascii="宋体" w:hAnsi="宋体"/>
          <w:szCs w:val="21"/>
          <w:highlight w:val="none"/>
        </w:rPr>
        <w:t>文件采购人有权拒收</w:t>
      </w:r>
      <w:r>
        <w:rPr>
          <w:rFonts w:hint="eastAsia" w:ascii="宋体" w:hAnsi="宋体"/>
          <w:szCs w:val="21"/>
          <w:highlight w:val="none"/>
          <w:lang w:eastAsia="zh-CN"/>
        </w:rPr>
        <w:t>，</w:t>
      </w:r>
      <w:r>
        <w:rPr>
          <w:rFonts w:hint="eastAsia" w:ascii="宋体" w:hAnsi="宋体"/>
          <w:szCs w:val="21"/>
          <w:highlight w:val="none"/>
          <w:lang w:val="en-US" w:eastAsia="zh-CN"/>
        </w:rPr>
        <w:t>邮寄过程投标文件受损丢失由投标人负责</w:t>
      </w:r>
      <w:r>
        <w:rPr>
          <w:rFonts w:hint="eastAsia" w:ascii="宋体" w:hAnsi="宋体"/>
          <w:szCs w:val="21"/>
          <w:highlight w:val="none"/>
        </w:rPr>
        <w:t>）。</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任何责任。</w:t>
      </w:r>
    </w:p>
    <w:p>
      <w:pPr>
        <w:pageBreakBefore w:val="0"/>
        <w:numPr>
          <w:ilvl w:val="0"/>
          <w:numId w:val="4"/>
        </w:numPr>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pageBreakBefore w:val="0"/>
        <w:numPr>
          <w:ilvl w:val="0"/>
          <w:numId w:val="0"/>
        </w:numPr>
        <w:tabs>
          <w:tab w:val="left" w:pos="8280"/>
        </w:tabs>
        <w:kinsoku/>
        <w:overflowPunct/>
        <w:topLinePunct w:val="0"/>
        <w:autoSpaceDE w:val="0"/>
        <w:autoSpaceDN w:val="0"/>
        <w:bidi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w:t>
      </w:r>
      <w:r>
        <w:rPr>
          <w:rFonts w:hint="eastAsia" w:ascii="宋体" w:hAnsi="宋体"/>
          <w:szCs w:val="21"/>
          <w:lang w:val="en-US" w:eastAsia="zh-CN"/>
        </w:rPr>
        <w:t>可以</w:t>
      </w:r>
      <w:r>
        <w:rPr>
          <w:rFonts w:hint="eastAsia" w:ascii="宋体" w:hAnsi="宋体"/>
          <w:szCs w:val="21"/>
        </w:rPr>
        <w:t>封装</w:t>
      </w:r>
      <w:r>
        <w:rPr>
          <w:rFonts w:hint="eastAsia" w:ascii="宋体" w:hAnsi="宋体"/>
          <w:szCs w:val="21"/>
          <w:lang w:val="en-US" w:eastAsia="zh-CN"/>
        </w:rPr>
        <w:t>在一个信封或封套</w:t>
      </w:r>
      <w:r>
        <w:rPr>
          <w:rFonts w:hint="eastAsia" w:ascii="宋体" w:hAnsi="宋体"/>
          <w:szCs w:val="21"/>
        </w:rPr>
        <w:t>，信封或</w:t>
      </w:r>
      <w:r>
        <w:rPr>
          <w:rFonts w:hint="eastAsia" w:ascii="宋体" w:hAnsi="宋体"/>
          <w:szCs w:val="21"/>
          <w:lang w:val="en-US" w:eastAsia="zh-CN"/>
        </w:rPr>
        <w:t>封套</w:t>
      </w:r>
      <w:r>
        <w:rPr>
          <w:rFonts w:hint="eastAsia" w:ascii="宋体" w:hAnsi="宋体"/>
          <w:szCs w:val="21"/>
        </w:rPr>
        <w:t>的封面上写明：</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w:t>
      </w:r>
      <w:r>
        <w:rPr>
          <w:rFonts w:hint="eastAsia" w:ascii="宋体" w:hAnsi="宋体"/>
          <w:szCs w:val="21"/>
          <w:lang w:val="en-US" w:eastAsia="zh-CN"/>
        </w:rPr>
        <w:t>和</w:t>
      </w:r>
      <w:r>
        <w:rPr>
          <w:rFonts w:hint="eastAsia" w:ascii="宋体" w:hAnsi="宋体"/>
          <w:szCs w:val="21"/>
        </w:rPr>
        <w:t>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pageBreakBefore w:val="0"/>
        <w:kinsoku/>
        <w:overflowPunct/>
        <w:topLinePunct w:val="0"/>
        <w:bidi w:val="0"/>
        <w:adjustRightInd w:val="0"/>
        <w:snapToGrid w:val="0"/>
        <w:spacing w:line="36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开标、评标。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int="eastAsia" w:ascii="宋体" w:hAnsi="宋体"/>
          <w:szCs w:val="21"/>
          <w:lang w:eastAsia="zh-CN"/>
        </w:rPr>
        <w:t>成员依法从符合规定的项目采购院内评审专家库中随机抽取，</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pageBreakBefore w:val="0"/>
        <w:tabs>
          <w:tab w:val="left" w:pos="8280"/>
        </w:tabs>
        <w:kinsoku/>
        <w:overflowPunct/>
        <w:topLinePunct w:val="0"/>
        <w:autoSpaceDE w:val="0"/>
        <w:autoSpaceDN w:val="0"/>
        <w:bidi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pageBreakBefore w:val="0"/>
        <w:kinsoku/>
        <w:overflowPunct/>
        <w:topLinePunct w:val="0"/>
        <w:bidi w:val="0"/>
        <w:adjustRightInd w:val="0"/>
        <w:snapToGrid w:val="0"/>
        <w:spacing w:line="36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pageBreakBefore w:val="0"/>
        <w:kinsoku/>
        <w:overflowPunct/>
        <w:topLinePunct w:val="0"/>
        <w:autoSpaceDE w:val="0"/>
        <w:autoSpaceDN w:val="0"/>
        <w:bidi w:val="0"/>
        <w:adjustRightInd w:val="0"/>
        <w:snapToGrid w:val="0"/>
        <w:spacing w:line="36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w:t>
      </w:r>
      <w:r>
        <w:rPr>
          <w:rFonts w:hint="eastAsia" w:ascii="宋体" w:hAnsi="宋体"/>
          <w:szCs w:val="21"/>
          <w:lang w:val="en-US" w:eastAsia="zh-CN"/>
        </w:rPr>
        <w:t>30日</w:t>
      </w:r>
      <w:r>
        <w:rPr>
          <w:rFonts w:hint="eastAsia" w:ascii="宋体" w:hAnsi="宋体"/>
          <w:szCs w:val="21"/>
        </w:rPr>
        <w:t>内，按招标文件要求和中标人投标文件承</w:t>
      </w:r>
    </w:p>
    <w:p>
      <w:pPr>
        <w:pageBreakBefore w:val="0"/>
        <w:kinsoku/>
        <w:overflowPunct/>
        <w:topLinePunct w:val="0"/>
        <w:autoSpaceDE w:val="0"/>
        <w:autoSpaceDN w:val="0"/>
        <w:bidi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pageBreakBefore w:val="0"/>
        <w:kinsoku/>
        <w:overflowPunct/>
        <w:topLinePunct w:val="0"/>
        <w:autoSpaceDE w:val="0"/>
        <w:autoSpaceDN w:val="0"/>
        <w:bidi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pageBreakBefore w:val="0"/>
        <w:kinsoku/>
        <w:overflowPunct/>
        <w:topLinePunct w:val="0"/>
        <w:bidi w:val="0"/>
        <w:spacing w:line="360" w:lineRule="auto"/>
        <w:ind w:firstLine="0" w:firstLineChars="0"/>
        <w:rPr>
          <w:rFonts w:hint="eastAsia"/>
        </w:rPr>
      </w:pPr>
      <w:r>
        <w:rPr>
          <w:sz w:val="24"/>
        </w:rPr>
        <w:br w:type="page"/>
      </w: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Style w:val="7"/>
        <w:pageBreakBefore w:val="0"/>
        <w:kinsoku/>
        <w:overflowPunct/>
        <w:topLinePunct w:val="0"/>
        <w:bidi w:val="0"/>
        <w:spacing w:line="360" w:lineRule="auto"/>
        <w:ind w:firstLine="0" w:firstLineChars="0"/>
        <w:rPr>
          <w:rFonts w:hint="eastAsia"/>
        </w:rPr>
      </w:pPr>
    </w:p>
    <w:p>
      <w:pPr>
        <w:pageBreakBefore w:val="0"/>
        <w:kinsoku/>
        <w:overflowPunct/>
        <w:topLinePunct w:val="0"/>
        <w:bidi w:val="0"/>
        <w:spacing w:line="360" w:lineRule="auto"/>
        <w:jc w:val="center"/>
        <w:rPr>
          <w:rFonts w:eastAsia="黑体"/>
          <w:b/>
          <w:sz w:val="44"/>
        </w:rPr>
      </w:pPr>
      <w:r>
        <w:rPr>
          <w:rFonts w:hint="eastAsia" w:eastAsia="黑体"/>
          <w:b/>
          <w:sz w:val="44"/>
        </w:rPr>
        <w:t>第四部分</w:t>
      </w:r>
    </w:p>
    <w:p>
      <w:pPr>
        <w:pageBreakBefore w:val="0"/>
        <w:kinsoku/>
        <w:overflowPunct/>
        <w:topLinePunct w:val="0"/>
        <w:bidi w:val="0"/>
        <w:spacing w:line="360" w:lineRule="auto"/>
        <w:jc w:val="center"/>
        <w:rPr>
          <w:rFonts w:eastAsia="黑体"/>
          <w:b/>
          <w:sz w:val="44"/>
        </w:rPr>
      </w:pPr>
    </w:p>
    <w:p>
      <w:pPr>
        <w:pStyle w:val="7"/>
        <w:pageBreakBefore w:val="0"/>
        <w:kinsoku/>
        <w:overflowPunct/>
        <w:topLinePunct w:val="0"/>
        <w:bidi w:val="0"/>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pageBreakBefore w:val="0"/>
        <w:kinsoku/>
        <w:overflowPunct/>
        <w:topLinePunct w:val="0"/>
        <w:bidi w:val="0"/>
        <w:spacing w:line="360" w:lineRule="auto"/>
        <w:ind w:firstLine="0" w:firstLineChars="0"/>
        <w:jc w:val="center"/>
        <w:rPr>
          <w:rFonts w:eastAsia="黑体"/>
          <w:b/>
          <w:sz w:val="44"/>
        </w:rPr>
      </w:pPr>
    </w:p>
    <w:p>
      <w:pPr>
        <w:pStyle w:val="7"/>
        <w:pageBreakBefore w:val="0"/>
        <w:kinsoku/>
        <w:overflowPunct/>
        <w:topLinePunct w:val="0"/>
        <w:bidi w:val="0"/>
        <w:spacing w:line="360" w:lineRule="auto"/>
        <w:ind w:firstLine="0" w:firstLineChars="0"/>
        <w:jc w:val="center"/>
        <w:rPr>
          <w:b/>
          <w:sz w:val="28"/>
          <w:szCs w:val="28"/>
        </w:rPr>
      </w:pPr>
      <w:r>
        <w:br w:type="page"/>
      </w:r>
      <w:r>
        <w:rPr>
          <w:rFonts w:hint="eastAsia"/>
          <w:b/>
          <w:sz w:val="28"/>
          <w:szCs w:val="28"/>
        </w:rPr>
        <w:t>评标方法</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2"/>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pageBreakBefore w:val="0"/>
              <w:suppressLineNumbers w:val="0"/>
              <w:kinsoku/>
              <w:overflowPunct/>
              <w:topLinePunct w:val="0"/>
              <w:bidi w:val="0"/>
              <w:adjustRightInd w:val="0"/>
              <w:snapToGrid w:val="0"/>
              <w:spacing w:before="0" w:beforeAutospacing="0" w:after="0" w:afterAutospacing="0" w:line="360" w:lineRule="auto"/>
              <w:ind w:left="0" w:right="0"/>
              <w:rPr>
                <w:rFonts w:hint="eastAsia" w:ascii="宋体" w:hAnsi="宋体"/>
                <w:szCs w:val="21"/>
                <w:lang w:val="en-US" w:eastAsia="zh-CN"/>
              </w:rPr>
            </w:pPr>
            <w:r>
              <w:rPr>
                <w:rFonts w:hint="eastAsia" w:ascii="宋体"/>
                <w:szCs w:val="21"/>
                <w:lang w:val="en-US" w:eastAsia="zh-CN"/>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pageBreakBefore w:val="0"/>
        <w:tabs>
          <w:tab w:val="left" w:pos="8280"/>
        </w:tabs>
        <w:kinsoku/>
        <w:overflowPunct/>
        <w:topLinePunct w:val="0"/>
        <w:autoSpaceDE w:val="0"/>
        <w:autoSpaceDN w:val="0"/>
        <w:bidi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2"/>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20"/>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8"/>
        <w:pageBreakBefore w:val="0"/>
        <w:kinsoku/>
        <w:overflowPunct/>
        <w:topLinePunct w:val="0"/>
        <w:bidi w:val="0"/>
        <w:spacing w:line="360" w:lineRule="auto"/>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自2020年以来类似产品的供货业绩，以供应商的供货合同为准，每有1项得1分，总分不超过2分。</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注：</w:t>
            </w:r>
            <w:r>
              <w:rPr>
                <w:rFonts w:hint="eastAsia" w:ascii="宋体" w:hAnsi="宋体" w:cs="宋体"/>
                <w:color w:val="000000"/>
              </w:rPr>
              <w:t>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p>
    <w:p>
      <w:pPr>
        <w:pageBreakBefore w:val="0"/>
        <w:numPr>
          <w:ilvl w:val="0"/>
          <w:numId w:val="3"/>
        </w:numPr>
        <w:tabs>
          <w:tab w:val="left" w:pos="8280"/>
        </w:tabs>
        <w:kinsoku/>
        <w:overflowPunct/>
        <w:topLinePunct w:val="0"/>
        <w:autoSpaceDE w:val="0"/>
        <w:autoSpaceDN w:val="0"/>
        <w:bidi w:val="0"/>
        <w:adjustRightInd w:val="0"/>
        <w:snapToGrid w:val="0"/>
        <w:spacing w:line="360" w:lineRule="auto"/>
        <w:ind w:left="0" w:leftChars="0" w:right="32" w:firstLine="420" w:firstLineChars="200"/>
        <w:rPr>
          <w:rFonts w:hint="eastAsia" w:ascii="宋体" w:hAnsi="宋体"/>
          <w:szCs w:val="21"/>
          <w:lang w:val="en-US" w:eastAsia="zh-CN"/>
        </w:rPr>
      </w:pPr>
      <w:r>
        <w:rPr>
          <w:rFonts w:hint="eastAsia" w:ascii="宋体" w:hAnsi="宋体"/>
          <w:szCs w:val="21"/>
          <w:lang w:val="en-US" w:eastAsia="zh-CN"/>
        </w:rPr>
        <w:t>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Style w:val="2"/>
        <w:numPr>
          <w:ilvl w:val="0"/>
          <w:numId w:val="0"/>
        </w:numPr>
        <w:ind w:leftChars="200" w:right="353" w:rightChars="0"/>
        <w:jc w:val="both"/>
        <w:rPr>
          <w:rFonts w:hint="eastAsia"/>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szCs w:val="21"/>
              </w:rPr>
              <w:t>所投产品技术参数全部满足用户需求书中技术参数，得</w:t>
            </w:r>
            <w:r>
              <w:rPr>
                <w:rFonts w:ascii="宋体" w:hAnsi="宋体" w:cs="宋体"/>
                <w:szCs w:val="21"/>
              </w:rPr>
              <w:t>40</w:t>
            </w:r>
            <w:r>
              <w:rPr>
                <w:rFonts w:hint="eastAsia" w:ascii="宋体" w:hAnsi="宋体" w:cs="宋体"/>
                <w:szCs w:val="21"/>
              </w:rPr>
              <w:t>分；每一项</w:t>
            </w:r>
            <w:r>
              <w:rPr>
                <w:rFonts w:hint="eastAsia"/>
              </w:rPr>
              <w:t>技术参数</w:t>
            </w:r>
            <w:r>
              <w:rPr>
                <w:rFonts w:hint="eastAsia" w:ascii="宋体" w:hAnsi="宋体" w:cs="宋体"/>
                <w:szCs w:val="21"/>
              </w:rPr>
              <w:t>负偏离扣2分。</w:t>
            </w:r>
            <w:r>
              <w:rPr>
                <w:rFonts w:hint="eastAsia" w:ascii="宋体" w:hAnsi="宋体"/>
                <w:szCs w:val="21"/>
                <w:lang w:val="en-US" w:eastAsia="zh-CN"/>
              </w:rPr>
              <w:t>（注：</w:t>
            </w:r>
            <w:r>
              <w:rPr>
                <w:rFonts w:hint="eastAsia" w:ascii="宋体" w:hAnsi="宋体" w:cs="宋体"/>
                <w:szCs w:val="21"/>
              </w:rPr>
              <w:t>所有投标人须提供投标产品彩页及相应技术参数的厂家使用说明书作为技术证明文件，否则评标委员会有权视相应技术参数响应不符合招标要求（如厂家的产品使用说明书为英文版，请同时提供中文版）。</w:t>
            </w:r>
            <w:r>
              <w:rPr>
                <w:rFonts w:hint="eastAsia" w:ascii="宋体" w:hAnsi="宋体"/>
                <w:szCs w:val="21"/>
                <w:lang w:val="en-US" w:eastAsia="zh-CN"/>
              </w:rPr>
              <w:t>提供技术条款响应表逐条应答。供应商须如实填写技术条款响应表。）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分；安装调试及验收方案可行，评价次之，得4分，安装调试及验收方案基本可行，评价一般，得2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分；质量保证体系及措施承诺可行，计划较详实，综合评价次之，得4分，质量保证体系及措施承诺基本可行，综合评价一般，得2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color w:val="000000"/>
                <w:szCs w:val="21"/>
              </w:rPr>
              <w:t>根据投标人提供的样品或彩图进行评审。</w:t>
            </w:r>
            <w:r>
              <w:rPr>
                <w:rFonts w:hint="eastAsia" w:ascii="宋体" w:hAnsi="宋体"/>
                <w:szCs w:val="21"/>
                <w:lang w:val="en-US" w:eastAsia="zh-CN"/>
              </w:rPr>
              <w:t>技术水平在同类产品中领先，技术性能明显优于同类产品，应用广泛，得8分；技术水平在同类产品中属于中等，性能及应用一般，得5分；技术水平在同类产品中较落后，性能较差，较少或未得到应用，得2分。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2"/>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对小微型企业、监狱企业或残疾人福利性单位响应的扶持：</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6%的价格扣除，即：以上单位的投标报价＝该单位核实后的响应报价×（1－6%）；</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B. 本条款以响应供应商提交的《中小企业声明函》、《监狱企业声明函》或《残疾人福利性单位声明函》为准（仅须提交以上三者之一即视为符合条件，未提交视为不符合）；</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olor w:val="auto"/>
          <w:szCs w:val="21"/>
          <w:lang w:val="en-US" w:eastAsia="zh-CN"/>
        </w:rPr>
      </w:pPr>
      <w:r>
        <w:rPr>
          <w:rFonts w:hint="eastAsia" w:ascii="宋体" w:hAnsi="宋体"/>
          <w:color w:val="auto"/>
          <w:szCs w:val="21"/>
          <w:lang w:val="en-US" w:eastAsia="zh-CN"/>
        </w:rPr>
        <w:t>C. 非小微型企业、监狱企业或残疾人福利性单位的响应供应商其投标报价＝该单位核实后的响应报价。</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cs="宋体"/>
          <w:color w:val="000000"/>
          <w:highlight w:val="none"/>
        </w:rPr>
      </w:pPr>
      <w:r>
        <w:rPr>
          <w:rFonts w:hint="eastAsia"/>
          <w:lang w:val="en-US" w:eastAsia="zh-CN"/>
        </w:rPr>
        <w:t>D.</w:t>
      </w:r>
      <w:r>
        <w:rPr>
          <w:rFonts w:hint="eastAsia" w:ascii="宋体" w:hAnsi="宋体" w:cs="宋体"/>
          <w:color w:val="000000"/>
          <w:highlight w:val="none"/>
        </w:rPr>
        <w:t>投标文件报价出现前后不一致的，除招标文件另有规定外，按照下列规定修正：</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投标文件中开标一览表内容与投标文件中相应内容不一致的，以开标一览表为准；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大写金额和小写金额不一致的，以大写金额为准；</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单价金额小数点或者百分比有明显错位的，以开标一览表的总价为准，并修改单价；</w:t>
      </w:r>
    </w:p>
    <w:p>
      <w:pPr>
        <w:numPr>
          <w:ilvl w:val="0"/>
          <w:numId w:val="0"/>
        </w:numPr>
        <w:tabs>
          <w:tab w:val="left" w:pos="0"/>
          <w:tab w:val="center" w:pos="210"/>
          <w:tab w:val="center" w:pos="106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hint="eastAsia" w:ascii="宋体" w:hAnsi="宋体" w:cs="宋体"/>
          <w:color w:val="000000"/>
          <w:kern w:val="0"/>
          <w:szCs w:val="21"/>
          <w:highlight w:val="none"/>
        </w:rPr>
      </w:pPr>
      <w:r>
        <w:rPr>
          <w:rFonts w:hint="eastAsia" w:ascii="宋体" w:hAnsi="宋体" w:cs="宋体"/>
          <w:color w:val="000000"/>
          <w:kern w:val="0"/>
          <w:szCs w:val="21"/>
          <w:highlight w:val="none"/>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8"/>
        <w:rPr>
          <w:rFonts w:hint="default"/>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p>
    <w:p>
      <w:pPr>
        <w:pageBreakBefore w:val="0"/>
        <w:tabs>
          <w:tab w:val="left" w:pos="8280"/>
        </w:tabs>
        <w:kinsoku/>
        <w:overflowPunct/>
        <w:topLinePunct w:val="0"/>
        <w:autoSpaceDE w:val="0"/>
        <w:autoSpaceDN w:val="0"/>
        <w:bidi w:val="0"/>
        <w:adjustRightInd w:val="0"/>
        <w:snapToGrid w:val="0"/>
        <w:spacing w:line="36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中标结果在汕头大学医学院官网主页(www.med.stu.edu.cn)、汕头大学医学院第一附属医院官网主页（www.stuh.com.cn）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lang w:val="en-US" w:eastAsia="zh-CN"/>
        </w:rPr>
        <w:t>信息公告栏上发布</w:t>
      </w:r>
      <w:r>
        <w:rPr>
          <w:rFonts w:hint="eastAsia" w:ascii="宋体" w:hAnsi="宋体" w:eastAsia="宋体" w:cs="宋体"/>
          <w:i w:val="0"/>
          <w:iCs w:val="0"/>
          <w:caps w:val="0"/>
          <w:color w:val="000000"/>
          <w:spacing w:val="0"/>
          <w:sz w:val="21"/>
          <w:szCs w:val="21"/>
          <w:shd w:val="clear" w:fill="FFFFFF"/>
          <w:vertAlign w:val="baseline"/>
          <w:lang w:val="en-US" w:eastAsia="zh-CN"/>
        </w:rPr>
        <w:t>公示，</w:t>
      </w:r>
      <w:r>
        <w:rPr>
          <w:rFonts w:hint="default" w:ascii="宋体" w:hAnsi="宋体" w:eastAsia="宋体" w:cs="宋体"/>
          <w:i w:val="0"/>
          <w:iCs w:val="0"/>
          <w:caps w:val="0"/>
          <w:color w:val="000000"/>
          <w:spacing w:val="0"/>
          <w:sz w:val="21"/>
          <w:szCs w:val="21"/>
          <w:shd w:val="clear" w:fill="FFFFFF"/>
          <w:vertAlign w:val="baseline"/>
        </w:rPr>
        <w:t>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ageBreakBefore w:val="0"/>
        <w:tabs>
          <w:tab w:val="left" w:pos="8280"/>
        </w:tabs>
        <w:kinsoku/>
        <w:overflowPunct/>
        <w:topLinePunct w:val="0"/>
        <w:autoSpaceDE w:val="0"/>
        <w:autoSpaceDN w:val="0"/>
        <w:bidi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pageBreakBefore w:val="0"/>
        <w:kinsoku/>
        <w:overflowPunct/>
        <w:topLinePunct w:val="0"/>
        <w:bidi w:val="0"/>
        <w:spacing w:line="360" w:lineRule="auto"/>
        <w:jc w:val="center"/>
        <w:rPr>
          <w:rFonts w:hint="eastAsia" w:eastAsia="黑体"/>
          <w:b/>
          <w:sz w:val="44"/>
        </w:rPr>
      </w:pPr>
      <w:r>
        <w:br w:type="page"/>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第五部分</w:t>
      </w:r>
    </w:p>
    <w:p>
      <w:pPr>
        <w:pageBreakBefore w:val="0"/>
        <w:kinsoku/>
        <w:overflowPunct/>
        <w:topLinePunct w:val="0"/>
        <w:bidi w:val="0"/>
        <w:spacing w:line="360" w:lineRule="auto"/>
        <w:jc w:val="center"/>
        <w:rPr>
          <w:rFonts w:eastAsia="黑体"/>
          <w:b/>
          <w:sz w:val="44"/>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合 同 书 格 式</w:t>
      </w: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b/>
          <w:sz w:val="24"/>
        </w:rPr>
      </w:pPr>
    </w:p>
    <w:p>
      <w:pPr>
        <w:pageBreakBefore w:val="0"/>
        <w:kinsoku/>
        <w:overflowPunct/>
        <w:topLinePunct w:val="0"/>
        <w:bidi w:val="0"/>
        <w:spacing w:line="360" w:lineRule="auto"/>
        <w:jc w:val="center"/>
        <w:rPr>
          <w:rFonts w:hint="eastAsia"/>
          <w:kern w:val="28"/>
        </w:rPr>
      </w:pPr>
      <w:r>
        <w:rPr>
          <w:rFonts w:hint="eastAsia"/>
          <w:kern w:val="28"/>
        </w:rPr>
        <w:t xml:space="preserve"> </w:t>
      </w:r>
    </w:p>
    <w:p>
      <w:pPr>
        <w:pageBreakBefore w:val="0"/>
        <w:kinsoku/>
        <w:wordWrap w:val="0"/>
        <w:overflowPunct/>
        <w:topLinePunct w:val="0"/>
        <w:bidi w:val="0"/>
        <w:spacing w:line="360" w:lineRule="auto"/>
        <w:jc w:val="right"/>
        <w:rPr>
          <w:rFonts w:hint="eastAsia"/>
          <w:kern w:val="28"/>
        </w:rPr>
      </w:pPr>
    </w:p>
    <w:p>
      <w:pPr>
        <w:pageBreakBefore w:val="0"/>
        <w:kinsoku/>
        <w:overflowPunct/>
        <w:topLinePunct w:val="0"/>
        <w:bidi w:val="0"/>
        <w:spacing w:after="60" w:line="360" w:lineRule="auto"/>
        <w:jc w:val="center"/>
        <w:rPr>
          <w:rFonts w:ascii="宋体" w:hAnsi="宋体"/>
          <w:b/>
          <w:sz w:val="32"/>
          <w:u w:val="single"/>
        </w:rPr>
      </w:pPr>
      <w:r>
        <w:rPr>
          <w:sz w:val="24"/>
          <w:szCs w:val="24"/>
        </w:rPr>
        <w:br w:type="page"/>
      </w: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b/>
          <w:sz w:val="32"/>
          <w:u w:val="single"/>
        </w:rPr>
      </w:pPr>
    </w:p>
    <w:p>
      <w:pPr>
        <w:pageBreakBefore w:val="0"/>
        <w:kinsoku/>
        <w:overflowPunct/>
        <w:topLinePunct w:val="0"/>
        <w:bidi w:val="0"/>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jc w:val="center"/>
        <w:rPr>
          <w:rFonts w:ascii="宋体" w:hAnsi="宋体"/>
          <w:b/>
        </w:rPr>
      </w:pPr>
    </w:p>
    <w:p>
      <w:pPr>
        <w:pageBreakBefore w:val="0"/>
        <w:kinsoku/>
        <w:overflowPunct/>
        <w:topLinePunct w:val="0"/>
        <w:bidi w:val="0"/>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pageBreakBefore w:val="0"/>
        <w:kinsoku/>
        <w:overflowPunct/>
        <w:topLinePunct w:val="0"/>
        <w:bidi w:val="0"/>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pageBreakBefore w:val="0"/>
        <w:kinsoku/>
        <w:overflowPunct/>
        <w:topLinePunct w:val="0"/>
        <w:bidi w:val="0"/>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pageBreakBefore w:val="0"/>
        <w:kinsoku/>
        <w:overflowPunct/>
        <w:topLinePunct w:val="0"/>
        <w:bidi w:val="0"/>
        <w:adjustRightInd w:val="0"/>
        <w:snapToGrid w:val="0"/>
        <w:spacing w:line="360" w:lineRule="auto"/>
        <w:rPr>
          <w:rFonts w:ascii="宋体" w:hAnsi="宋体"/>
          <w:b/>
          <w:sz w:val="32"/>
          <w:u w:val="single"/>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r>
        <w:rPr>
          <w:rFonts w:hint="eastAsia" w:ascii="宋体" w:hAnsi="宋体"/>
          <w:b/>
          <w:sz w:val="28"/>
          <w:szCs w:val="28"/>
        </w:rPr>
        <w:t>注：本合同仅为合同的参考文本，合同签订双方可根据项目的具体要求进行修订。</w:t>
      </w: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adjustRightInd w:val="0"/>
        <w:snapToGrid w:val="0"/>
        <w:spacing w:line="360" w:lineRule="auto"/>
        <w:jc w:val="center"/>
        <w:rPr>
          <w:rFonts w:ascii="宋体" w:hAnsi="宋体"/>
          <w:b/>
          <w:sz w:val="30"/>
          <w:szCs w:val="30"/>
        </w:rPr>
      </w:pP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pageBreakBefore w:val="0"/>
        <w:kinsoku/>
        <w:overflowPunct/>
        <w:topLinePunct w:val="0"/>
        <w:bidi w:val="0"/>
        <w:snapToGrid w:val="0"/>
        <w:spacing w:line="360" w:lineRule="auto"/>
        <w:rPr>
          <w:rFonts w:ascii="宋体" w:hAnsi="宋体"/>
        </w:rPr>
      </w:pPr>
      <w:r>
        <w:rPr>
          <w:rFonts w:ascii="宋体" w:hAnsi="宋体"/>
        </w:rPr>
        <w:t xml:space="preserve">    </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pageBreakBefore w:val="0"/>
        <w:kinsoku/>
        <w:overflowPunct/>
        <w:topLinePunct w:val="0"/>
        <w:bidi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2"/>
        <w:tblW w:w="9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eastAsia"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hint="default" w:ascii="宋体" w:hAnsi="宋体" w:eastAsia="宋体" w:cs="宋体"/>
                <w:lang w:val="en-US" w:eastAsia="zh-CN"/>
              </w:rPr>
            </w:pPr>
            <w:r>
              <w:rPr>
                <w:rFonts w:hint="eastAsia" w:ascii="宋体" w:hAnsi="宋体" w:cs="宋体"/>
                <w:lang w:val="en-US" w:eastAsia="zh-CN"/>
              </w:rPr>
              <w:t>注册证号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7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ascii="宋体" w:hAnsi="宋体"/>
              </w:rPr>
            </w:pPr>
            <w:r>
              <w:rPr>
                <w:rFonts w:hint="eastAsia" w:ascii="宋体" w:hAnsi="宋体"/>
              </w:rPr>
              <w:t>合计：</w:t>
            </w: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jc w:val="right"/>
              <w:rPr>
                <w:rFonts w:hint="eastAsia"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uppressLineNumbers w:val="0"/>
              <w:kinsoku/>
              <w:overflowPunct/>
              <w:topLinePunct w:val="0"/>
              <w:bidi w:val="0"/>
              <w:snapToGrid w:val="0"/>
              <w:spacing w:before="0" w:beforeAutospacing="0" w:after="0" w:afterAutospacing="0" w:line="360" w:lineRule="auto"/>
              <w:ind w:left="0" w:right="0"/>
              <w:rPr>
                <w:rFonts w:ascii="宋体" w:hAnsi="宋体"/>
              </w:rPr>
            </w:pPr>
          </w:p>
        </w:tc>
      </w:tr>
    </w:tbl>
    <w:p>
      <w:pPr>
        <w:pageBreakBefore w:val="0"/>
        <w:kinsoku/>
        <w:overflowPunct/>
        <w:topLinePunct w:val="0"/>
        <w:bidi w:val="0"/>
        <w:snapToGrid w:val="0"/>
        <w:spacing w:line="360" w:lineRule="auto"/>
        <w:rPr>
          <w:rFonts w:ascii="宋体" w:hAnsi="宋体"/>
          <w:b/>
          <w:sz w:val="10"/>
          <w:szCs w:val="10"/>
        </w:rPr>
      </w:pPr>
    </w:p>
    <w:p>
      <w:pPr>
        <w:pageBreakBefore w:val="0"/>
        <w:kinsoku/>
        <w:overflowPunct/>
        <w:topLinePunct w:val="0"/>
        <w:bidi w:val="0"/>
        <w:snapToGrid w:val="0"/>
        <w:spacing w:line="360" w:lineRule="auto"/>
        <w:rPr>
          <w:rFonts w:ascii="宋体" w:hAnsi="宋体"/>
          <w:b/>
          <w:sz w:val="24"/>
          <w:szCs w:val="24"/>
        </w:rPr>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pageBreakBefore w:val="0"/>
        <w:kinsoku/>
        <w:overflowPunct/>
        <w:topLinePunct w:val="0"/>
        <w:bidi w:val="0"/>
        <w:snapToGrid w:val="0"/>
        <w:spacing w:line="360" w:lineRule="auto"/>
        <w:ind w:left="420" w:hanging="420"/>
        <w:rPr>
          <w:rFonts w:hint="eastAsia" w:ascii="宋体" w:hAnsi="宋体" w:cs="宋体"/>
        </w:rPr>
      </w:pPr>
      <w:r>
        <w:rPr>
          <w:rFonts w:ascii="宋体" w:hAnsi="宋体"/>
        </w:rPr>
        <w:t xml:space="preserve">2.2 </w:t>
      </w:r>
      <w:r>
        <w:rPr>
          <w:rFonts w:hint="eastAsia" w:ascii="宋体" w:hAnsi="宋体" w:cs="宋体"/>
        </w:rPr>
        <w:t>支付方式：</w:t>
      </w:r>
      <w:r>
        <w:rPr>
          <w:rFonts w:hint="eastAsia" w:ascii="宋体" w:hAnsi="宋体" w:cs="宋体"/>
          <w:lang w:val="en-US" w:eastAsia="zh-CN"/>
        </w:rPr>
        <w:t>支付比例</w:t>
      </w:r>
      <w:r>
        <w:rPr>
          <w:rFonts w:hint="default" w:ascii="宋体" w:hAnsi="宋体" w:cs="宋体"/>
          <w:lang w:val="en-US" w:eastAsia="zh-CN"/>
        </w:rPr>
        <w:t>100%</w:t>
      </w:r>
      <w:r>
        <w:rPr>
          <w:rFonts w:hint="eastAsia" w:ascii="宋体" w:hAnsi="宋体" w:cs="宋体"/>
          <w:lang w:val="en-US" w:eastAsia="zh-CN"/>
        </w:rPr>
        <w:t>，合同设备到达招标人指定地点完成安装、调试、验收、培训并交付使用后，中标人凭：</w:t>
      </w:r>
      <w:r>
        <w:rPr>
          <w:rFonts w:hint="default" w:ascii="宋体" w:hAnsi="宋体" w:cs="宋体"/>
          <w:lang w:val="en-US" w:eastAsia="zh-CN"/>
        </w:rPr>
        <w:t>①</w:t>
      </w:r>
      <w:r>
        <w:rPr>
          <w:rFonts w:hint="eastAsia" w:ascii="宋体" w:hAnsi="宋体" w:cs="宋体"/>
          <w:lang w:val="en-US" w:eastAsia="zh-CN"/>
        </w:rPr>
        <w:t>合同、</w:t>
      </w:r>
      <w:r>
        <w:rPr>
          <w:rFonts w:hint="default" w:ascii="宋体" w:hAnsi="宋体" w:cs="宋体"/>
          <w:lang w:val="en-US" w:eastAsia="zh-CN"/>
        </w:rPr>
        <w:t>②</w:t>
      </w:r>
      <w:r>
        <w:rPr>
          <w:rFonts w:hint="eastAsia" w:ascii="宋体" w:hAnsi="宋体" w:cs="宋体"/>
          <w:lang w:val="en-US" w:eastAsia="zh-CN"/>
        </w:rPr>
        <w:t>正式全额发票、</w:t>
      </w:r>
      <w:r>
        <w:rPr>
          <w:rFonts w:hint="default" w:ascii="宋体" w:hAnsi="宋体" w:cs="宋体"/>
          <w:lang w:val="en-US" w:eastAsia="zh-CN"/>
        </w:rPr>
        <w:t>③</w:t>
      </w:r>
      <w:r>
        <w:rPr>
          <w:rFonts w:hint="eastAsia" w:ascii="宋体" w:hAnsi="宋体" w:cs="宋体"/>
          <w:lang w:val="en-US" w:eastAsia="zh-CN"/>
        </w:rPr>
        <w:t>验收调试合格报告（加盖招标人公章）、</w:t>
      </w:r>
      <w:r>
        <w:rPr>
          <w:rFonts w:hint="default" w:ascii="宋体" w:hAnsi="宋体" w:cs="宋体"/>
          <w:lang w:val="en-US" w:eastAsia="zh-CN"/>
        </w:rPr>
        <w:t>④</w:t>
      </w:r>
      <w:r>
        <w:rPr>
          <w:rFonts w:hint="eastAsia" w:ascii="宋体" w:hAnsi="宋体" w:cs="宋体"/>
          <w:lang w:val="en-US" w:eastAsia="zh-CN"/>
        </w:rPr>
        <w:t>中标通知书向招标人申请付款，招标人于</w:t>
      </w:r>
      <w:r>
        <w:rPr>
          <w:rFonts w:hint="default" w:ascii="宋体" w:hAnsi="宋体" w:cs="宋体"/>
          <w:lang w:val="en-US" w:eastAsia="zh-CN"/>
        </w:rPr>
        <w:t>6</w:t>
      </w:r>
      <w:r>
        <w:rPr>
          <w:rFonts w:hint="eastAsia" w:ascii="宋体" w:hAnsi="宋体" w:cs="宋体"/>
          <w:lang w:val="en-US" w:eastAsia="zh-CN"/>
        </w:rPr>
        <w:t>个月内向中标人支付合同总金额的</w:t>
      </w:r>
      <w:r>
        <w:rPr>
          <w:rFonts w:hint="default" w:ascii="宋体" w:hAnsi="宋体" w:cs="宋体"/>
          <w:lang w:val="en-US" w:eastAsia="zh-CN"/>
        </w:rPr>
        <w:t>100</w:t>
      </w:r>
      <w:r>
        <w:rPr>
          <w:rFonts w:hint="eastAsia" w:ascii="宋体" w:hAnsi="宋体" w:cs="宋体"/>
          <w:lang w:val="en-US" w:eastAsia="zh-CN"/>
        </w:rPr>
        <w:t>％。中标人在签订合同</w:t>
      </w:r>
      <w:r>
        <w:rPr>
          <w:rFonts w:hint="default" w:ascii="宋体" w:hAnsi="宋体" w:cs="宋体"/>
          <w:lang w:val="en-US" w:eastAsia="zh-CN"/>
        </w:rPr>
        <w:t>1</w:t>
      </w:r>
      <w:r>
        <w:rPr>
          <w:rFonts w:hint="eastAsia" w:ascii="宋体" w:hAnsi="宋体" w:cs="宋体"/>
          <w:lang w:val="en-US" w:eastAsia="zh-CN"/>
        </w:rPr>
        <w:t>个月内向招标人支付合同价的</w:t>
      </w:r>
      <w:r>
        <w:rPr>
          <w:rFonts w:hint="default" w:ascii="宋体" w:hAnsi="宋体" w:cs="宋体"/>
          <w:lang w:val="en-US" w:eastAsia="zh-CN"/>
        </w:rPr>
        <w:t>5%</w:t>
      </w:r>
      <w:r>
        <w:rPr>
          <w:rFonts w:hint="eastAsia" w:ascii="宋体" w:hAnsi="宋体" w:cs="宋体"/>
          <w:lang w:val="en-US" w:eastAsia="zh-CN"/>
        </w:rPr>
        <w:t>作为履约保证金（履约保证金在保修期结束后</w:t>
      </w:r>
      <w:r>
        <w:rPr>
          <w:rFonts w:hint="default" w:ascii="宋体" w:hAnsi="宋体" w:cs="宋体"/>
          <w:lang w:val="en-US" w:eastAsia="zh-CN"/>
        </w:rPr>
        <w:t>3</w:t>
      </w:r>
      <w:r>
        <w:rPr>
          <w:rFonts w:hint="eastAsia" w:ascii="宋体" w:hAnsi="宋体" w:cs="宋体"/>
          <w:lang w:val="en-US" w:eastAsia="zh-CN"/>
        </w:rPr>
        <w:t>个月内可办理返还手续，具体以实际到账为准）</w:t>
      </w:r>
    </w:p>
    <w:p>
      <w:pPr>
        <w:pageBreakBefore w:val="0"/>
        <w:kinsoku/>
        <w:overflowPunct/>
        <w:topLinePunct w:val="0"/>
        <w:bidi w:val="0"/>
        <w:snapToGrid w:val="0"/>
        <w:spacing w:line="36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pageBreakBefore w:val="0"/>
        <w:kinsoku/>
        <w:overflowPunct/>
        <w:topLinePunct w:val="0"/>
        <w:bidi w:val="0"/>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pageBreakBefore w:val="0"/>
        <w:kinsoku/>
        <w:overflowPunct/>
        <w:topLinePunct w:val="0"/>
        <w:bidi w:val="0"/>
        <w:snapToGrid w:val="0"/>
        <w:spacing w:line="36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pageBreakBefore w:val="0"/>
        <w:kinsoku/>
        <w:overflowPunct/>
        <w:topLinePunct w:val="0"/>
        <w:bidi w:val="0"/>
        <w:snapToGrid w:val="0"/>
        <w:spacing w:line="36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pageBreakBefore w:val="0"/>
        <w:kinsoku/>
        <w:overflowPunct/>
        <w:topLinePunct w:val="0"/>
        <w:bidi w:val="0"/>
        <w:snapToGrid w:val="0"/>
        <w:spacing w:line="36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pageBreakBefore w:val="0"/>
        <w:kinsoku/>
        <w:overflowPunct/>
        <w:topLinePunct w:val="0"/>
        <w:bidi w:val="0"/>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pageBreakBefore w:val="0"/>
        <w:kinsoku/>
        <w:overflowPunct/>
        <w:topLinePunct w:val="0"/>
        <w:bidi w:val="0"/>
        <w:snapToGrid w:val="0"/>
        <w:spacing w:line="360" w:lineRule="auto"/>
        <w:ind w:left="0" w:leftChars="0" w:firstLine="0" w:firstLineChars="0"/>
        <w:rPr>
          <w:rFonts w:hint="eastAsia"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pageBreakBefore w:val="0"/>
        <w:kinsoku/>
        <w:overflowPunct/>
        <w:topLinePunct w:val="0"/>
        <w:bidi w:val="0"/>
        <w:snapToGrid w:val="0"/>
        <w:spacing w:line="360" w:lineRule="auto"/>
        <w:ind w:left="0" w:leftChars="0" w:firstLine="0" w:firstLineChars="0"/>
        <w:rPr>
          <w:rFonts w:hint="eastAsia" w:ascii="宋体" w:hAnsi="宋体" w:eastAsia="宋体" w:cs="宋体"/>
          <w:sz w:val="21"/>
          <w:szCs w:val="21"/>
          <w:highlight w:val="none"/>
        </w:rPr>
      </w:pPr>
      <w:r>
        <w:rPr>
          <w:rFonts w:hint="eastAsia" w:ascii="宋体" w:hAnsi="宋体" w:cs="宋体"/>
        </w:rPr>
        <w:t>5.3.2 乙方安装时须对各安装场地内的其它设备、设施有良好保护措施。</w:t>
      </w:r>
      <w:r>
        <w:rPr>
          <w:rFonts w:hint="eastAsia" w:ascii="宋体" w:hAnsi="宋体" w:eastAsia="宋体" w:cs="宋体"/>
          <w:sz w:val="21"/>
          <w:szCs w:val="21"/>
        </w:rPr>
        <w:t>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由供方负责派人负责设备的现场安装和调试，按合同规定的时间交货、安装、调试、验收完毕。在设备的安装</w:t>
      </w:r>
      <w:r>
        <w:rPr>
          <w:rFonts w:hint="eastAsia" w:ascii="宋体" w:hAnsi="宋体" w:eastAsia="宋体" w:cs="宋体"/>
          <w:sz w:val="21"/>
          <w:szCs w:val="21"/>
          <w:highlight w:val="none"/>
        </w:rPr>
        <w:t>、调试、试运行期间</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供方安装调试人员一切费用自理。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5.4</w:t>
      </w:r>
      <w:r>
        <w:rPr>
          <w:rFonts w:hint="eastAsia" w:ascii="宋体" w:hAnsi="宋体" w:eastAsia="宋体" w:cs="宋体"/>
          <w:sz w:val="21"/>
          <w:szCs w:val="21"/>
          <w:highlight w:val="none"/>
        </w:rPr>
        <w:t>验收标准：按国家相关技术标准或企业标准验收，经检定或校准合格。</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验收方式：</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sz w:val="21"/>
          <w:szCs w:val="21"/>
          <w:highlight w:val="none"/>
          <w:lang w:val="en-US" w:eastAsia="zh-CN"/>
        </w:rPr>
        <w:t>5.5.1</w:t>
      </w:r>
      <w:r>
        <w:rPr>
          <w:rFonts w:hint="eastAsia" w:ascii="宋体" w:hAnsi="宋体" w:eastAsia="宋体" w:cs="宋体"/>
          <w:sz w:val="21"/>
          <w:szCs w:val="21"/>
          <w:highlight w:val="none"/>
        </w:rPr>
        <w:t>货物为原厂商未启封全新包装，具有出厂合格证，序列号、包装箱号与出厂批号一致，并可追索查阅。所有随设备的附件必须齐全。收货时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按照采购人的通知，共同开箱检验，要求对全部货物、</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rPr>
        <w:t>产品、型号、规格、注册证名称</w:t>
      </w:r>
      <w:r>
        <w:rPr>
          <w:rFonts w:hint="eastAsia" w:ascii="宋体" w:hAnsi="宋体" w:cs="宋体"/>
          <w:sz w:val="21"/>
          <w:szCs w:val="21"/>
          <w:highlight w:val="none"/>
          <w:lang w:eastAsia="zh-CN"/>
        </w:rPr>
        <w:t>、</w:t>
      </w:r>
      <w:r>
        <w:rPr>
          <w:rFonts w:hint="eastAsia" w:ascii="宋体" w:hAnsi="宋体" w:cs="宋体"/>
          <w:lang w:val="en-US" w:eastAsia="zh-CN"/>
        </w:rPr>
        <w:t>注册证号、</w:t>
      </w:r>
      <w:r>
        <w:rPr>
          <w:rFonts w:hint="eastAsia" w:ascii="宋体" w:hAnsi="宋体" w:eastAsia="宋体" w:cs="宋体"/>
          <w:sz w:val="21"/>
          <w:szCs w:val="21"/>
          <w:highlight w:val="none"/>
        </w:rPr>
        <w:t>数量、</w:t>
      </w:r>
      <w:r>
        <w:rPr>
          <w:rFonts w:hint="eastAsia" w:ascii="宋体" w:hAnsi="宋体" w:eastAsia="宋体" w:cs="宋体"/>
          <w:sz w:val="21"/>
          <w:szCs w:val="21"/>
          <w:highlight w:val="none"/>
          <w:lang w:val="en-US" w:eastAsia="zh-CN"/>
        </w:rPr>
        <w:t>产地厂家、</w:t>
      </w:r>
      <w:r>
        <w:rPr>
          <w:rFonts w:hint="eastAsia" w:ascii="宋体" w:hAnsi="宋体" w:eastAsia="宋体" w:cs="宋体"/>
          <w:sz w:val="21"/>
          <w:szCs w:val="21"/>
          <w:highlight w:val="none"/>
        </w:rPr>
        <w:t>外型、外观、包装及资料、文件（如装箱单、保修单、随箱介质等）的验收。货物验收完毕，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向采购人递交货物验收清单，由双方代表签字生效。验收中如发现有质量不合格或型号规格、数量等与送货清单不符、提交的技术文件和资料不完整等情形，</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应免费更换或补齐，并承担因此发生的违约责任。</w:t>
      </w:r>
      <w:r>
        <w:rPr>
          <w:rFonts w:hint="eastAsia" w:ascii="宋体" w:hAnsi="宋体" w:cs="宋体"/>
          <w:color w:val="000000"/>
          <w:szCs w:val="21"/>
          <w:highlight w:val="none"/>
        </w:rPr>
        <w:t>除采购人认可，否则不接受任何形式的降格处理。</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5.5.2</w:t>
      </w:r>
      <w:r>
        <w:rPr>
          <w:rFonts w:hint="eastAsia" w:ascii="宋体" w:hAnsi="宋体" w:cs="宋体"/>
          <w:color w:val="000000"/>
          <w:szCs w:val="21"/>
          <w:highlight w:val="none"/>
        </w:rPr>
        <w:t>中标人将货物的用户手册、保修手册、有关单证资料及备品备件、随机工具等交付给采购人，使用操作及安全须知等重要资料应附有中文说明。</w:t>
      </w:r>
    </w:p>
    <w:p>
      <w:pPr>
        <w:numPr>
          <w:ilvl w:val="0"/>
          <w:numId w:val="0"/>
        </w:numPr>
        <w:adjustRightInd w:val="0"/>
        <w:snapToGrid w:val="0"/>
        <w:spacing w:line="384"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5.5.3</w:t>
      </w:r>
      <w:r>
        <w:rPr>
          <w:rFonts w:hint="eastAsia" w:ascii="宋体" w:hAnsi="宋体" w:cs="宋体"/>
          <w:color w:val="000000"/>
          <w:szCs w:val="21"/>
          <w:highlight w:val="none"/>
        </w:rPr>
        <w:t>货物验收所发生的检验费用由中标人负担。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5.5.4</w:t>
      </w:r>
      <w:r>
        <w:rPr>
          <w:rFonts w:hint="eastAsia" w:ascii="宋体" w:hAnsi="宋体" w:cs="宋体"/>
        </w:rPr>
        <w:t>进口产品必须具备省级（或相当于省级）商检部门的检验证明。</w:t>
      </w:r>
    </w:p>
    <w:p>
      <w:pPr>
        <w:keepNext w:val="0"/>
        <w:keepLines w:val="0"/>
        <w:pageBreakBefore w:val="0"/>
        <w:shd w:val="clear" w:color="auto" w:fill="FFFFFF"/>
        <w:kinsoku/>
        <w:wordWrap/>
        <w:overflowPunct/>
        <w:topLinePunct w:val="0"/>
        <w:bidi w:val="0"/>
        <w:adjustRightInd w:val="0"/>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5.5.5</w:t>
      </w:r>
      <w:r>
        <w:rPr>
          <w:rFonts w:hint="eastAsia" w:ascii="宋体" w:hAnsi="宋体" w:cs="宋体"/>
          <w:color w:val="000000"/>
          <w:szCs w:val="21"/>
          <w:highlight w:val="none"/>
        </w:rPr>
        <w:t>设备到货并经中标人技术人员安装后，采购人有权委托中国有资格的单位对上述设备进行校准或检验，设备校准或检验所需的费用由中标人负担。</w:t>
      </w:r>
    </w:p>
    <w:p>
      <w:pPr>
        <w:keepNext w:val="0"/>
        <w:keepLines w:val="0"/>
        <w:pageBreakBefore w:val="0"/>
        <w:shd w:val="clear" w:color="auto" w:fill="FFFFFF"/>
        <w:kinsoku/>
        <w:wordWrap/>
        <w:overflowPunct/>
        <w:topLinePunct w:val="0"/>
        <w:bidi w:val="0"/>
        <w:adjustRightInd w:val="0"/>
        <w:snapToGrid w:val="0"/>
        <w:spacing w:line="360" w:lineRule="auto"/>
        <w:rPr>
          <w:rFonts w:hint="default" w:eastAsia="楷体_GB2312"/>
          <w:lang w:val="en-US" w:eastAsia="zh-CN"/>
        </w:rPr>
      </w:pPr>
      <w:r>
        <w:rPr>
          <w:rFonts w:hint="eastAsia" w:ascii="宋体" w:hAnsi="宋体" w:cs="宋体"/>
          <w:color w:val="000000"/>
          <w:szCs w:val="21"/>
          <w:highlight w:val="none"/>
          <w:lang w:val="en-US" w:eastAsia="zh-CN"/>
        </w:rPr>
        <w:t>5.6</w:t>
      </w:r>
      <w:r>
        <w:rPr>
          <w:rFonts w:hint="eastAsia" w:ascii="宋体" w:hAnsi="宋体" w:cs="宋体"/>
          <w:color w:val="000000"/>
          <w:szCs w:val="21"/>
          <w:highlight w:val="none"/>
        </w:rPr>
        <w:t>乙方保证合同项下提供的设备不侵犯任何第三方的专利、商标或版权。否则，乙方须承担对第三方的专利或版权的侵权责任并承担因此而发生的所有费用。</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 xml:space="preserve">6.4 </w:t>
      </w:r>
      <w:r>
        <w:rPr>
          <w:rFonts w:hint="eastAsia" w:ascii="宋体" w:hAnsi="宋体" w:eastAsia="宋体" w:cs="宋体"/>
          <w:sz w:val="21"/>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w:t>
      </w:r>
    </w:p>
    <w:p>
      <w:pPr>
        <w:pageBreakBefore w:val="0"/>
        <w:kinsoku/>
        <w:overflowPunct/>
        <w:topLinePunct w:val="0"/>
        <w:bidi w:val="0"/>
        <w:snapToGrid w:val="0"/>
        <w:spacing w:line="360" w:lineRule="auto"/>
        <w:ind w:left="0" w:leftChars="0" w:firstLine="0" w:firstLineChars="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lang w:val="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如该设备需要联接相关信息系统，中标人必须协调设备厂家配合信息系统提供方，联接调试好信息系统，并负责支付相关费用。</w:t>
      </w:r>
    </w:p>
    <w:p>
      <w:pPr>
        <w:pStyle w:val="2"/>
      </w:pP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9.2.1</w:t>
      </w:r>
      <w:r>
        <w:rPr>
          <w:rFonts w:hint="eastAsia" w:ascii="宋体" w:hAnsi="宋体" w:cs="宋体"/>
        </w:rPr>
        <w:t>乙方同意退货，并按合同规定的同种货币将货款退还给甲方，并承担由此发生的一切损失和费用。</w:t>
      </w:r>
    </w:p>
    <w:p>
      <w:pPr>
        <w:pageBreakBefore w:val="0"/>
        <w:kinsoku/>
        <w:overflowPunct/>
        <w:topLinePunct w:val="0"/>
        <w:bidi w:val="0"/>
        <w:snapToGrid w:val="0"/>
        <w:spacing w:line="360" w:lineRule="auto"/>
        <w:rPr>
          <w:rFonts w:ascii="宋体" w:hAnsi="宋体"/>
        </w:rPr>
      </w:pPr>
      <w:r>
        <w:rPr>
          <w:rFonts w:hint="eastAsia" w:ascii="宋体" w:hAnsi="宋体"/>
          <w:lang w:val="en-US" w:eastAsia="zh-CN"/>
        </w:rPr>
        <w:t>9.2.2</w:t>
      </w:r>
      <w:r>
        <w:rPr>
          <w:rFonts w:hint="eastAsia" w:ascii="宋体" w:hAnsi="宋体" w:cs="宋体"/>
        </w:rPr>
        <w:t>根据货物低劣程度、损坏程度以及甲方所遭受损失的数额甲乙双方商定降低货物的价格。</w:t>
      </w:r>
    </w:p>
    <w:p>
      <w:pPr>
        <w:pageBreakBefore w:val="0"/>
        <w:kinsoku/>
        <w:overflowPunct/>
        <w:topLinePunct w:val="0"/>
        <w:bidi w:val="0"/>
        <w:snapToGrid w:val="0"/>
        <w:spacing w:line="360" w:lineRule="auto"/>
        <w:rPr>
          <w:rFonts w:ascii="宋体" w:hAnsi="宋体"/>
        </w:rPr>
      </w:pPr>
      <w:r>
        <w:rPr>
          <w:rFonts w:hint="eastAsia" w:ascii="宋体" w:hAnsi="宋体" w:cs="宋体"/>
          <w:lang w:val="en-US" w:eastAsia="zh-CN"/>
        </w:rPr>
        <w:t>9.2.3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pageBreakBefore w:val="0"/>
        <w:kinsoku/>
        <w:overflowPunct/>
        <w:topLinePunct w:val="0"/>
        <w:bidi w:val="0"/>
        <w:snapToGrid w:val="0"/>
        <w:spacing w:line="360" w:lineRule="auto"/>
        <w:ind w:left="0" w:leftChars="0" w:firstLine="0" w:firstLineChars="0"/>
        <w:rPr>
          <w:rFonts w:ascii="宋体" w:hAnsi="宋体"/>
        </w:rPr>
      </w:pPr>
      <w:r>
        <w:rPr>
          <w:rFonts w:ascii="宋体" w:hAnsi="宋体"/>
        </w:rPr>
        <w:t>9.</w:t>
      </w:r>
      <w:r>
        <w:rPr>
          <w:rFonts w:hint="eastAsia" w:ascii="宋体" w:hAnsi="宋体"/>
          <w:lang w:val="en-US" w:eastAsia="zh-CN"/>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pageBreakBefore w:val="0"/>
        <w:kinsoku/>
        <w:overflowPunct/>
        <w:topLinePunct w:val="0"/>
        <w:bidi w:val="0"/>
        <w:snapToGrid w:val="0"/>
        <w:spacing w:line="36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pageBreakBefore w:val="0"/>
        <w:kinsoku/>
        <w:overflowPunct/>
        <w:topLinePunct w:val="0"/>
        <w:bidi w:val="0"/>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pageBreakBefore w:val="0"/>
        <w:kinsoku/>
        <w:overflowPunct/>
        <w:topLinePunct w:val="0"/>
        <w:bidi w:val="0"/>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pageBreakBefore w:val="0"/>
        <w:kinsoku/>
        <w:overflowPunct/>
        <w:topLinePunct w:val="0"/>
        <w:bidi w:val="0"/>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w:t>
      </w:r>
      <w:r>
        <w:rPr>
          <w:rFonts w:hint="eastAsia" w:ascii="宋体" w:hAnsi="宋体" w:cs="宋体"/>
        </w:rPr>
        <w:t>合同自签字之日起即时生效。</w:t>
      </w:r>
    </w:p>
    <w:p>
      <w:pPr>
        <w:pageBreakBefore w:val="0"/>
        <w:kinsoku/>
        <w:overflowPunct/>
        <w:topLinePunct w:val="0"/>
        <w:bidi w:val="0"/>
        <w:snapToGrid w:val="0"/>
        <w:spacing w:line="360" w:lineRule="auto"/>
        <w:ind w:left="420" w:hanging="420"/>
        <w:rPr>
          <w:rFonts w:hint="eastAsia" w:ascii="宋体" w:hAnsi="宋体" w:eastAsia="宋体"/>
          <w:lang w:eastAsia="zh-CN"/>
        </w:rPr>
      </w:pPr>
      <w:r>
        <w:rPr>
          <w:rFonts w:ascii="宋体" w:hAnsi="宋体"/>
        </w:rPr>
        <w:t>13.2</w:t>
      </w:r>
      <w:r>
        <w:rPr>
          <w:rFonts w:hint="eastAsia" w:ascii="宋体" w:hAnsi="宋体" w:cs="宋体"/>
        </w:rPr>
        <w:t>下列文件是本合同的一部分，并与本合同一起阅读和解释</w:t>
      </w:r>
      <w:r>
        <w:rPr>
          <w:rFonts w:hint="eastAsia" w:ascii="宋体" w:hAnsi="宋体" w:cs="宋体"/>
          <w:lang w:eastAsia="zh-CN"/>
        </w:rPr>
        <w:t>：</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13.2.2 </w:t>
      </w:r>
      <w:r>
        <w:rPr>
          <w:rFonts w:hint="eastAsia" w:ascii="宋体" w:hAnsi="宋体" w:cs="宋体"/>
        </w:rPr>
        <w:t>资格声明函；</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13.2.3 </w:t>
      </w:r>
      <w:r>
        <w:rPr>
          <w:rFonts w:hint="eastAsia" w:ascii="宋体" w:hAnsi="宋体" w:cs="宋体"/>
        </w:rPr>
        <w:t>中标通知书；</w:t>
      </w:r>
    </w:p>
    <w:p>
      <w:pPr>
        <w:pageBreakBefore w:val="0"/>
        <w:kinsoku/>
        <w:overflowPunct/>
        <w:topLinePunct w:val="0"/>
        <w:bidi w:val="0"/>
        <w:snapToGrid w:val="0"/>
        <w:spacing w:line="36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pageBreakBefore w:val="0"/>
        <w:kinsoku/>
        <w:overflowPunct/>
        <w:topLinePunct w:val="0"/>
        <w:bidi w:val="0"/>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pageBreakBefore w:val="0"/>
        <w:kinsoku/>
        <w:overflowPunct/>
        <w:topLinePunct w:val="0"/>
        <w:bidi w:val="0"/>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pageBreakBefore w:val="0"/>
        <w:kinsoku/>
        <w:overflowPunct/>
        <w:topLinePunct w:val="0"/>
        <w:bidi w:val="0"/>
        <w:snapToGrid w:val="0"/>
        <w:spacing w:line="36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pageBreakBefore w:val="0"/>
        <w:kinsoku/>
        <w:overflowPunct/>
        <w:topLinePunct w:val="0"/>
        <w:bidi w:val="0"/>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pageBreakBefore w:val="0"/>
        <w:kinsoku/>
        <w:overflowPunct/>
        <w:topLinePunct w:val="0"/>
        <w:bidi w:val="0"/>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pageBreakBefore w:val="0"/>
        <w:kinsoku/>
        <w:overflowPunct/>
        <w:topLinePunct w:val="0"/>
        <w:bidi w:val="0"/>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pageBreakBefore w:val="0"/>
        <w:kinsoku/>
        <w:overflowPunct/>
        <w:topLinePunct w:val="0"/>
        <w:bidi w:val="0"/>
        <w:snapToGrid w:val="0"/>
        <w:spacing w:line="36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pageBreakBefore w:val="0"/>
        <w:kinsoku/>
        <w:overflowPunct/>
        <w:topLinePunct w:val="0"/>
        <w:bidi w:val="0"/>
        <w:spacing w:line="360" w:lineRule="auto"/>
        <w:jc w:val="center"/>
        <w:rPr>
          <w:rFonts w:hint="eastAsia" w:ascii="宋体" w:hAnsi="宋体"/>
          <w:b/>
          <w:sz w:val="28"/>
          <w:szCs w:val="30"/>
        </w:rPr>
      </w:pPr>
    </w:p>
    <w:p>
      <w:pPr>
        <w:pageBreakBefore w:val="0"/>
        <w:kinsoku/>
        <w:overflowPunct/>
        <w:topLinePunct w:val="0"/>
        <w:bidi w:val="0"/>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pageBreakBefore w:val="0"/>
        <w:kinsoku/>
        <w:overflowPunct/>
        <w:topLinePunct w:val="0"/>
        <w:bidi w:val="0"/>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一、甲乙双方按照《</w:t>
      </w:r>
      <w:r>
        <w:rPr>
          <w:rFonts w:hint="eastAsia" w:ascii="宋体" w:hAnsi="宋体"/>
          <w:szCs w:val="21"/>
          <w:lang w:val="en-US" w:eastAsia="zh-CN"/>
        </w:rPr>
        <w:t>民法典</w:t>
      </w:r>
      <w:r>
        <w:rPr>
          <w:rFonts w:hint="eastAsia" w:ascii="宋体" w:hAnsi="宋体"/>
          <w:szCs w:val="21"/>
        </w:rPr>
        <w:t>》及医药产品购销合同约定购销药品、医用设备、医用耗材等医药产品。</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pageBreakBefore w:val="0"/>
        <w:kinsoku/>
        <w:overflowPunct/>
        <w:topLinePunct w:val="0"/>
        <w:bidi w:val="0"/>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pageBreakBefore w:val="0"/>
        <w:kinsoku/>
        <w:overflowPunct/>
        <w:topLinePunct w:val="0"/>
        <w:bidi w:val="0"/>
        <w:spacing w:line="360" w:lineRule="auto"/>
        <w:ind w:firstLine="315" w:firstLineChars="150"/>
        <w:rPr>
          <w:rFonts w:ascii="宋体" w:hAnsi="宋体"/>
          <w:szCs w:val="21"/>
        </w:rPr>
      </w:pPr>
      <w:r>
        <w:rPr>
          <w:rFonts w:hint="eastAsia" w:ascii="宋体" w:hAnsi="宋体"/>
          <w:szCs w:val="21"/>
        </w:rPr>
        <w:t>十、本合同一式</w:t>
      </w:r>
      <w:r>
        <w:rPr>
          <w:rFonts w:hint="eastAsia" w:ascii="宋体" w:hAnsi="宋体"/>
          <w:szCs w:val="21"/>
          <w:lang w:val="en-US" w:eastAsia="zh-CN"/>
        </w:rPr>
        <w:t>陆</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伍</w:t>
      </w:r>
      <w:r>
        <w:rPr>
          <w:rFonts w:hint="eastAsia" w:ascii="宋体" w:hAnsi="宋体"/>
          <w:szCs w:val="21"/>
        </w:rPr>
        <w:t>份，乙方执</w:t>
      </w:r>
      <w:r>
        <w:rPr>
          <w:rFonts w:hint="eastAsia" w:ascii="宋体" w:hAnsi="宋体"/>
          <w:szCs w:val="21"/>
          <w:lang w:val="en-US" w:eastAsia="zh-CN"/>
        </w:rPr>
        <w:t>壹</w:t>
      </w:r>
      <w:r>
        <w:rPr>
          <w:rFonts w:hint="eastAsia" w:ascii="宋体" w:hAnsi="宋体"/>
          <w:szCs w:val="21"/>
        </w:rPr>
        <w:t>份，并从签订之日起生效。</w:t>
      </w:r>
    </w:p>
    <w:p>
      <w:pPr>
        <w:pageBreakBefore w:val="0"/>
        <w:kinsoku/>
        <w:overflowPunct/>
        <w:topLinePunct w:val="0"/>
        <w:bidi w:val="0"/>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pageBreakBefore w:val="0"/>
        <w:kinsoku/>
        <w:overflowPunct/>
        <w:topLinePunct w:val="0"/>
        <w:bidi w:val="0"/>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pageBreakBefore w:val="0"/>
        <w:kinsoku/>
        <w:overflowPunct/>
        <w:topLinePunct w:val="0"/>
        <w:bidi w:val="0"/>
        <w:spacing w:line="36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pageBreakBefore w:val="0"/>
        <w:kinsoku/>
        <w:overflowPunct/>
        <w:topLinePunct w:val="0"/>
        <w:bidi w:val="0"/>
        <w:spacing w:line="36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pageBreakBefore w:val="0"/>
        <w:kinsoku/>
        <w:overflowPunct/>
        <w:topLinePunct w:val="0"/>
        <w:bidi w:val="0"/>
        <w:spacing w:line="360" w:lineRule="auto"/>
        <w:jc w:val="center"/>
        <w:outlineLvl w:val="0"/>
        <w:rPr>
          <w:rFonts w:hint="eastAsia" w:eastAsia="黑体"/>
          <w:b/>
          <w:sz w:val="44"/>
        </w:rPr>
      </w:pPr>
    </w:p>
    <w:p>
      <w:pPr>
        <w:pStyle w:val="3"/>
        <w:pageBreakBefore w:val="0"/>
        <w:kinsoku/>
        <w:overflowPunct/>
        <w:topLinePunct w:val="0"/>
        <w:bidi w:val="0"/>
        <w:spacing w:line="360" w:lineRule="auto"/>
        <w:ind w:right="47"/>
        <w:jc w:val="center"/>
        <w:rPr>
          <w:rFonts w:ascii="Helvetica" w:hAnsi="Helvetica" w:cs="Helvetica"/>
          <w:b w:val="0"/>
          <w:bCs/>
          <w:color w:val="222222"/>
          <w:kern w:val="0"/>
          <w:sz w:val="27"/>
          <w:szCs w:val="27"/>
        </w:rPr>
      </w:pPr>
    </w:p>
    <w:p>
      <w:pPr>
        <w:pageBreakBefore w:val="0"/>
        <w:widowControl/>
        <w:kinsoku/>
        <w:overflowPunct/>
        <w:topLinePunct w:val="0"/>
        <w:bidi w:val="0"/>
        <w:spacing w:line="360" w:lineRule="auto"/>
        <w:jc w:val="left"/>
        <w:rPr>
          <w:rFonts w:ascii="Helvetica" w:hAnsi="Helvetica" w:cs="Helvetica"/>
          <w:b/>
          <w:bCs/>
          <w:color w:val="222222"/>
          <w:kern w:val="0"/>
          <w:sz w:val="27"/>
          <w:szCs w:val="27"/>
        </w:rPr>
      </w:pPr>
    </w:p>
    <w:p>
      <w:pPr>
        <w:pageBreakBefore w:val="0"/>
        <w:kinsoku/>
        <w:overflowPunct/>
        <w:topLinePunct w:val="0"/>
        <w:bidi w:val="0"/>
        <w:spacing w:line="360" w:lineRule="auto"/>
        <w:jc w:val="center"/>
        <w:rPr>
          <w:rFonts w:hint="eastAsia" w:eastAsia="黑体"/>
          <w:b/>
          <w:sz w:val="44"/>
        </w:rPr>
      </w:pPr>
      <w:r>
        <w:rPr>
          <w:rFonts w:hint="eastAsia" w:eastAsia="黑体"/>
          <w:b/>
          <w:sz w:val="44"/>
        </w:rPr>
        <w:t>第六部分：投标文件格式</w:t>
      </w: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center"/>
        <w:rPr>
          <w:rFonts w:hint="eastAsia" w:eastAsia="黑体"/>
          <w:b/>
          <w:sz w:val="44"/>
        </w:rPr>
      </w:pPr>
    </w:p>
    <w:p>
      <w:pPr>
        <w:pageBreakBefore w:val="0"/>
        <w:kinsoku/>
        <w:overflowPunct/>
        <w:topLinePunct w:val="0"/>
        <w:bidi w:val="0"/>
        <w:spacing w:line="360" w:lineRule="auto"/>
        <w:jc w:val="left"/>
        <w:rPr>
          <w:rFonts w:ascii="宋体" w:hAnsi="宋体"/>
        </w:rPr>
      </w:pPr>
    </w:p>
    <w:p>
      <w:pPr>
        <w:pageBreakBefore w:val="0"/>
        <w:kinsoku/>
        <w:overflowPunct/>
        <w:topLinePunct w:val="0"/>
        <w:bidi w:val="0"/>
        <w:spacing w:line="360" w:lineRule="auto"/>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二、  投标资格文件</w:t>
      </w:r>
    </w:p>
    <w:p>
      <w:pPr>
        <w:pageBreakBefore w:val="0"/>
        <w:kinsoku/>
        <w:overflowPunct/>
        <w:topLinePunct w:val="0"/>
        <w:bidi w:val="0"/>
        <w:spacing w:line="360" w:lineRule="auto"/>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四、  商务响应文件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六、  投标报价文件</w:t>
      </w:r>
    </w:p>
    <w:p>
      <w:pPr>
        <w:pageBreakBefore w:val="0"/>
        <w:kinsoku/>
        <w:overflowPunct/>
        <w:topLinePunct w:val="0"/>
        <w:bidi w:val="0"/>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pageBreakBefore w:val="0"/>
        <w:kinsoku/>
        <w:overflowPunct/>
        <w:topLinePunct w:val="0"/>
        <w:bidi w:val="0"/>
        <w:spacing w:line="360" w:lineRule="auto"/>
        <w:jc w:val="left"/>
        <w:rPr>
          <w:rFonts w:hint="eastAsia" w:ascii="宋体" w:hAnsi="宋体"/>
          <w:sz w:val="28"/>
          <w:szCs w:val="28"/>
        </w:rPr>
      </w:pPr>
    </w:p>
    <w:p>
      <w:pPr>
        <w:pageBreakBefore w:val="0"/>
        <w:kinsoku/>
        <w:overflowPunct/>
        <w:topLinePunct w:val="0"/>
        <w:bidi w:val="0"/>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pageBreakBefore w:val="0"/>
        <w:tabs>
          <w:tab w:val="left" w:pos="284"/>
          <w:tab w:val="left" w:pos="851"/>
        </w:tabs>
        <w:kinsoku/>
        <w:overflowPunct/>
        <w:topLinePunct w:val="0"/>
        <w:bidi w:val="0"/>
        <w:spacing w:line="360" w:lineRule="auto"/>
        <w:jc w:val="left"/>
        <w:rPr>
          <w:rFonts w:hint="eastAsia" w:ascii="宋体" w:hAnsi="宋体"/>
          <w:sz w:val="28"/>
          <w:szCs w:val="28"/>
          <w:lang w:val="zh-CN" w:eastAsia="zh-CN"/>
        </w:rPr>
      </w:pPr>
      <w:r>
        <w:rPr>
          <w:rFonts w:hint="eastAsia" w:ascii="宋体" w:hAnsi="宋体"/>
          <w:sz w:val="28"/>
          <w:szCs w:val="28"/>
        </w:rPr>
        <w:t>2. 开标一览表</w:t>
      </w:r>
      <w:r>
        <w:rPr>
          <w:rFonts w:hint="eastAsia" w:ascii="宋体" w:hAnsi="宋体"/>
          <w:sz w:val="28"/>
          <w:szCs w:val="28"/>
          <w:lang w:eastAsia="zh-CN"/>
        </w:rPr>
        <w:t>、</w:t>
      </w:r>
      <w:r>
        <w:rPr>
          <w:rFonts w:hint="eastAsia" w:ascii="宋体" w:hAnsi="宋体"/>
          <w:sz w:val="28"/>
          <w:szCs w:val="28"/>
          <w:lang w:val="zh-CN" w:eastAsia="zh-CN"/>
        </w:rPr>
        <w:t>投标分项报价表、电子文件（</w:t>
      </w:r>
      <w:r>
        <w:rPr>
          <w:rFonts w:hint="eastAsia" w:ascii="宋体" w:hAnsi="宋体"/>
          <w:sz w:val="28"/>
          <w:szCs w:val="28"/>
          <w:lang w:val="en-US" w:eastAsia="zh-CN"/>
        </w:rPr>
        <w:t>投标文件电子版</w:t>
      </w:r>
      <w:r>
        <w:rPr>
          <w:rFonts w:hint="eastAsia" w:ascii="宋体" w:hAnsi="宋体"/>
          <w:sz w:val="28"/>
          <w:szCs w:val="28"/>
          <w:lang w:val="zh-CN" w:eastAsia="zh-CN"/>
        </w:rPr>
        <w:t>, 电子文件采用光盘或U盘储存，其中经济部分文件</w:t>
      </w:r>
      <w:r>
        <w:rPr>
          <w:rFonts w:hint="eastAsia" w:ascii="宋体" w:hAnsi="宋体"/>
          <w:sz w:val="28"/>
          <w:szCs w:val="28"/>
          <w:lang w:val="en-US" w:eastAsia="zh-CN"/>
        </w:rPr>
        <w:t>及</w:t>
      </w:r>
      <w:r>
        <w:rPr>
          <w:rFonts w:hint="eastAsia" w:ascii="宋体" w:hAnsi="宋体"/>
          <w:sz w:val="28"/>
          <w:szCs w:val="28"/>
          <w:lang w:val="zh-CN" w:eastAsia="zh-CN"/>
        </w:rPr>
        <w:t>货物说明一览表需用MS Office的Excel格式提供）单独封装在开标信封中。</w:t>
      </w:r>
    </w:p>
    <w:p>
      <w:pPr>
        <w:pageBreakBefore w:val="0"/>
        <w:kinsoku/>
        <w:overflowPunct/>
        <w:topLinePunct w:val="0"/>
        <w:bidi w:val="0"/>
        <w:spacing w:line="360" w:lineRule="auto"/>
        <w:jc w:val="center"/>
        <w:rPr>
          <w:rFonts w:ascii="宋体" w:hAnsi="宋体"/>
        </w:rPr>
      </w:pPr>
      <w:r>
        <w:rPr>
          <w:rFonts w:ascii="宋体" w:hAnsi="宋体"/>
        </w:rPr>
        <w:br w:type="page"/>
      </w: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ascii="宋体" w:hAnsi="宋体"/>
        </w:rPr>
      </w:pPr>
    </w:p>
    <w:p>
      <w:pPr>
        <w:pageBreakBefore w:val="0"/>
        <w:kinsoku/>
        <w:overflowPunct/>
        <w:topLinePunct w:val="0"/>
        <w:bidi w:val="0"/>
        <w:spacing w:line="360" w:lineRule="auto"/>
        <w:jc w:val="center"/>
        <w:rPr>
          <w:rFonts w:hint="eastAsia" w:ascii="宋体" w:hAnsi="宋体"/>
          <w:sz w:val="47"/>
        </w:rPr>
      </w:pPr>
    </w:p>
    <w:p>
      <w:pPr>
        <w:pageBreakBefore w:val="0"/>
        <w:kinsoku/>
        <w:overflowPunct/>
        <w:topLinePunct w:val="0"/>
        <w:autoSpaceDE w:val="0"/>
        <w:autoSpaceDN w:val="0"/>
        <w:bidi w:val="0"/>
        <w:adjustRightInd w:val="0"/>
        <w:spacing w:line="360" w:lineRule="auto"/>
        <w:jc w:val="center"/>
        <w:rPr>
          <w:rFonts w:ascii="宋体" w:hAnsi="宋体"/>
          <w:b/>
          <w:sz w:val="32"/>
          <w:szCs w:val="32"/>
        </w:rPr>
      </w:pPr>
    </w:p>
    <w:p>
      <w:pPr>
        <w:pageBreakBefore w:val="0"/>
        <w:kinsoku/>
        <w:overflowPunct/>
        <w:topLinePunct w:val="0"/>
        <w:autoSpaceDE w:val="0"/>
        <w:autoSpaceDN w:val="0"/>
        <w:bidi w:val="0"/>
        <w:adjustRightInd w:val="0"/>
        <w:spacing w:line="360" w:lineRule="auto"/>
        <w:jc w:val="center"/>
        <w:rPr>
          <w:rFonts w:ascii="宋体" w:hAnsi="宋体"/>
          <w:b/>
          <w:sz w:val="84"/>
          <w:szCs w:val="84"/>
        </w:rPr>
      </w:pPr>
      <w:r>
        <w:rPr>
          <w:rFonts w:hint="eastAsia" w:ascii="宋体" w:hAnsi="宋体"/>
          <w:b/>
          <w:sz w:val="84"/>
          <w:szCs w:val="84"/>
        </w:rPr>
        <w:t>投标文件</w:t>
      </w:r>
    </w:p>
    <w:p>
      <w:pPr>
        <w:pageBreakBefore w:val="0"/>
        <w:kinsoku/>
        <w:overflowPunct/>
        <w:topLinePunct w:val="0"/>
        <w:bidi w:val="0"/>
        <w:spacing w:line="360" w:lineRule="auto"/>
        <w:jc w:val="center"/>
        <w:rPr>
          <w:rFonts w:ascii="宋体" w:hAnsi="宋体"/>
          <w:sz w:val="47"/>
        </w:rPr>
      </w:pPr>
      <w:r>
        <w:rPr>
          <w:rFonts w:hint="eastAsia" w:ascii="宋体" w:hAnsi="宋体"/>
          <w:sz w:val="47"/>
        </w:rPr>
        <w:t>（正本/副本）</w:t>
      </w: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kinsoku/>
        <w:overflowPunct/>
        <w:topLinePunct w:val="0"/>
        <w:autoSpaceDE w:val="0"/>
        <w:autoSpaceDN w:val="0"/>
        <w:bidi w:val="0"/>
        <w:adjustRightInd w:val="0"/>
        <w:spacing w:line="360" w:lineRule="auto"/>
        <w:jc w:val="center"/>
        <w:rPr>
          <w:rFonts w:ascii="宋体" w:hAnsi="宋体"/>
          <w:b/>
          <w:bCs/>
          <w:sz w:val="24"/>
        </w:rPr>
      </w:pPr>
    </w:p>
    <w:p>
      <w:pPr>
        <w:pageBreakBefore w:val="0"/>
        <w:tabs>
          <w:tab w:val="left" w:pos="7230"/>
        </w:tabs>
        <w:kinsoku/>
        <w:overflowPunct/>
        <w:topLinePunct w:val="0"/>
        <w:bidi w:val="0"/>
        <w:spacing w:line="360" w:lineRule="auto"/>
        <w:ind w:firstLine="955" w:firstLineChars="398"/>
        <w:rPr>
          <w:rFonts w:ascii="宋体" w:hAnsi="宋体"/>
          <w:b/>
          <w:bCs/>
          <w:sz w:val="24"/>
        </w:rPr>
      </w:pPr>
    </w:p>
    <w:p>
      <w:pPr>
        <w:pageBreakBefore w:val="0"/>
        <w:kinsoku/>
        <w:overflowPunct/>
        <w:topLinePunct w:val="0"/>
        <w:bidi w:val="0"/>
        <w:spacing w:line="360" w:lineRule="auto"/>
        <w:ind w:firstLine="1920" w:firstLineChars="600"/>
        <w:jc w:val="both"/>
        <w:rPr>
          <w:rFonts w:hint="eastAsia" w:ascii="宋体" w:hAnsi="宋体"/>
          <w:sz w:val="32"/>
          <w:szCs w:val="32"/>
          <w:lang w:val="en-US" w:eastAsia="zh-CN"/>
        </w:rPr>
      </w:pPr>
      <w:r>
        <w:rPr>
          <w:rFonts w:hint="eastAsia" w:ascii="宋体" w:hAnsi="宋体"/>
          <w:sz w:val="32"/>
          <w:szCs w:val="32"/>
        </w:rPr>
        <w:t>项目名称：</w:t>
      </w:r>
      <w:r>
        <w:rPr>
          <w:rFonts w:hint="eastAsia" w:ascii="宋体" w:hAnsi="宋体"/>
          <w:sz w:val="32"/>
          <w:szCs w:val="32"/>
          <w:lang w:val="en-US" w:eastAsia="zh-CN"/>
        </w:rPr>
        <w:t>汕头大学医学院第一附属医院大鼠静脉</w:t>
      </w:r>
    </w:p>
    <w:p>
      <w:pPr>
        <w:pageBreakBefore w:val="0"/>
        <w:kinsoku/>
        <w:overflowPunct/>
        <w:topLinePunct w:val="0"/>
        <w:bidi w:val="0"/>
        <w:spacing w:line="360" w:lineRule="auto"/>
        <w:ind w:firstLine="3520" w:firstLineChars="1100"/>
        <w:jc w:val="both"/>
        <w:rPr>
          <w:rFonts w:hint="default" w:ascii="宋体" w:hAnsi="宋体"/>
          <w:sz w:val="32"/>
          <w:szCs w:val="32"/>
          <w:lang w:val="en-US" w:eastAsia="zh-CN"/>
        </w:rPr>
      </w:pPr>
      <w:r>
        <w:rPr>
          <w:rFonts w:hint="eastAsia" w:ascii="宋体" w:hAnsi="宋体"/>
          <w:sz w:val="32"/>
          <w:szCs w:val="32"/>
          <w:lang w:val="en-US" w:eastAsia="zh-CN"/>
        </w:rPr>
        <w:t>自身给药试验系统科教设备项目</w:t>
      </w:r>
    </w:p>
    <w:p>
      <w:pPr>
        <w:pageBreakBefore w:val="0"/>
        <w:kinsoku/>
        <w:overflowPunct/>
        <w:topLinePunct w:val="0"/>
        <w:bidi w:val="0"/>
        <w:spacing w:line="360" w:lineRule="auto"/>
        <w:ind w:firstLine="1920" w:firstLineChars="600"/>
        <w:jc w:val="both"/>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招标编号：</w:t>
      </w:r>
      <w:r>
        <w:rPr>
          <w:rFonts w:hint="eastAsia" w:ascii="宋体" w:hAnsi="宋体"/>
          <w:sz w:val="32"/>
          <w:szCs w:val="32"/>
          <w:lang w:val="en-US" w:eastAsia="zh-CN"/>
        </w:rPr>
        <w:t>SDFYY-ZCB2022010</w:t>
      </w:r>
    </w:p>
    <w:p>
      <w:pPr>
        <w:pageBreakBefore w:val="0"/>
        <w:kinsoku/>
        <w:overflowPunct/>
        <w:topLinePunct w:val="0"/>
        <w:bidi w:val="0"/>
        <w:spacing w:line="360" w:lineRule="auto"/>
        <w:jc w:val="center"/>
        <w:rPr>
          <w:rFonts w:hint="eastAsia" w:ascii="宋体" w:hAnsi="宋体"/>
          <w:sz w:val="36"/>
        </w:rPr>
      </w:pPr>
    </w:p>
    <w:p>
      <w:pPr>
        <w:pageBreakBefore w:val="0"/>
        <w:kinsoku/>
        <w:overflowPunct/>
        <w:topLinePunct w:val="0"/>
        <w:autoSpaceDE w:val="0"/>
        <w:autoSpaceDN w:val="0"/>
        <w:bidi w:val="0"/>
        <w:adjustRightInd w:val="0"/>
        <w:spacing w:line="360" w:lineRule="auto"/>
        <w:jc w:val="center"/>
        <w:rPr>
          <w:rFonts w:hint="eastAsia"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kinsoku/>
        <w:overflowPunct/>
        <w:topLinePunct w:val="0"/>
        <w:autoSpaceDE w:val="0"/>
        <w:autoSpaceDN w:val="0"/>
        <w:bidi w:val="0"/>
        <w:adjustRightInd w:val="0"/>
        <w:spacing w:line="360" w:lineRule="auto"/>
        <w:jc w:val="center"/>
        <w:rPr>
          <w:rFonts w:ascii="宋体" w:hAnsi="宋体"/>
          <w:szCs w:val="21"/>
        </w:rPr>
      </w:pPr>
    </w:p>
    <w:p>
      <w:pPr>
        <w:pageBreakBefore w:val="0"/>
        <w:tabs>
          <w:tab w:val="left" w:pos="284"/>
          <w:tab w:val="left" w:pos="851"/>
        </w:tabs>
        <w:kinsoku/>
        <w:overflowPunct/>
        <w:topLinePunct w:val="0"/>
        <w:bidi w:val="0"/>
        <w:spacing w:line="360" w:lineRule="auto"/>
        <w:jc w:val="center"/>
        <w:rPr>
          <w:rFonts w:ascii="宋体" w:hAnsi="宋体"/>
          <w:sz w:val="36"/>
        </w:rPr>
      </w:pPr>
    </w:p>
    <w:p>
      <w:pPr>
        <w:pageBreakBefore w:val="0"/>
        <w:tabs>
          <w:tab w:val="left" w:pos="284"/>
          <w:tab w:val="left" w:pos="851"/>
        </w:tabs>
        <w:kinsoku/>
        <w:overflowPunct/>
        <w:topLinePunct w:val="0"/>
        <w:bidi w:val="0"/>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pageBreakBefore w:val="0"/>
        <w:tabs>
          <w:tab w:val="left" w:pos="284"/>
          <w:tab w:val="left" w:pos="851"/>
        </w:tabs>
        <w:kinsoku/>
        <w:overflowPunct/>
        <w:topLinePunct w:val="0"/>
        <w:bidi w:val="0"/>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p>
    <w:p>
      <w:pPr>
        <w:rPr>
          <w:rFonts w:hint="eastAsia"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pageBreakBefore w:val="0"/>
        <w:kinsoku/>
        <w:overflowPunct/>
        <w:topLinePunct w:val="0"/>
        <w:bidi w:val="0"/>
        <w:spacing w:line="360" w:lineRule="auto"/>
        <w:rPr>
          <w:rFonts w:ascii="宋体" w:hAnsi="宋体"/>
          <w:b/>
          <w:bCs/>
          <w:sz w:val="24"/>
        </w:rPr>
      </w:pPr>
      <w:r>
        <w:rPr>
          <w:rFonts w:hint="eastAsia" w:ascii="宋体" w:hAnsi="宋体"/>
          <w:b/>
          <w:bCs/>
          <w:sz w:val="24"/>
        </w:rPr>
        <w:t>1.1资格自查表</w:t>
      </w:r>
    </w:p>
    <w:tbl>
      <w:tblPr>
        <w:tblStyle w:val="22"/>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5670"/>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26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Cs w:val="21"/>
              </w:rPr>
            </w:pPr>
            <w:r>
              <w:rPr>
                <w:rFonts w:hint="eastAsia" w:ascii="宋体" w:hAnsi="宋体"/>
                <w:szCs w:val="21"/>
              </w:rPr>
              <w:t>合格条件</w:t>
            </w:r>
          </w:p>
        </w:tc>
        <w:tc>
          <w:tcPr>
            <w:tcW w:w="567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 投标人应具备以下条件：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（1）具有独立承担民事责任的能力；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（2）具有履行合同所必需的设备和专业技术能力；</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（3）有依法缴纳税收和社会保障资金的良好记录；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（4）参加本项目采购活动前三年内，在经营活动中没有重大违法记录；</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（5）法律、行政法规规定的其他条件。</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rPr>
              <w:t>2.投标人必须是具有独立承担民事责任能力的在中华人民共和国境内注册的法人。</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3</w:t>
            </w:r>
            <w:r>
              <w:rPr>
                <w:rFonts w:hint="eastAsia"/>
              </w:rPr>
              <w:t xml:space="preserve">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4</w:t>
            </w:r>
            <w:r>
              <w:rPr>
                <w:rFonts w:hint="eastAsia"/>
              </w:rPr>
              <w:t>.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rPr>
            </w:pPr>
            <w:r>
              <w:rPr>
                <w:rFonts w:hint="eastAsia"/>
                <w:lang w:val="en-US" w:eastAsia="zh-CN"/>
              </w:rPr>
              <w:t>5</w:t>
            </w:r>
            <w:r>
              <w:rPr>
                <w:rFonts w:hint="eastAsia"/>
              </w:rPr>
              <w:t>. 本项目不接受联合体投标。</w:t>
            </w:r>
          </w:p>
        </w:tc>
        <w:tc>
          <w:tcPr>
            <w:tcW w:w="12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sym w:font="Wingdings 2" w:char="00A3"/>
            </w: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12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hint="eastAsia" w:ascii="宋体" w:hAnsi="宋体"/>
          <w:sz w:val="24"/>
          <w:u w:val="single"/>
        </w:rPr>
      </w:pPr>
      <w:r>
        <w:rPr>
          <w:rFonts w:hint="eastAsia" w:ascii="宋体" w:hAnsi="宋体"/>
          <w:sz w:val="24"/>
        </w:rPr>
        <w:t>投标人名称（加盖公章）：</w:t>
      </w:r>
    </w:p>
    <w:p>
      <w:pPr>
        <w:pageBreakBefore w:val="0"/>
        <w:kinsoku/>
        <w:overflowPunct/>
        <w:topLinePunct w:val="0"/>
        <w:bidi w:val="0"/>
        <w:spacing w:line="360" w:lineRule="auto"/>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2"/>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1）投标报价未超过本项目最高采购限价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pageBreakBefore w:val="0"/>
              <w:suppressLineNumbers w:val="0"/>
              <w:tabs>
                <w:tab w:val="left" w:pos="7740"/>
              </w:tabs>
              <w:kinsoku/>
              <w:overflowPunct/>
              <w:topLinePunct w:val="0"/>
              <w:bidi w:val="0"/>
              <w:spacing w:before="0" w:beforeAutospacing="0" w:after="0" w:afterAutospacing="0" w:line="360" w:lineRule="auto"/>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39" w:leftChars="19" w:right="0"/>
              <w:rPr>
                <w:rFonts w:ascii="宋体" w:hAnsi="宋体"/>
                <w:szCs w:val="21"/>
              </w:rPr>
            </w:pPr>
            <w:r>
              <w:rPr>
                <w:rFonts w:hint="eastAsia" w:ascii="宋体" w:hAnsi="宋体"/>
                <w:szCs w:val="21"/>
              </w:rPr>
              <w:t>□通过</w:t>
            </w:r>
          </w:p>
          <w:p>
            <w:pPr>
              <w:pStyle w:val="9"/>
              <w:keepNext w:val="0"/>
              <w:keepLines w:val="0"/>
              <w:pageBreakBefore w:val="0"/>
              <w:suppressLineNumbers w:val="0"/>
              <w:kinsoku/>
              <w:overflowPunct/>
              <w:topLinePunct w:val="0"/>
              <w:bidi w:val="0"/>
              <w:spacing w:before="0" w:beforeAutospacing="0" w:afterAutospacing="0" w:line="360" w:lineRule="auto"/>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pageBreakBefore w:val="0"/>
              <w:suppressLineNumbers w:val="0"/>
              <w:kinsoku/>
              <w:overflowPunct/>
              <w:topLinePunct w:val="0"/>
              <w:bidi w:val="0"/>
              <w:spacing w:before="0" w:beforeAutospacing="0" w:afterAutospacing="0" w:line="360" w:lineRule="auto"/>
              <w:ind w:left="0" w:right="0"/>
              <w:rPr>
                <w:rFonts w:hAnsi="宋体"/>
                <w:color w:val="auto"/>
                <w:sz w:val="21"/>
                <w:szCs w:val="21"/>
              </w:rPr>
            </w:pPr>
            <w:r>
              <w:rPr>
                <w:rFonts w:hint="eastAsia" w:hAnsi="宋体"/>
                <w:color w:val="auto"/>
                <w:sz w:val="21"/>
                <w:szCs w:val="21"/>
              </w:rPr>
              <w:t>见投标文件第( )页</w:t>
            </w:r>
          </w:p>
        </w:tc>
      </w:tr>
    </w:tbl>
    <w:p>
      <w:pPr>
        <w:pStyle w:val="9"/>
        <w:pageBreakBefore w:val="0"/>
        <w:kinsoku/>
        <w:overflowPunct/>
        <w:topLinePunct w:val="0"/>
        <w:bidi w:val="0"/>
        <w:spacing w:line="360" w:lineRule="auto"/>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p>
    <w:p>
      <w:pPr>
        <w:pageBreakBefore w:val="0"/>
        <w:kinsoku/>
        <w:overflowPunct/>
        <w:topLinePunct w:val="0"/>
        <w:bidi w:val="0"/>
        <w:adjustRightInd w:val="0"/>
        <w:snapToGrid w:val="0"/>
        <w:spacing w:line="360" w:lineRule="auto"/>
        <w:rPr>
          <w:rFonts w:ascii="宋体" w:hAnsi="宋体"/>
          <w:sz w:val="24"/>
        </w:rPr>
      </w:pPr>
    </w:p>
    <w:p>
      <w:pPr>
        <w:pageBreakBefore w:val="0"/>
        <w:kinsoku/>
        <w:overflowPunct/>
        <w:topLinePunct w:val="0"/>
        <w:bidi w:val="0"/>
        <w:spacing w:line="360" w:lineRule="auto"/>
        <w:jc w:val="both"/>
        <w:rPr>
          <w:rFonts w:hint="eastAsia" w:ascii="宋体" w:hAnsi="宋体"/>
          <w:b/>
          <w:sz w:val="32"/>
          <w:szCs w:val="32"/>
        </w:rPr>
      </w:pPr>
      <w:r>
        <w:rPr>
          <w:rFonts w:ascii="宋体" w:hAnsi="宋体"/>
          <w:b/>
          <w:bCs/>
          <w:sz w:val="24"/>
        </w:rPr>
        <w:br w:type="page"/>
      </w:r>
      <w:bookmarkStart w:id="6" w:name="_Toc202251075"/>
      <w:bookmarkStart w:id="7" w:name="_Toc202816996"/>
      <w:bookmarkStart w:id="8" w:name="_Toc202820351"/>
      <w:bookmarkStart w:id="9" w:name="_Toc202251700"/>
      <w:bookmarkStart w:id="10" w:name="_Toc202819878"/>
      <w:bookmarkStart w:id="11" w:name="_Toc202254105"/>
      <w:bookmarkStart w:id="12" w:name="_Toc202252034"/>
      <w:r>
        <w:rPr>
          <w:rFonts w:hint="eastAsia" w:ascii="宋体" w:hAnsi="宋体"/>
          <w:b/>
          <w:sz w:val="28"/>
          <w:szCs w:val="28"/>
        </w:rPr>
        <w:t>二、投标资格文件</w:t>
      </w:r>
      <w:bookmarkEnd w:id="6"/>
      <w:bookmarkEnd w:id="7"/>
      <w:bookmarkEnd w:id="8"/>
      <w:bookmarkEnd w:id="9"/>
      <w:bookmarkEnd w:id="10"/>
      <w:bookmarkEnd w:id="11"/>
      <w:bookmarkEnd w:id="12"/>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5" w:leftChars="136"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left"/>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pageBreakBefore w:val="0"/>
        <w:kinsoku/>
        <w:overflowPunct/>
        <w:topLinePunct w:val="0"/>
        <w:bidi w:val="0"/>
        <w:spacing w:line="360" w:lineRule="auto"/>
        <w:rPr>
          <w:rFonts w:hint="eastAsia" w:ascii="宋体" w:hAnsi="宋体"/>
          <w:b/>
          <w:szCs w:val="21"/>
        </w:rPr>
      </w:pPr>
    </w:p>
    <w:p>
      <w:pPr>
        <w:pageBreakBefore w:val="0"/>
        <w:kinsoku/>
        <w:overflowPunct/>
        <w:topLinePunct w:val="0"/>
        <w:bidi w:val="0"/>
        <w:spacing w:line="360" w:lineRule="auto"/>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en-US" w:eastAsia="zh-CN"/>
        </w:rPr>
        <w:t>2.7</w:t>
      </w:r>
      <w:r>
        <w:rPr>
          <w:rFonts w:hint="eastAsia" w:ascii="宋体" w:hAnsi="宋体"/>
          <w:sz w:val="24"/>
          <w:lang w:val="zh-CN"/>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中小企业声明函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sz w:val="24"/>
          <w:lang w:val="en-US" w:eastAsia="zh-CN"/>
        </w:rPr>
        <w:t>2.8</w:t>
      </w:r>
      <w:r>
        <w:rPr>
          <w:rFonts w:hint="eastAsia" w:ascii="宋体" w:hAnsi="宋体"/>
          <w:sz w:val="24"/>
          <w:lang w:val="zh-CN"/>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监狱企业声明函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附件：省级以上监狱管理局、戒毒管理局(含新疆生产建设兵团)出具的属于监狱企业的证明文件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r>
        <w:rPr>
          <w:rFonts w:hint="eastAsia" w:ascii="宋体" w:hAnsi="宋体"/>
          <w:sz w:val="24"/>
          <w:lang w:val="zh-CN"/>
        </w:rPr>
        <w:br w:type="page"/>
      </w:r>
      <w:r>
        <w:rPr>
          <w:rFonts w:hint="eastAsia" w:ascii="宋体" w:hAnsi="宋体"/>
          <w:sz w:val="24"/>
          <w:lang w:val="en-US" w:eastAsia="zh-CN"/>
        </w:rPr>
        <w:t>2.9</w:t>
      </w:r>
      <w:r>
        <w:rPr>
          <w:rFonts w:hint="eastAsia" w:ascii="宋体" w:hAnsi="宋体"/>
          <w:sz w:val="24"/>
          <w:lang w:val="zh-CN"/>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lang w:val="zh-CN"/>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rPr>
        <w:t>残疾人福利性单位声明函</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1.安置的残疾人占本单位在职职工人数的比例不低于25%（含25%），并且安置的残疾人人数不少于10人（含10人）；</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2.本单位依法与安置的每位残疾人签订了一年以上（含一年）的劳动合同或服务协议；</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本公司对上述声明的真实性负责。如有虚假，将依法承担相应责任。</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ind w:firstLine="480" w:firstLineChars="200"/>
        <w:rPr>
          <w:rFonts w:hint="eastAsia" w:ascii="宋体" w:hAnsi="宋体"/>
          <w:sz w:val="24"/>
        </w:rPr>
      </w:pPr>
      <w:r>
        <w:rPr>
          <w:rFonts w:hint="eastAsia" w:ascii="宋体" w:hAnsi="宋体"/>
          <w:sz w:val="24"/>
        </w:rPr>
        <w:t>附件：近三个月依法为安置残疾人缴纳社会保障资金的证明文件</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响应供应商（加盖公章）：</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法定代表人或委托代理人签字：</w:t>
      </w: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hint="eastAsia" w:ascii="宋体" w:hAnsi="宋体"/>
          <w:sz w:val="24"/>
          <w:lang w:val="zh-CN"/>
        </w:rPr>
      </w:pPr>
      <w:r>
        <w:rPr>
          <w:rFonts w:hint="eastAsia" w:ascii="宋体" w:hAnsi="宋体"/>
          <w:sz w:val="24"/>
          <w:lang w:val="en-US" w:eastAsia="zh-CN"/>
        </w:rPr>
        <w:t xml:space="preserve">                 </w:t>
      </w:r>
      <w:r>
        <w:rPr>
          <w:rFonts w:hint="eastAsia" w:ascii="宋体" w:hAnsi="宋体"/>
          <w:sz w:val="24"/>
        </w:rPr>
        <w:t>日   期：     年    月   日</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rPr>
          <w:rFonts w:ascii="宋体" w:hAnsi="宋体"/>
          <w:b/>
          <w:sz w:val="24"/>
        </w:rPr>
      </w:pPr>
      <w:r>
        <w:rPr>
          <w:rFonts w:ascii="宋体" w:hAnsi="宋体"/>
          <w:b/>
          <w:sz w:val="24"/>
        </w:rPr>
        <w:br w:type="page"/>
      </w:r>
    </w:p>
    <w:p>
      <w:pPr>
        <w:pStyle w:val="2"/>
        <w:rPr>
          <w:rFonts w:ascii="宋体" w:hAnsi="宋体"/>
          <w:b/>
          <w:sz w:val="24"/>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2.</w:t>
      </w:r>
      <w:r>
        <w:rPr>
          <w:rFonts w:hint="eastAsia" w:ascii="宋体" w:hAnsi="宋体"/>
          <w:b/>
          <w:sz w:val="24"/>
          <w:lang w:val="en-US" w:eastAsia="zh-CN"/>
        </w:rPr>
        <w:t>10</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pageBreakBefore w:val="0"/>
        <w:kinsoku/>
        <w:overflowPunct/>
        <w:topLinePunct w:val="0"/>
        <w:bidi w:val="0"/>
        <w:adjustRightInd w:val="0"/>
        <w:snapToGrid w:val="0"/>
        <w:spacing w:line="360" w:lineRule="auto"/>
        <w:rPr>
          <w:rFonts w:ascii="宋体" w:hAnsi="宋体"/>
          <w:b/>
          <w:szCs w:val="21"/>
        </w:rPr>
      </w:pPr>
      <w:bookmarkStart w:id="13" w:name="_Toc202816997"/>
      <w:bookmarkStart w:id="14" w:name="_Toc202252035"/>
      <w:bookmarkStart w:id="15" w:name="_Toc202251701"/>
      <w:bookmarkStart w:id="16" w:name="_Toc202254106"/>
      <w:bookmarkStart w:id="17" w:name="_Toc202820352"/>
      <w:bookmarkStart w:id="18" w:name="_Toc202819879"/>
      <w:bookmarkStart w:id="19" w:name="_Toc202251076"/>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ascii="宋体" w:hAnsi="宋体"/>
          <w:b/>
          <w:szCs w:val="21"/>
        </w:rPr>
      </w:pPr>
    </w:p>
    <w:p>
      <w:pPr>
        <w:pageBreakBefore w:val="0"/>
        <w:kinsoku/>
        <w:overflowPunct/>
        <w:topLinePunct w:val="0"/>
        <w:bidi w:val="0"/>
        <w:adjustRightInd w:val="0"/>
        <w:snapToGrid w:val="0"/>
        <w:spacing w:line="360" w:lineRule="auto"/>
        <w:rPr>
          <w:rFonts w:hint="eastAsia" w:ascii="宋体" w:hAnsi="宋体"/>
          <w:b/>
          <w:szCs w:val="21"/>
        </w:rPr>
      </w:pPr>
    </w:p>
    <w:p>
      <w:pPr>
        <w:pageBreakBefore w:val="0"/>
        <w:kinsoku/>
        <w:overflowPunct/>
        <w:topLinePunct w:val="0"/>
        <w:autoSpaceDE w:val="0"/>
        <w:autoSpaceDN w:val="0"/>
        <w:bidi w:val="0"/>
        <w:spacing w:line="360" w:lineRule="auto"/>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pageBreakBefore w:val="0"/>
        <w:kinsoku/>
        <w:overflowPunct/>
        <w:topLinePunct w:val="0"/>
        <w:bidi w:val="0"/>
        <w:spacing w:line="360" w:lineRule="auto"/>
        <w:rPr>
          <w:rFonts w:ascii="宋体" w:hAnsi="宋体"/>
          <w:b/>
          <w:sz w:val="24"/>
        </w:rPr>
      </w:pPr>
      <w:r>
        <w:rPr>
          <w:rFonts w:hint="eastAsia" w:ascii="宋体" w:hAnsi="宋体"/>
          <w:b/>
          <w:sz w:val="24"/>
        </w:rPr>
        <w:t>3.1 投标函</w:t>
      </w:r>
    </w:p>
    <w:p>
      <w:pPr>
        <w:pageBreakBefore w:val="0"/>
        <w:widowControl/>
        <w:tabs>
          <w:tab w:val="left" w:pos="284"/>
          <w:tab w:val="left" w:pos="851"/>
        </w:tabs>
        <w:kinsoku/>
        <w:overflowPunct/>
        <w:topLinePunct w:val="0"/>
        <w:bidi w:val="0"/>
        <w:spacing w:line="360" w:lineRule="auto"/>
        <w:jc w:val="center"/>
        <w:rPr>
          <w:rFonts w:ascii="宋体" w:hAnsi="宋体"/>
          <w:b/>
          <w:sz w:val="28"/>
          <w:szCs w:val="28"/>
        </w:rPr>
      </w:pPr>
      <w:r>
        <w:rPr>
          <w:rFonts w:hint="eastAsia" w:ascii="宋体" w:hAnsi="宋体"/>
          <w:b/>
          <w:sz w:val="28"/>
          <w:szCs w:val="28"/>
        </w:rPr>
        <w:t>投标函</w:t>
      </w: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pageBreakBefore w:val="0"/>
        <w:tabs>
          <w:tab w:val="left" w:pos="284"/>
          <w:tab w:val="left" w:pos="851"/>
        </w:tabs>
        <w:kinsoku/>
        <w:overflowPunct/>
        <w:topLinePunct w:val="0"/>
        <w:bidi w:val="0"/>
        <w:spacing w:line="360" w:lineRule="auto"/>
        <w:ind w:firstLine="480" w:firstLineChars="200"/>
        <w:jc w:val="left"/>
        <w:rPr>
          <w:rFonts w:hint="eastAsia" w:ascii="宋体" w:hAnsi="宋体"/>
          <w:sz w:val="24"/>
        </w:rPr>
      </w:pPr>
      <w:r>
        <w:rPr>
          <w:rFonts w:hint="eastAsia" w:ascii="宋体" w:hAnsi="宋体"/>
          <w:sz w:val="24"/>
        </w:rPr>
        <w:t>资格性文件；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符合性文件；</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商务部分；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技术部分；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投标报价部分。</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签字代表在此声明并同意：</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9"/>
        <w:pageBreakBefore w:val="0"/>
        <w:kinsoku/>
        <w:overflowPunct/>
        <w:topLinePunct w:val="0"/>
        <w:bidi w:val="0"/>
        <w:spacing w:line="360" w:lineRule="auto"/>
        <w:rPr>
          <w:rFonts w:hint="eastAsia"/>
          <w:color w:val="auto"/>
        </w:rPr>
      </w:pP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pageBreakBefore w:val="0"/>
        <w:kinsoku/>
        <w:overflowPunct/>
        <w:topLinePunct w:val="0"/>
        <w:bidi w:val="0"/>
        <w:adjustRightInd w:val="0"/>
        <w:snapToGrid w:val="0"/>
        <w:spacing w:line="360" w:lineRule="auto"/>
        <w:rPr>
          <w:rFonts w:ascii="宋体" w:hAnsi="宋体"/>
          <w:szCs w:val="21"/>
          <w:u w:val="single"/>
        </w:rPr>
      </w:pPr>
    </w:p>
    <w:p>
      <w:pPr>
        <w:pageBreakBefore w:val="0"/>
        <w:kinsoku/>
        <w:overflowPunct/>
        <w:topLinePunct w:val="0"/>
        <w:bidi w:val="0"/>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pageBreakBefore w:val="0"/>
        <w:kinsoku/>
        <w:overflowPunct/>
        <w:topLinePunct w:val="0"/>
        <w:bidi w:val="0"/>
        <w:spacing w:line="360" w:lineRule="auto"/>
        <w:jc w:val="center"/>
        <w:rPr>
          <w:rFonts w:ascii="宋体" w:hAnsi="宋体"/>
          <w:b/>
          <w:sz w:val="28"/>
          <w:szCs w:val="28"/>
        </w:rPr>
      </w:pPr>
    </w:p>
    <w:p>
      <w:pPr>
        <w:pageBreakBefore w:val="0"/>
        <w:kinsoku/>
        <w:overflowPunct/>
        <w:topLinePunct w:val="0"/>
        <w:bidi w:val="0"/>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pageBreakBefore w:val="0"/>
        <w:tabs>
          <w:tab w:val="left" w:pos="284"/>
          <w:tab w:val="left" w:pos="851"/>
        </w:tabs>
        <w:kinsoku/>
        <w:overflowPunct/>
        <w:topLinePunct w:val="0"/>
        <w:bidi w:val="0"/>
        <w:spacing w:line="360" w:lineRule="auto"/>
        <w:ind w:left="285" w:leftChars="136" w:firstLine="480"/>
        <w:jc w:val="left"/>
        <w:rPr>
          <w:rFonts w:ascii="宋体" w:hAnsi="宋体"/>
          <w:szCs w:val="21"/>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p>
    <w:p>
      <w:pPr>
        <w:pStyle w:val="7"/>
        <w:pageBreakBefore w:val="0"/>
        <w:tabs>
          <w:tab w:val="left" w:pos="284"/>
          <w:tab w:val="left" w:pos="851"/>
        </w:tabs>
        <w:kinsoku/>
        <w:overflowPunct/>
        <w:topLinePunct w:val="0"/>
        <w:bidi w:val="0"/>
        <w:spacing w:line="360" w:lineRule="auto"/>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pageBreakBefore w:val="0"/>
        <w:tabs>
          <w:tab w:val="left" w:pos="284"/>
          <w:tab w:val="left" w:pos="851"/>
        </w:tabs>
        <w:kinsoku/>
        <w:overflowPunct/>
        <w:topLinePunct w:val="0"/>
        <w:bidi w:val="0"/>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pageBreakBefore w:val="0"/>
        <w:tabs>
          <w:tab w:val="left" w:pos="284"/>
          <w:tab w:val="left" w:pos="851"/>
        </w:tabs>
        <w:kinsoku/>
        <w:overflowPunct/>
        <w:topLinePunct w:val="0"/>
        <w:bidi w:val="0"/>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pageBreakBefore w:val="0"/>
        <w:tabs>
          <w:tab w:val="left" w:pos="284"/>
          <w:tab w:val="left" w:pos="851"/>
        </w:tabs>
        <w:kinsoku/>
        <w:overflowPunct/>
        <w:topLinePunct w:val="0"/>
        <w:bidi w:val="0"/>
        <w:spacing w:line="360" w:lineRule="auto"/>
        <w:ind w:left="285" w:leftChars="136" w:firstLine="480" w:firstLineChars="200"/>
        <w:jc w:val="left"/>
        <w:outlineLvl w:val="0"/>
        <w:rPr>
          <w:rFonts w:ascii="宋体" w:hAnsi="宋体"/>
          <w:b/>
          <w:sz w:val="24"/>
        </w:rPr>
      </w:pPr>
    </w:p>
    <w:p>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val="0"/>
        <w:bidi w:val="0"/>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pageBreakBefore w:val="0"/>
        <w:kinsoku/>
        <w:overflowPunct/>
        <w:topLinePunct w:val="0"/>
        <w:bidi w:val="0"/>
        <w:spacing w:line="360" w:lineRule="auto"/>
        <w:rPr>
          <w:rFonts w:ascii="宋体" w:hAnsi="宋体"/>
          <w:sz w:val="28"/>
          <w:szCs w:val="28"/>
        </w:rPr>
      </w:pPr>
    </w:p>
    <w:p>
      <w:pPr>
        <w:pageBreakBefore w:val="0"/>
        <w:tabs>
          <w:tab w:val="left" w:pos="284"/>
          <w:tab w:val="left" w:pos="851"/>
        </w:tabs>
        <w:kinsoku/>
        <w:overflowPunct/>
        <w:topLinePunct w:val="0"/>
        <w:bidi w:val="0"/>
        <w:spacing w:line="360" w:lineRule="auto"/>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p>
    <w:p>
      <w:pPr>
        <w:pStyle w:val="13"/>
        <w:pageBreakBefore w:val="0"/>
        <w:tabs>
          <w:tab w:val="left" w:pos="284"/>
          <w:tab w:val="left" w:pos="851"/>
        </w:tabs>
        <w:kinsoku/>
        <w:overflowPunct/>
        <w:topLinePunct w:val="0"/>
        <w:bidi w:val="0"/>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pageBreakBefore w:val="0"/>
        <w:kinsoku/>
        <w:overflowPunct/>
        <w:topLinePunct w:val="0"/>
        <w:bidi w:val="0"/>
        <w:spacing w:line="360" w:lineRule="auto"/>
        <w:ind w:left="1"/>
        <w:rPr>
          <w:rFonts w:ascii="宋体" w:hAnsi="宋体"/>
          <w:sz w:val="24"/>
        </w:rPr>
      </w:pPr>
      <w:r>
        <w:rPr>
          <w:rFonts w:hint="eastAsia" w:ascii="宋体" w:hAnsi="宋体"/>
          <w:sz w:val="24"/>
        </w:rPr>
        <w:t>说明：</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pageBreakBefore w:val="0"/>
        <w:kinsoku/>
        <w:overflowPunct/>
        <w:topLinePunct w:val="0"/>
        <w:bidi w:val="0"/>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pageBreakBefore w:val="0"/>
        <w:kinsoku/>
        <w:overflowPunct/>
        <w:topLinePunct w:val="0"/>
        <w:bidi w:val="0"/>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pageBreakBefore w:val="0"/>
        <w:kinsoku/>
        <w:overflowPunct/>
        <w:topLinePunct w:val="0"/>
        <w:bidi w:val="0"/>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ascii="宋体" w:hAnsi="宋体"/>
                <w:sz w:val="28"/>
                <w:szCs w:val="28"/>
                <w:u w:val="single"/>
              </w:rPr>
            </w:pPr>
            <w:r>
              <w:rPr>
                <w:rFonts w:hint="eastAsia"/>
                <w:b/>
              </w:rPr>
              <w:t>粘贴代理人身份证复印件</w:t>
            </w:r>
          </w:p>
        </w:tc>
      </w:tr>
    </w:tbl>
    <w:p>
      <w:pPr>
        <w:pageBreakBefore w:val="0"/>
        <w:kinsoku/>
        <w:overflowPunct/>
        <w:topLinePunct w:val="0"/>
        <w:bidi w:val="0"/>
        <w:spacing w:line="360" w:lineRule="auto"/>
        <w:jc w:val="both"/>
        <w:rPr>
          <w:rFonts w:hint="eastAsia"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201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35"/>
              <w:jc w:val="center"/>
              <w:rPr>
                <w:rFonts w:hint="eastAsia" w:ascii="宋体" w:hAnsi="宋体"/>
                <w:szCs w:val="21"/>
              </w:rPr>
            </w:pPr>
          </w:p>
        </w:tc>
      </w:tr>
    </w:tbl>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注：</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pageBreakBefore w:val="0"/>
        <w:kinsoku/>
        <w:overflowPunct/>
        <w:topLinePunct w:val="0"/>
        <w:bidi w:val="0"/>
        <w:spacing w:line="360" w:lineRule="auto"/>
        <w:rPr>
          <w:rFonts w:hint="eastAsia" w:ascii="宋体" w:hAnsi="宋体"/>
          <w:szCs w:val="21"/>
          <w:lang w:val="en-GB"/>
        </w:rPr>
      </w:pPr>
      <w:r>
        <w:rPr>
          <w:rFonts w:hint="eastAsia" w:ascii="宋体" w:hAnsi="宋体"/>
          <w:szCs w:val="21"/>
          <w:lang w:val="en-GB"/>
        </w:rPr>
        <w:t>2.本表内容不得擅自修改。</w:t>
      </w:r>
    </w:p>
    <w:p>
      <w:pPr>
        <w:pageBreakBefore w:val="0"/>
        <w:kinsoku/>
        <w:overflowPunct/>
        <w:topLinePunct w:val="0"/>
        <w:bidi w:val="0"/>
        <w:adjustRightInd w:val="0"/>
        <w:snapToGrid w:val="0"/>
        <w:spacing w:line="360" w:lineRule="auto"/>
        <w:rPr>
          <w:rFonts w:hint="eastAsia" w:ascii="宋体" w:hAnsi="宋体"/>
          <w:szCs w:val="21"/>
        </w:rPr>
      </w:pPr>
    </w:p>
    <w:p>
      <w:pPr>
        <w:pageBreakBefore w:val="0"/>
        <w:tabs>
          <w:tab w:val="left" w:pos="540"/>
        </w:tabs>
        <w:kinsoku/>
        <w:overflowPunct/>
        <w:topLinePunct w:val="0"/>
        <w:bidi w:val="0"/>
        <w:spacing w:line="360" w:lineRule="auto"/>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2"/>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3430"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151"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c>
          <w:tcPr>
            <w:tcW w:w="1515" w:type="dxa"/>
            <w:noWrap w:val="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szCs w:val="21"/>
              </w:rPr>
            </w:pPr>
          </w:p>
        </w:tc>
      </w:tr>
    </w:tbl>
    <w:p>
      <w:pPr>
        <w:spacing w:line="360" w:lineRule="auto"/>
        <w:ind w:firstLine="105" w:firstLineChars="50"/>
        <w:rPr>
          <w:rFonts w:hint="eastAsia" w:ascii="宋体" w:hAnsi="宋体" w:cs="宋体"/>
          <w:color w:val="000000"/>
        </w:rPr>
      </w:pPr>
      <w:r>
        <w:rPr>
          <w:rFonts w:hint="eastAsia" w:ascii="宋体" w:hAnsi="宋体"/>
          <w:szCs w:val="21"/>
          <w:lang w:val="en-GB"/>
        </w:rPr>
        <w:t>注：业绩是以投标人名义完成并已验收的项目</w:t>
      </w:r>
      <w:r>
        <w:rPr>
          <w:rFonts w:hint="eastAsia" w:ascii="宋体" w:hAnsi="宋体"/>
          <w:szCs w:val="21"/>
          <w:lang w:val="en-GB" w:eastAsia="zh-CN"/>
        </w:rPr>
        <w:t>，</w:t>
      </w:r>
      <w:r>
        <w:rPr>
          <w:rFonts w:hint="eastAsia" w:ascii="宋体" w:hAnsi="宋体" w:cs="宋体"/>
          <w:color w:val="000000"/>
        </w:rPr>
        <w:t>提供中标通知书或合同证明。</w:t>
      </w:r>
    </w:p>
    <w:p>
      <w:pPr>
        <w:pageBreakBefore w:val="0"/>
        <w:kinsoku/>
        <w:overflowPunct/>
        <w:topLinePunct w:val="0"/>
        <w:bidi w:val="0"/>
        <w:spacing w:line="360" w:lineRule="auto"/>
        <w:rPr>
          <w:rFonts w:ascii="宋体" w:hAnsi="宋体"/>
          <w:szCs w:val="21"/>
          <w:lang w:val="en-GB"/>
        </w:rPr>
      </w:pPr>
    </w:p>
    <w:p>
      <w:pPr>
        <w:pageBreakBefore w:val="0"/>
        <w:tabs>
          <w:tab w:val="left" w:pos="540"/>
        </w:tabs>
        <w:kinsoku/>
        <w:overflowPunct/>
        <w:topLinePunct w:val="0"/>
        <w:bidi w:val="0"/>
        <w:spacing w:line="360" w:lineRule="auto"/>
        <w:rPr>
          <w:rFonts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18"/>
          <w:szCs w:val="18"/>
        </w:rPr>
      </w:pPr>
    </w:p>
    <w:p>
      <w:pPr>
        <w:pageBreakBefore w:val="0"/>
        <w:tabs>
          <w:tab w:val="left" w:pos="540"/>
        </w:tabs>
        <w:kinsoku/>
        <w:overflowPunct/>
        <w:topLinePunct w:val="0"/>
        <w:bidi w:val="0"/>
        <w:spacing w:line="360" w:lineRule="auto"/>
        <w:rPr>
          <w:rFonts w:hint="eastAsia" w:ascii="宋体" w:hAnsi="宋体"/>
          <w:b/>
          <w:sz w:val="24"/>
          <w:lang w:val="en-US" w:eastAsia="zh-CN"/>
        </w:rPr>
      </w:pPr>
      <w:r>
        <w:rPr>
          <w:rFonts w:hint="eastAsia" w:ascii="宋体" w:hAnsi="宋体"/>
          <w:b/>
          <w:sz w:val="24"/>
          <w:lang w:val="en-US" w:eastAsia="zh-CN"/>
        </w:rPr>
        <w:t>4.3投标人情况介绍表（根据自身实际情况自拟）</w:t>
      </w:r>
    </w:p>
    <w:p>
      <w:pPr>
        <w:pStyle w:val="28"/>
        <w:pageBreakBefore w:val="0"/>
        <w:kinsoku/>
        <w:overflowPunct/>
        <w:topLinePunct w:val="0"/>
        <w:bidi w:val="0"/>
        <w:spacing w:line="360" w:lineRule="auto"/>
        <w:rPr>
          <w:rFonts w:hint="eastAsia" w:ascii="宋体" w:hAnsi="宋体"/>
          <w:b/>
          <w:sz w:val="24"/>
          <w:lang w:val="en-US" w:eastAsia="zh-CN"/>
        </w:rPr>
      </w:pPr>
    </w:p>
    <w:p>
      <w:pPr>
        <w:pStyle w:val="20"/>
        <w:keepNext w:val="0"/>
        <w:keepLines w:val="0"/>
        <w:pageBreakBefore w:val="0"/>
        <w:widowControl w:val="0"/>
        <w:suppressLineNumbers w:val="0"/>
        <w:kinsoku/>
        <w:overflowPunct/>
        <w:topLinePunct w:val="0"/>
        <w:bidi w:val="0"/>
        <w:spacing w:before="25" w:beforeAutospacing="0" w:after="25" w:afterAutospacing="0" w:line="36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pageBreakBefore w:val="0"/>
        <w:tabs>
          <w:tab w:val="left" w:pos="540"/>
        </w:tabs>
        <w:kinsoku/>
        <w:overflowPunct/>
        <w:topLinePunct w:val="0"/>
        <w:bidi w:val="0"/>
        <w:spacing w:line="360" w:lineRule="auto"/>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pageBreakBefore w:val="0"/>
        <w:tabs>
          <w:tab w:val="left" w:pos="540"/>
        </w:tabs>
        <w:kinsoku/>
        <w:overflowPunct/>
        <w:topLinePunct w:val="0"/>
        <w:bidi w:val="0"/>
        <w:spacing w:line="360" w:lineRule="auto"/>
        <w:rPr>
          <w:rFonts w:hint="eastAsia" w:ascii="宋体" w:hAnsi="宋体"/>
          <w:b/>
          <w:sz w:val="24"/>
          <w:lang w:val="en-GB"/>
        </w:rPr>
      </w:pPr>
    </w:p>
    <w:p>
      <w:pPr>
        <w:pageBreakBefore w:val="0"/>
        <w:tabs>
          <w:tab w:val="left" w:pos="540"/>
        </w:tabs>
        <w:kinsoku/>
        <w:overflowPunct/>
        <w:topLinePunct w:val="0"/>
        <w:bidi w:val="0"/>
        <w:spacing w:line="360" w:lineRule="auto"/>
        <w:rPr>
          <w:rFonts w:ascii="宋体" w:hAnsi="宋体"/>
          <w:b/>
          <w:sz w:val="24"/>
          <w:lang w:val="en-GB"/>
        </w:rPr>
      </w:pPr>
    </w:p>
    <w:p>
      <w:pPr>
        <w:pageBreakBefore w:val="0"/>
        <w:tabs>
          <w:tab w:val="left" w:pos="540"/>
        </w:tabs>
        <w:kinsoku/>
        <w:overflowPunct/>
        <w:topLinePunct w:val="0"/>
        <w:bidi w:val="0"/>
        <w:spacing w:line="360" w:lineRule="auto"/>
        <w:rPr>
          <w:rFonts w:hint="eastAsia" w:ascii="宋体" w:hAnsi="宋体"/>
          <w:b/>
          <w:sz w:val="24"/>
        </w:rPr>
      </w:pPr>
    </w:p>
    <w:p>
      <w:pPr>
        <w:pageBreakBefore w:val="0"/>
        <w:tabs>
          <w:tab w:val="left" w:pos="540"/>
        </w:tabs>
        <w:kinsoku/>
        <w:overflowPunct/>
        <w:topLinePunct w:val="0"/>
        <w:bidi w:val="0"/>
        <w:spacing w:line="360" w:lineRule="auto"/>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pageBreakBefore w:val="0"/>
        <w:tabs>
          <w:tab w:val="left" w:pos="540"/>
        </w:tabs>
        <w:kinsoku/>
        <w:overflowPunct/>
        <w:topLinePunct w:val="0"/>
        <w:bidi w:val="0"/>
        <w:spacing w:line="360" w:lineRule="auto"/>
        <w:rPr>
          <w:rFonts w:ascii="宋体" w:hAnsi="宋体"/>
          <w:szCs w:val="21"/>
        </w:rPr>
      </w:pPr>
    </w:p>
    <w:p>
      <w:pPr>
        <w:pageBreakBefore w:val="0"/>
        <w:tabs>
          <w:tab w:val="left" w:pos="540"/>
        </w:tabs>
        <w:kinsoku/>
        <w:overflowPunct/>
        <w:topLinePunct w:val="0"/>
        <w:bidi w:val="0"/>
        <w:spacing w:line="360" w:lineRule="auto"/>
        <w:rPr>
          <w:rFonts w:ascii="宋体" w:hAnsi="宋体"/>
          <w:szCs w:val="21"/>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hint="eastAsia" w:ascii="宋体" w:hAnsi="宋体"/>
        </w:rPr>
      </w:pPr>
    </w:p>
    <w:p>
      <w:pPr>
        <w:pageBreakBefore w:val="0"/>
        <w:kinsoku/>
        <w:overflowPunct/>
        <w:topLinePunct w:val="0"/>
        <w:bidi w:val="0"/>
        <w:spacing w:line="360" w:lineRule="auto"/>
        <w:rPr>
          <w:rFonts w:ascii="宋体" w:hAnsi="宋体"/>
        </w:rPr>
      </w:pPr>
    </w:p>
    <w:p>
      <w:pPr>
        <w:pageBreakBefore w:val="0"/>
        <w:tabs>
          <w:tab w:val="left" w:pos="540"/>
        </w:tabs>
        <w:kinsoku/>
        <w:overflowPunct/>
        <w:topLinePunct w:val="0"/>
        <w:bidi w:val="0"/>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pageBreakBefore w:val="0"/>
        <w:numPr>
          <w:ilvl w:val="0"/>
          <w:numId w:val="5"/>
        </w:numPr>
        <w:kinsoku/>
        <w:overflowPunct/>
        <w:topLinePunct w:val="0"/>
        <w:bidi w:val="0"/>
        <w:spacing w:line="360" w:lineRule="auto"/>
        <w:jc w:val="both"/>
        <w:rPr>
          <w:rFonts w:hint="eastAsia" w:ascii="宋体" w:hAnsi="宋体"/>
          <w:b/>
          <w:sz w:val="28"/>
          <w:szCs w:val="28"/>
        </w:rPr>
      </w:pPr>
      <w:r>
        <w:rPr>
          <w:rFonts w:ascii="宋体" w:hAnsi="宋体"/>
          <w:szCs w:val="21"/>
        </w:rPr>
        <w:br w:type="page"/>
      </w:r>
      <w:bookmarkStart w:id="20" w:name="_Toc202819881"/>
      <w:bookmarkStart w:id="21" w:name="_Toc202816999"/>
      <w:bookmarkStart w:id="22" w:name="_Toc202820354"/>
      <w:r>
        <w:rPr>
          <w:rFonts w:hint="eastAsia" w:ascii="宋体" w:hAnsi="宋体"/>
          <w:b/>
          <w:sz w:val="28"/>
          <w:szCs w:val="28"/>
        </w:rPr>
        <w:t>技术/服务响应文件</w:t>
      </w:r>
    </w:p>
    <w:p>
      <w:pPr>
        <w:pageBreakBefore w:val="0"/>
        <w:kinsoku/>
        <w:overflowPunct/>
        <w:topLinePunct w:val="0"/>
        <w:bidi w:val="0"/>
        <w:spacing w:line="360" w:lineRule="auto"/>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2"/>
        <w:tblpPr w:leftFromText="180" w:rightFromText="180" w:vertAnchor="text" w:horzAnchor="page" w:tblpX="1170" w:tblpY="541"/>
        <w:tblOverlap w:val="never"/>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173"/>
        <w:gridCol w:w="1284"/>
        <w:gridCol w:w="760"/>
        <w:gridCol w:w="937"/>
        <w:gridCol w:w="787"/>
        <w:gridCol w:w="1341"/>
        <w:gridCol w:w="1134"/>
        <w:gridCol w:w="834"/>
        <w:gridCol w:w="86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Calibri" w:hAnsi="Calibri" w:eastAsia="宋体" w:cs="宋体"/>
                <w:kern w:val="2"/>
                <w:sz w:val="21"/>
                <w:szCs w:val="21"/>
                <w:lang w:val="en-US" w:eastAsia="zh-CN" w:bidi="ar"/>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Calibri" w:hAnsi="Calibri" w:eastAsia="宋体" w:cs="宋体"/>
                <w:kern w:val="2"/>
                <w:sz w:val="21"/>
                <w:szCs w:val="21"/>
                <w:lang w:val="en-US" w:eastAsia="zh-CN" w:bidi="ar"/>
              </w:rPr>
            </w:pPr>
            <w:r>
              <w:rPr>
                <w:rFonts w:hint="eastAsia" w:ascii="宋体" w:hAnsi="宋体" w:cs="宋体"/>
                <w:lang w:val="en-US" w:eastAsia="zh-CN"/>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数量</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单价</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Calibri" w:hAnsi="Calibri" w:eastAsia="宋体" w:cs="宋体"/>
                <w:kern w:val="2"/>
                <w:sz w:val="21"/>
                <w:szCs w:val="21"/>
                <w:lang w:val="en-US" w:eastAsia="zh-CN" w:bidi="ar"/>
              </w:rPr>
              <w:t>…</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pageBreakBefore w:val="0"/>
        <w:widowControl w:val="0"/>
        <w:suppressLineNumbers w:val="0"/>
        <w:kinsoku/>
        <w:overflowPunct/>
        <w:topLinePunct w:val="0"/>
        <w:bidi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pageBreakBefore w:val="0"/>
        <w:widowControl w:val="0"/>
        <w:suppressLineNumbers w:val="0"/>
        <w:kinsoku/>
        <w:overflowPunct/>
        <w:topLinePunct w:val="0"/>
        <w:bidi w:val="0"/>
        <w:adjustRightInd w:val="0"/>
        <w:snapToGrid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8"/>
        <w:pageBreakBefore w:val="0"/>
        <w:numPr>
          <w:ilvl w:val="0"/>
          <w:numId w:val="0"/>
        </w:numPr>
        <w:kinsoku/>
        <w:overflowPunct/>
        <w:topLinePunct w:val="0"/>
        <w:bidi w:val="0"/>
        <w:spacing w:line="360" w:lineRule="auto"/>
        <w:rPr>
          <w:rFonts w:hint="eastAsia"/>
        </w:rPr>
      </w:pPr>
      <w:r>
        <w:rPr>
          <w:rFonts w:hint="default" w:ascii="Calibri" w:hAnsi="Calibri" w:eastAsia="宋体" w:cs="Times New Roman"/>
          <w:kern w:val="2"/>
          <w:sz w:val="21"/>
          <w:szCs w:val="21"/>
          <w:lang w:val="en-US" w:eastAsia="zh-CN" w:bidi="ar"/>
        </w:rPr>
        <w:br w:type="page"/>
      </w:r>
    </w:p>
    <w:p>
      <w:pPr>
        <w:pStyle w:val="28"/>
        <w:pageBreakBefore w:val="0"/>
        <w:numPr>
          <w:ilvl w:val="0"/>
          <w:numId w:val="0"/>
        </w:numPr>
        <w:kinsoku/>
        <w:overflowPunct/>
        <w:topLinePunct w:val="0"/>
        <w:bidi w:val="0"/>
        <w:spacing w:line="360" w:lineRule="auto"/>
        <w:rPr>
          <w:rFonts w:hint="eastAsia"/>
        </w:rPr>
      </w:pP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）技术条款响应表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tc>
      </w:tr>
    </w:tbl>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投标人必须对应招标文件“用户需求书”中“技术指标和参数”的内容逐条响应。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szCs w:val="21"/>
          <w:lang w:val="en-US"/>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pageBreakBefore w:val="0"/>
        <w:kinsoku/>
        <w:overflowPunct/>
        <w:topLinePunct w:val="0"/>
        <w:bidi w:val="0"/>
        <w:spacing w:line="360" w:lineRule="auto"/>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ascii="宋体" w:hAnsi="宋体"/>
          <w:b/>
          <w:sz w:val="24"/>
        </w:rPr>
      </w:pPr>
    </w:p>
    <w:p>
      <w:pPr>
        <w:pageBreakBefore w:val="0"/>
        <w:kinsoku/>
        <w:overflowPunct/>
        <w:topLinePunct w:val="0"/>
        <w:bidi w:val="0"/>
        <w:spacing w:line="360" w:lineRule="auto"/>
        <w:rPr>
          <w:rFonts w:hint="eastAsia" w:ascii="宋体" w:hAnsi="宋体"/>
          <w:b/>
          <w:sz w:val="24"/>
        </w:rPr>
      </w:pPr>
    </w:p>
    <w:p>
      <w:pPr>
        <w:pageBreakBefore w:val="0"/>
        <w:kinsoku/>
        <w:overflowPunct/>
        <w:topLinePunct w:val="0"/>
        <w:bidi w:val="0"/>
        <w:spacing w:line="360" w:lineRule="auto"/>
        <w:rPr>
          <w:rFonts w:ascii="宋体" w:hAnsi="宋体"/>
          <w:b/>
          <w:sz w:val="24"/>
        </w:rPr>
      </w:pPr>
    </w:p>
    <w:bookmarkEnd w:id="20"/>
    <w:bookmarkEnd w:id="21"/>
    <w:bookmarkEnd w:id="22"/>
    <w:p>
      <w:pPr>
        <w:pStyle w:val="34"/>
        <w:pageBreakBefore w:val="0"/>
        <w:kinsoku/>
        <w:overflowPunct/>
        <w:topLinePunct w:val="0"/>
        <w:bidi w:val="0"/>
        <w:spacing w:line="360" w:lineRule="auto"/>
        <w:rPr>
          <w:rFonts w:hint="eastAsia" w:ascii="宋体" w:hAnsi="宋体" w:cs="仿宋_GB2312"/>
          <w:b/>
          <w:sz w:val="28"/>
          <w:szCs w:val="28"/>
        </w:rPr>
      </w:pPr>
    </w:p>
    <w:p>
      <w:pPr>
        <w:pStyle w:val="34"/>
        <w:pageBreakBefore w:val="0"/>
        <w:kinsoku/>
        <w:overflowPunct/>
        <w:topLinePunct w:val="0"/>
        <w:bidi w:val="0"/>
        <w:spacing w:line="360" w:lineRule="auto"/>
        <w:jc w:val="center"/>
        <w:rPr>
          <w:rFonts w:ascii="宋体" w:hAnsi="宋体" w:cs="仿宋_GB2312"/>
          <w:b/>
          <w:sz w:val="28"/>
          <w:szCs w:val="28"/>
        </w:rPr>
        <w:sectPr>
          <w:footerReference r:id="rId7" w:type="default"/>
          <w:pgSz w:w="11907" w:h="16840"/>
          <w:pgMar w:top="1134" w:right="1418" w:bottom="1134" w:left="1418" w:header="737" w:footer="454" w:gutter="0"/>
          <w:pgNumType w:fmt="decimal" w:start="1"/>
          <w:cols w:space="720" w:num="1"/>
          <w:docGrid w:type="linesAndChars" w:linePitch="312" w:charSpace="0"/>
        </w:sectPr>
      </w:pPr>
      <w:r>
        <w:rPr>
          <w:rFonts w:hint="eastAsia" w:ascii="宋体" w:hAnsi="宋体" w:cs="仿宋_GB2312"/>
          <w:b/>
          <w:sz w:val="28"/>
          <w:szCs w:val="28"/>
        </w:rPr>
        <w:t xml:space="preserve"> </w:t>
      </w:r>
    </w:p>
    <w:p>
      <w:pPr>
        <w:pStyle w:val="34"/>
        <w:pageBreakBefore w:val="0"/>
        <w:kinsoku/>
        <w:overflowPunct/>
        <w:topLinePunct w:val="0"/>
        <w:bidi w:val="0"/>
        <w:spacing w:line="360" w:lineRule="auto"/>
        <w:jc w:val="both"/>
        <w:rPr>
          <w:rFonts w:hint="eastAsia" w:ascii="宋体" w:hAnsi="宋体" w:cs="仿宋_GB2312"/>
          <w:b/>
          <w:sz w:val="28"/>
          <w:szCs w:val="28"/>
        </w:rPr>
      </w:pPr>
      <w:r>
        <w:rPr>
          <w:rFonts w:hint="eastAsia" w:ascii="宋体" w:hAnsi="宋体" w:cs="仿宋_GB2312"/>
          <w:b/>
          <w:sz w:val="28"/>
          <w:szCs w:val="28"/>
        </w:rPr>
        <w:t>六、投标报价文件</w:t>
      </w:r>
    </w:p>
    <w:p>
      <w:pPr>
        <w:pageBreakBefore w:val="0"/>
        <w:kinsoku/>
        <w:overflowPunct/>
        <w:topLinePunct w:val="0"/>
        <w:bidi w:val="0"/>
        <w:spacing w:line="360" w:lineRule="auto"/>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2"/>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3090" w:type="pct"/>
            <w:noWrap w:val="0"/>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rPr>
              <w:t>招标项目</w:t>
            </w:r>
            <w:r>
              <w:rPr>
                <w:rFonts w:hint="eastAsia" w:ascii="宋体" w:hAnsi="宋体" w:cs="宋体"/>
                <w:b/>
                <w:kern w:val="0"/>
                <w:sz w:val="24"/>
                <w:szCs w:val="24"/>
                <w:lang w:val="en-US" w:eastAsia="zh-CN"/>
              </w:rPr>
              <w:t>名称</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lang w:eastAsia="zh-CN"/>
              </w:rPr>
            </w:pPr>
            <w:r>
              <w:rPr>
                <w:rFonts w:hint="eastAsia" w:ascii="宋体" w:hAnsi="宋体" w:eastAsia="宋体" w:cs="宋体"/>
                <w:b/>
                <w:kern w:val="0"/>
                <w:sz w:val="24"/>
                <w:szCs w:val="24"/>
              </w:rPr>
              <w:t>招标项目</w:t>
            </w:r>
            <w:r>
              <w:rPr>
                <w:rFonts w:hint="eastAsia" w:ascii="宋体" w:hAnsi="宋体" w:cs="宋体"/>
                <w:b/>
                <w:kern w:val="0"/>
                <w:sz w:val="24"/>
                <w:szCs w:val="24"/>
                <w:lang w:val="en-US" w:eastAsia="zh-CN"/>
              </w:rPr>
              <w:t>编号</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投标</w:t>
            </w:r>
            <w:r>
              <w:rPr>
                <w:rFonts w:hint="eastAsia" w:ascii="宋体" w:hAnsi="宋体" w:cs="宋体"/>
                <w:b/>
                <w:kern w:val="0"/>
                <w:sz w:val="24"/>
                <w:szCs w:val="24"/>
                <w:lang w:val="en-US" w:eastAsia="zh-CN"/>
              </w:rPr>
              <w:t>总</w:t>
            </w:r>
            <w:r>
              <w:rPr>
                <w:rFonts w:hint="eastAsia" w:ascii="宋体" w:hAnsi="宋体" w:eastAsia="宋体" w:cs="宋体"/>
                <w:b/>
                <w:kern w:val="0"/>
                <w:sz w:val="24"/>
                <w:szCs w:val="24"/>
              </w:rPr>
              <w:t>报价（元）</w:t>
            </w:r>
          </w:p>
        </w:tc>
        <w:tc>
          <w:tcPr>
            <w:tcW w:w="3090" w:type="pct"/>
            <w:noWrap/>
            <w:vAlign w:val="top"/>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w:t>
            </w:r>
          </w:p>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lang w:eastAsia="zh-CN"/>
              </w:rPr>
            </w:pPr>
            <w:r>
              <w:rPr>
                <w:rFonts w:hint="eastAsia" w:ascii="宋体" w:hAnsi="宋体"/>
                <w:bCs/>
                <w:snapToGrid w:val="0"/>
                <w:szCs w:val="21"/>
              </w:rPr>
              <w:t>大写：</w:t>
            </w:r>
            <w:r>
              <w:rPr>
                <w:rFonts w:hint="eastAsia" w:ascii="宋体" w:hAnsi="宋体"/>
                <w:bCs/>
                <w:snapToGrid w:val="0"/>
                <w:szCs w:val="21"/>
                <w:u w:val="single"/>
              </w:rPr>
              <w:t xml:space="preserve">                    </w:t>
            </w:r>
            <w:r>
              <w:rPr>
                <w:rFonts w:hint="eastAsia" w:ascii="宋体" w:hAnsi="宋体"/>
                <w:bCs/>
                <w:snapToGrid w:val="0"/>
                <w:szCs w:val="21"/>
              </w:rPr>
              <w:t>元</w:t>
            </w:r>
            <w:r>
              <w:rPr>
                <w:rFonts w:hint="eastAsia" w:ascii="宋体" w:hAnsi="宋体"/>
                <w:bCs/>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09" w:type="pct"/>
            <w:noWrap w:val="0"/>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3090" w:type="pct"/>
            <w:noWrap/>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pageBreakBefore w:val="0"/>
        <w:kinsoku/>
        <w:overflowPunct/>
        <w:topLinePunct w:val="0"/>
        <w:bidi w:val="0"/>
        <w:spacing w:line="360" w:lineRule="auto"/>
        <w:rPr>
          <w:rFonts w:hint="eastAsia" w:ascii="宋体" w:hAnsi="宋体" w:cs="宋体"/>
          <w:kern w:val="0"/>
          <w:szCs w:val="21"/>
        </w:rPr>
      </w:pPr>
    </w:p>
    <w:p>
      <w:pPr>
        <w:pageBreakBefore w:val="0"/>
        <w:kinsoku/>
        <w:overflowPunct/>
        <w:topLinePunct w:val="0"/>
        <w:bidi w:val="0"/>
        <w:spacing w:line="360" w:lineRule="auto"/>
        <w:ind w:firstLine="420" w:firstLineChars="200"/>
        <w:rPr>
          <w:rFonts w:hint="eastAsia" w:ascii="宋体" w:hAnsi="宋体" w:cs="仿宋_GB2312"/>
          <w:szCs w:val="21"/>
        </w:rPr>
      </w:pPr>
    </w:p>
    <w:p>
      <w:pPr>
        <w:pageBreakBefore w:val="0"/>
        <w:kinsoku/>
        <w:overflowPunct/>
        <w:topLinePunct w:val="0"/>
        <w:bidi w:val="0"/>
        <w:adjustRightInd w:val="0"/>
        <w:snapToGrid w:val="0"/>
        <w:spacing w:line="360" w:lineRule="auto"/>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pageBreakBefore w:val="0"/>
        <w:kinsoku/>
        <w:overflowPunct/>
        <w:topLinePunct w:val="0"/>
        <w:bidi w:val="0"/>
        <w:adjustRightInd w:val="0"/>
        <w:snapToGrid w:val="0"/>
        <w:spacing w:line="360" w:lineRule="auto"/>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pageBreakBefore w:val="0"/>
        <w:kinsoku/>
        <w:overflowPunct/>
        <w:topLinePunct w:val="0"/>
        <w:bidi w:val="0"/>
        <w:spacing w:line="360" w:lineRule="auto"/>
        <w:jc w:val="left"/>
        <w:rPr>
          <w:rFonts w:ascii="宋体" w:hAnsi="宋体"/>
          <w:b/>
          <w:sz w:val="24"/>
        </w:rPr>
        <w:sectPr>
          <w:pgSz w:w="11907" w:h="16840"/>
          <w:pgMar w:top="3306" w:right="1418" w:bottom="2394" w:left="1418" w:header="737" w:footer="454" w:gutter="0"/>
          <w:pgNumType w:fmt="decimal"/>
          <w:cols w:space="720" w:num="1"/>
          <w:docGrid w:linePitch="312" w:charSpace="0"/>
        </w:sectPr>
      </w:pPr>
      <w:r>
        <w:rPr>
          <w:rFonts w:hint="eastAsia" w:ascii="宋体" w:hAnsi="宋体" w:cs="仿宋_GB2312"/>
          <w:szCs w:val="21"/>
        </w:rPr>
        <w:t>日期：   年   月   日</w:t>
      </w:r>
    </w:p>
    <w:p>
      <w:pPr>
        <w:pageBreakBefore w:val="0"/>
        <w:kinsoku/>
        <w:overflowPunct/>
        <w:topLinePunct w:val="0"/>
        <w:bidi w:val="0"/>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pageBreakBefore w:val="0"/>
        <w:kinsoku/>
        <w:overflowPunct/>
        <w:topLinePunct w:val="0"/>
        <w:bidi w:val="0"/>
        <w:spacing w:line="360" w:lineRule="auto"/>
        <w:ind w:firstLine="482" w:firstLineChars="200"/>
        <w:rPr>
          <w:rFonts w:ascii="宋体" w:hAnsi="宋体"/>
          <w:b/>
          <w:sz w:val="24"/>
        </w:rPr>
      </w:pPr>
    </w:p>
    <w:p>
      <w:pPr>
        <w:pageBreakBefore w:val="0"/>
        <w:kinsoku/>
        <w:overflowPunct/>
        <w:topLinePunct w:val="0"/>
        <w:bidi w:val="0"/>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pageBreakBefore w:val="0"/>
        <w:kinsoku/>
        <w:overflowPunct/>
        <w:topLinePunct w:val="0"/>
        <w:bidi w:val="0"/>
        <w:spacing w:line="360" w:lineRule="auto"/>
        <w:ind w:firstLine="562" w:firstLineChars="200"/>
        <w:rPr>
          <w:rFonts w:hint="eastAsia" w:ascii="宋体" w:hAnsi="宋体"/>
          <w:b/>
          <w:sz w:val="28"/>
          <w:szCs w:val="28"/>
        </w:rPr>
      </w:pPr>
    </w:p>
    <w:tbl>
      <w:tblPr>
        <w:tblStyle w:val="22"/>
        <w:tblW w:w="8693" w:type="dxa"/>
        <w:jc w:val="center"/>
        <w:tblLayout w:type="fixed"/>
        <w:tblCellMar>
          <w:top w:w="0" w:type="dxa"/>
          <w:left w:w="108" w:type="dxa"/>
          <w:bottom w:w="0" w:type="dxa"/>
          <w:right w:w="108" w:type="dxa"/>
        </w:tblCellMar>
      </w:tblPr>
      <w:tblGrid>
        <w:gridCol w:w="1050"/>
        <w:gridCol w:w="1211"/>
        <w:gridCol w:w="1761"/>
        <w:gridCol w:w="1172"/>
        <w:gridCol w:w="670"/>
        <w:gridCol w:w="1130"/>
        <w:gridCol w:w="762"/>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产地厂家</w:t>
            </w:r>
          </w:p>
        </w:tc>
        <w:tc>
          <w:tcPr>
            <w:tcW w:w="67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13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数量单位</w:t>
            </w: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13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13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13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17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7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130"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adjustRightInd w:val="0"/>
        <w:snapToGrid w:val="0"/>
        <w:spacing w:line="360" w:lineRule="auto"/>
        <w:ind w:firstLine="210" w:firstLineChars="100"/>
        <w:rPr>
          <w:rFonts w:hint="eastAsia" w:ascii="宋体" w:hAnsi="宋体"/>
          <w:szCs w:val="21"/>
        </w:rPr>
      </w:pPr>
    </w:p>
    <w:p>
      <w:pPr>
        <w:pageBreakBefore w:val="0"/>
        <w:kinsoku/>
        <w:overflowPunct/>
        <w:topLinePunct w:val="0"/>
        <w:bidi w:val="0"/>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pageBreakBefore w:val="0"/>
        <w:numPr>
          <w:ilvl w:val="0"/>
          <w:numId w:val="6"/>
        </w:numPr>
        <w:kinsoku/>
        <w:overflowPunct/>
        <w:topLinePunct w:val="0"/>
        <w:bidi w:val="0"/>
        <w:spacing w:line="360" w:lineRule="auto"/>
        <w:ind w:left="525" w:leftChars="0" w:firstLine="0" w:firstLineChars="0"/>
        <w:rPr>
          <w:rFonts w:ascii="宋体" w:hAnsi="宋体" w:cs="宋体"/>
          <w:kern w:val="0"/>
          <w:szCs w:val="21"/>
        </w:rPr>
      </w:pPr>
      <w:r>
        <w:rPr>
          <w:rFonts w:ascii="宋体" w:hAnsi="宋体" w:cs="宋体"/>
          <w:kern w:val="0"/>
          <w:szCs w:val="21"/>
        </w:rPr>
        <w:t>分项报价格式不能修改，不能删除列。</w:t>
      </w:r>
    </w:p>
    <w:p>
      <w:pPr>
        <w:pageBreakBefore w:val="0"/>
        <w:numPr>
          <w:ilvl w:val="0"/>
          <w:numId w:val="6"/>
        </w:numPr>
        <w:kinsoku/>
        <w:overflowPunct/>
        <w:topLinePunct w:val="0"/>
        <w:bidi w:val="0"/>
        <w:spacing w:line="360" w:lineRule="auto"/>
        <w:ind w:left="525" w:leftChars="0" w:firstLine="0" w:firstLineChars="0"/>
        <w:rPr>
          <w:rFonts w:hint="eastAsia" w:ascii="宋体" w:hAnsi="宋体"/>
          <w:szCs w:val="21"/>
        </w:rPr>
      </w:pP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rPr>
          <w:rFonts w:hint="eastAsia" w:ascii="宋体" w:hAnsi="宋体"/>
          <w:szCs w:val="21"/>
        </w:rPr>
      </w:pPr>
    </w:p>
    <w:p>
      <w:pPr>
        <w:pageBreakBefore w:val="0"/>
        <w:kinsoku/>
        <w:overflowPunct/>
        <w:topLinePunct w:val="0"/>
        <w:bidi w:val="0"/>
        <w:adjustRightInd w:val="0"/>
        <w:snapToGrid w:val="0"/>
        <w:spacing w:line="360" w:lineRule="auto"/>
        <w:rPr>
          <w:rFonts w:hint="eastAsia" w:ascii="宋体" w:hAnsi="宋体"/>
          <w:szCs w:val="21"/>
        </w:rPr>
      </w:pPr>
      <w:r>
        <w:rPr>
          <w:rFonts w:hint="eastAsia" w:ascii="宋体" w:hAnsi="宋体"/>
          <w:szCs w:val="21"/>
        </w:rPr>
        <w:t xml:space="preserve">               </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投标人法定代表人（或法定代表人授权代表）签字：</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pStyle w:val="2"/>
        <w:rPr>
          <w:rFonts w:hint="eastAsia"/>
        </w:rPr>
      </w:pPr>
    </w:p>
    <w:p>
      <w:pPr>
        <w:pStyle w:val="28"/>
        <w:pageBreakBefore w:val="0"/>
        <w:kinsoku/>
        <w:overflowPunct/>
        <w:topLinePunct w:val="0"/>
        <w:bidi w:val="0"/>
        <w:spacing w:line="360" w:lineRule="auto"/>
        <w:rPr>
          <w:rFonts w:ascii="宋体" w:hAnsi="宋体" w:cs="仿宋_GB2312"/>
        </w:rPr>
      </w:pPr>
    </w:p>
    <w:p>
      <w:pPr>
        <w:pageBreakBefore w:val="0"/>
        <w:kinsoku/>
        <w:overflowPunct/>
        <w:topLinePunct w:val="0"/>
        <w:bidi w:val="0"/>
        <w:spacing w:line="360" w:lineRule="auto"/>
        <w:rPr>
          <w:rFonts w:hint="default" w:ascii="宋体" w:hAnsi="宋体" w:eastAsia="宋体"/>
          <w:b/>
          <w:sz w:val="24"/>
          <w:lang w:val="en-US" w:eastAsia="zh-CN"/>
        </w:rPr>
      </w:pPr>
      <w:r>
        <w:rPr>
          <w:rFonts w:ascii="宋体" w:hAnsi="宋体"/>
          <w:b/>
          <w:sz w:val="24"/>
        </w:rPr>
        <w:t>6</w:t>
      </w:r>
      <w:r>
        <w:rPr>
          <w:rFonts w:hint="eastAsia" w:ascii="宋体" w:hAnsi="宋体"/>
          <w:b/>
          <w:sz w:val="24"/>
        </w:rPr>
        <w:t>.</w:t>
      </w:r>
      <w:r>
        <w:rPr>
          <w:rFonts w:hint="eastAsia" w:ascii="宋体" w:hAnsi="宋体"/>
          <w:b/>
          <w:sz w:val="24"/>
          <w:lang w:val="en-US" w:eastAsia="zh-CN"/>
        </w:rPr>
        <w:t>3配套耗材报价表</w:t>
      </w:r>
    </w:p>
    <w:p>
      <w:pPr>
        <w:pStyle w:val="28"/>
        <w:pageBreakBefore w:val="0"/>
        <w:kinsoku/>
        <w:overflowPunct/>
        <w:topLinePunct w:val="0"/>
        <w:bidi w:val="0"/>
        <w:spacing w:line="360" w:lineRule="auto"/>
        <w:rPr>
          <w:rFonts w:ascii="宋体" w:hAnsi="宋体" w:cs="仿宋_GB2312"/>
        </w:rPr>
      </w:pPr>
    </w:p>
    <w:tbl>
      <w:tblPr>
        <w:tblStyle w:val="22"/>
        <w:tblW w:w="8023" w:type="dxa"/>
        <w:jc w:val="center"/>
        <w:tblLayout w:type="fixed"/>
        <w:tblCellMar>
          <w:top w:w="0" w:type="dxa"/>
          <w:left w:w="108" w:type="dxa"/>
          <w:bottom w:w="0" w:type="dxa"/>
          <w:right w:w="108" w:type="dxa"/>
        </w:tblCellMar>
      </w:tblPr>
      <w:tblGrid>
        <w:gridCol w:w="911"/>
        <w:gridCol w:w="1224"/>
        <w:gridCol w:w="1596"/>
        <w:gridCol w:w="1704"/>
        <w:gridCol w:w="889"/>
        <w:gridCol w:w="762"/>
        <w:gridCol w:w="937"/>
      </w:tblGrid>
      <w:tr>
        <w:tblPrEx>
          <w:tblCellMar>
            <w:top w:w="0" w:type="dxa"/>
            <w:left w:w="108" w:type="dxa"/>
            <w:bottom w:w="0" w:type="dxa"/>
            <w:right w:w="108" w:type="dxa"/>
          </w:tblCellMar>
        </w:tblPrEx>
        <w:trPr>
          <w:trHeight w:val="510" w:hRule="atLeast"/>
          <w:jc w:val="center"/>
        </w:trPr>
        <w:tc>
          <w:tcPr>
            <w:tcW w:w="802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配套耗材报价表</w:t>
            </w:r>
          </w:p>
        </w:tc>
      </w:tr>
      <w:tr>
        <w:tblPrEx>
          <w:tblCellMar>
            <w:top w:w="0" w:type="dxa"/>
            <w:left w:w="108" w:type="dxa"/>
            <w:bottom w:w="0" w:type="dxa"/>
            <w:right w:w="108" w:type="dxa"/>
          </w:tblCellMar>
        </w:tblPrEx>
        <w:trPr>
          <w:trHeight w:val="541"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分项号</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耗材</w:t>
            </w:r>
            <w:r>
              <w:rPr>
                <w:rFonts w:hint="eastAsia" w:ascii="宋体" w:hAnsi="宋体" w:eastAsia="宋体" w:cs="宋体"/>
                <w:b/>
                <w:bCs/>
                <w:kern w:val="0"/>
                <w:sz w:val="21"/>
                <w:szCs w:val="21"/>
              </w:rPr>
              <w:t>名称</w:t>
            </w:r>
          </w:p>
        </w:tc>
        <w:tc>
          <w:tcPr>
            <w:tcW w:w="159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规格型号</w:t>
            </w:r>
          </w:p>
        </w:tc>
        <w:tc>
          <w:tcPr>
            <w:tcW w:w="17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产地生产厂家</w:t>
            </w:r>
          </w:p>
        </w:tc>
        <w:tc>
          <w:tcPr>
            <w:tcW w:w="88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单位</w:t>
            </w: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单价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rPr>
              <w:t>备注</w:t>
            </w:r>
          </w:p>
        </w:tc>
      </w:tr>
      <w:tr>
        <w:tblPrEx>
          <w:tblCellMar>
            <w:top w:w="0" w:type="dxa"/>
            <w:left w:w="108" w:type="dxa"/>
            <w:bottom w:w="0" w:type="dxa"/>
            <w:right w:w="108" w:type="dxa"/>
          </w:tblCellMar>
        </w:tblPrEx>
        <w:trPr>
          <w:trHeight w:val="616"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59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7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88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59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7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88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59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7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88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76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bl>
    <w:p>
      <w:pPr>
        <w:pStyle w:val="28"/>
        <w:pageBreakBefore w:val="0"/>
        <w:kinsoku/>
        <w:overflowPunct/>
        <w:topLinePunct w:val="0"/>
        <w:bidi w:val="0"/>
        <w:spacing w:line="360" w:lineRule="auto"/>
        <w:rPr>
          <w:rFonts w:ascii="宋体" w:hAnsi="宋体" w:cs="仿宋_GB2312"/>
        </w:rPr>
      </w:pPr>
    </w:p>
    <w:p>
      <w:pPr>
        <w:pageBreakBefore w:val="0"/>
        <w:kinsoku/>
        <w:overflowPunct/>
        <w:topLinePunct w:val="0"/>
        <w:bidi w:val="0"/>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pageBreakBefore w:val="0"/>
        <w:numPr>
          <w:ilvl w:val="0"/>
          <w:numId w:val="7"/>
        </w:numPr>
        <w:kinsoku/>
        <w:overflowPunct/>
        <w:topLinePunct w:val="0"/>
        <w:bidi w:val="0"/>
        <w:spacing w:line="360" w:lineRule="auto"/>
        <w:ind w:left="525" w:leftChars="0" w:firstLine="0" w:firstLineChars="0"/>
        <w:rPr>
          <w:rFonts w:ascii="宋体" w:hAnsi="宋体" w:cs="宋体"/>
          <w:kern w:val="0"/>
          <w:szCs w:val="21"/>
        </w:rPr>
      </w:pPr>
      <w:r>
        <w:rPr>
          <w:rFonts w:hint="eastAsia" w:ascii="宋体" w:hAnsi="宋体" w:cs="宋体"/>
          <w:kern w:val="0"/>
          <w:szCs w:val="21"/>
          <w:lang w:val="en-US" w:eastAsia="zh-CN"/>
        </w:rPr>
        <w:t>表格</w:t>
      </w:r>
      <w:r>
        <w:rPr>
          <w:rFonts w:ascii="宋体" w:hAnsi="宋体" w:cs="宋体"/>
          <w:kern w:val="0"/>
          <w:szCs w:val="21"/>
        </w:rPr>
        <w:t>格式不能修改，不能删除列。</w:t>
      </w:r>
    </w:p>
    <w:p>
      <w:pPr>
        <w:pStyle w:val="2"/>
        <w:widowControl w:val="0"/>
        <w:numPr>
          <w:ilvl w:val="0"/>
          <w:numId w:val="0"/>
        </w:numPr>
        <w:ind w:right="353" w:rightChars="0"/>
        <w:jc w:val="center"/>
      </w:pPr>
    </w:p>
    <w:p>
      <w:pPr>
        <w:pStyle w:val="2"/>
        <w:widowControl w:val="0"/>
        <w:numPr>
          <w:ilvl w:val="0"/>
          <w:numId w:val="0"/>
        </w:numPr>
        <w:ind w:right="353" w:rightChars="0"/>
        <w:jc w:val="center"/>
      </w:pPr>
    </w:p>
    <w:p>
      <w:pPr>
        <w:pStyle w:val="2"/>
        <w:widowControl w:val="0"/>
        <w:numPr>
          <w:ilvl w:val="0"/>
          <w:numId w:val="0"/>
        </w:numPr>
        <w:ind w:right="353" w:rightChars="0"/>
        <w:jc w:val="center"/>
      </w:pP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投标人法定代表人（或法定代表人授权代表）签字：</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投标人名称（加盖公章）：</w:t>
      </w:r>
    </w:p>
    <w:p>
      <w:pPr>
        <w:pageBreakBefore w:val="0"/>
        <w:kinsoku/>
        <w:overflowPunct/>
        <w:topLinePunct w:val="0"/>
        <w:bidi w:val="0"/>
        <w:adjustRightInd w:val="0"/>
        <w:snapToGrid w:val="0"/>
        <w:spacing w:line="360" w:lineRule="auto"/>
        <w:ind w:firstLine="210" w:firstLineChars="100"/>
        <w:rPr>
          <w:rFonts w:hint="eastAsia"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rPr>
          <w:rFonts w:ascii="宋体" w:hAnsi="宋体"/>
          <w:b/>
          <w:sz w:val="32"/>
          <w:szCs w:val="32"/>
        </w:rPr>
      </w:pPr>
      <w:r>
        <w:rPr>
          <w:rFonts w:hint="eastAsia" w:ascii="宋体" w:hAnsi="宋体"/>
          <w:b/>
          <w:sz w:val="28"/>
          <w:szCs w:val="28"/>
        </w:rPr>
        <w:t>附件1：</w:t>
      </w:r>
    </w:p>
    <w:p>
      <w:pPr>
        <w:pageBreakBefore w:val="0"/>
        <w:tabs>
          <w:tab w:val="left" w:pos="284"/>
          <w:tab w:val="left" w:pos="851"/>
        </w:tabs>
        <w:kinsoku/>
        <w:overflowPunct/>
        <w:topLinePunct w:val="0"/>
        <w:bidi w:val="0"/>
        <w:spacing w:line="360" w:lineRule="auto"/>
        <w:jc w:val="center"/>
        <w:rPr>
          <w:rFonts w:ascii="宋体" w:hAnsi="宋体"/>
          <w:b/>
          <w:sz w:val="32"/>
          <w:szCs w:val="32"/>
        </w:rPr>
      </w:pPr>
      <w:r>
        <w:rPr>
          <w:rFonts w:hint="eastAsia" w:ascii="宋体" w:hAnsi="宋体"/>
          <w:b/>
          <w:sz w:val="32"/>
          <w:szCs w:val="32"/>
        </w:rPr>
        <w:t>投标报名函</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pageBreakBefore w:val="0"/>
        <w:tabs>
          <w:tab w:val="left" w:pos="284"/>
          <w:tab w:val="left" w:pos="851"/>
        </w:tabs>
        <w:kinsoku/>
        <w:overflowPunct/>
        <w:topLinePunct w:val="0"/>
        <w:bidi w:val="0"/>
        <w:spacing w:line="36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pageBreakBefore w:val="0"/>
        <w:tabs>
          <w:tab w:val="left" w:pos="284"/>
          <w:tab w:val="left" w:pos="851"/>
        </w:tabs>
        <w:kinsoku/>
        <w:overflowPunct/>
        <w:topLinePunct w:val="0"/>
        <w:bidi w:val="0"/>
        <w:spacing w:line="360" w:lineRule="auto"/>
        <w:ind w:left="286" w:leftChars="136" w:firstLine="480" w:firstLineChars="200"/>
        <w:jc w:val="left"/>
        <w:rPr>
          <w:rFonts w:ascii="宋体" w:hAnsi="宋体"/>
          <w:bCs/>
          <w:sz w:val="24"/>
        </w:rPr>
      </w:pPr>
      <w:r>
        <w:rPr>
          <w:rFonts w:ascii="宋体" w:hAnsi="宋体"/>
          <w:sz w:val="24"/>
        </w:rPr>
        <w:t xml:space="preserve"> </w:t>
      </w:r>
    </w:p>
    <w:p>
      <w:pPr>
        <w:pageBreakBefore w:val="0"/>
        <w:tabs>
          <w:tab w:val="left" w:pos="284"/>
          <w:tab w:val="left" w:pos="851"/>
        </w:tabs>
        <w:kinsoku/>
        <w:overflowPunct/>
        <w:topLinePunct w:val="0"/>
        <w:bidi w:val="0"/>
        <w:spacing w:line="360" w:lineRule="auto"/>
        <w:jc w:val="left"/>
        <w:rPr>
          <w:rFonts w:ascii="宋体" w:hAnsi="宋体"/>
          <w:bCs/>
          <w:sz w:val="24"/>
        </w:rPr>
      </w:pPr>
    </w:p>
    <w:p>
      <w:pPr>
        <w:pageBreakBefore w:val="0"/>
        <w:tabs>
          <w:tab w:val="left" w:pos="284"/>
          <w:tab w:val="left" w:pos="851"/>
        </w:tabs>
        <w:kinsoku/>
        <w:overflowPunct/>
        <w:topLinePunct w:val="0"/>
        <w:bidi w:val="0"/>
        <w:spacing w:line="360" w:lineRule="auto"/>
        <w:jc w:val="left"/>
        <w:rPr>
          <w:rFonts w:ascii="宋体" w:hAnsi="宋体"/>
          <w:bCs/>
          <w:sz w:val="24"/>
        </w:rPr>
      </w:pPr>
    </w:p>
    <w:p>
      <w:pPr>
        <w:pStyle w:val="12"/>
        <w:pageBreakBefore w:val="0"/>
        <w:kinsoku/>
        <w:overflowPunct/>
        <w:topLinePunct w:val="0"/>
        <w:bidi w:val="0"/>
        <w:spacing w:line="360" w:lineRule="auto"/>
        <w:rPr>
          <w:rFonts w:hint="eastAsia" w:ascii="宋体" w:hAnsi="宋体"/>
          <w:b/>
          <w:sz w:val="28"/>
          <w:szCs w:val="28"/>
        </w:rPr>
      </w:pPr>
      <w:r>
        <w:rPr>
          <w:rFonts w:hint="eastAsia" w:ascii="宋体" w:hAnsi="宋体"/>
          <w:b/>
          <w:sz w:val="28"/>
          <w:szCs w:val="28"/>
        </w:rPr>
        <w:t>说明：此函用于报名时提供</w:t>
      </w:r>
    </w:p>
    <w:p>
      <w:pPr>
        <w:pStyle w:val="12"/>
        <w:pageBreakBefore w:val="0"/>
        <w:kinsoku/>
        <w:overflowPunct/>
        <w:topLinePunct w:val="0"/>
        <w:bidi w:val="0"/>
        <w:spacing w:line="360" w:lineRule="auto"/>
        <w:rPr>
          <w:rFonts w:hint="eastAsia" w:ascii="宋体" w:hAnsi="宋体"/>
          <w:b/>
          <w:sz w:val="28"/>
          <w:szCs w:val="28"/>
        </w:rPr>
      </w:pPr>
    </w:p>
    <w:p>
      <w:pPr>
        <w:pStyle w:val="12"/>
        <w:pageBreakBefore w:val="0"/>
        <w:kinsoku/>
        <w:overflowPunct/>
        <w:topLinePunct w:val="0"/>
        <w:bidi w:val="0"/>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pageBreakBefore w:val="0"/>
        <w:kinsoku/>
        <w:overflowPunct/>
        <w:topLinePunct w:val="0"/>
        <w:autoSpaceDE w:val="0"/>
        <w:autoSpaceDN w:val="0"/>
        <w:bidi w:val="0"/>
        <w:spacing w:line="360" w:lineRule="auto"/>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pageBreakBefore w:val="0"/>
        <w:kinsoku/>
        <w:overflowPunct/>
        <w:topLinePunct w:val="0"/>
        <w:bidi w:val="0"/>
        <w:spacing w:line="360" w:lineRule="auto"/>
        <w:rPr>
          <w:rFonts w:hint="eastAsia"/>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autoSpaceDE w:val="0"/>
        <w:autoSpaceDN w:val="0"/>
        <w:adjustRightInd w:val="0"/>
        <w:snapToGrid w:val="0"/>
        <w:spacing w:line="288" w:lineRule="auto"/>
        <w:jc w:val="left"/>
        <w:rPr>
          <w:rFonts w:hint="eastAsia" w:ascii="宋体" w:hAnsi="宋体"/>
          <w:b/>
          <w:bCs/>
          <w:sz w:val="32"/>
          <w:szCs w:val="32"/>
        </w:rPr>
      </w:pP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参加</w:t>
      </w:r>
      <w:r>
        <w:rPr>
          <w:rFonts w:hint="eastAsia" w:ascii="宋体" w:hAnsi="宋体"/>
          <w:b/>
          <w:bCs/>
          <w:sz w:val="32"/>
          <w:szCs w:val="32"/>
          <w:lang w:val="en-US" w:eastAsia="zh-CN"/>
        </w:rPr>
        <w:t>本次</w:t>
      </w:r>
      <w:r>
        <w:rPr>
          <w:rFonts w:hint="eastAsia" w:ascii="宋体" w:hAnsi="宋体"/>
          <w:b/>
          <w:bCs/>
          <w:sz w:val="32"/>
          <w:szCs w:val="32"/>
        </w:rPr>
        <w:t>采购活动前三年内在经营活动中</w:t>
      </w:r>
    </w:p>
    <w:p>
      <w:pPr>
        <w:autoSpaceDE w:val="0"/>
        <w:autoSpaceDN w:val="0"/>
        <w:adjustRightInd w:val="0"/>
        <w:snapToGrid w:val="0"/>
        <w:spacing w:line="288" w:lineRule="auto"/>
        <w:jc w:val="center"/>
        <w:rPr>
          <w:rFonts w:hint="eastAsia"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hint="eastAsia" w:ascii="宋体" w:hAnsi="宋体"/>
        </w:rPr>
      </w:pPr>
    </w:p>
    <w:p>
      <w:pPr>
        <w:autoSpaceDE w:val="0"/>
        <w:autoSpaceDN w:val="0"/>
        <w:adjustRightInd w:val="0"/>
        <w:snapToGrid w:val="0"/>
        <w:spacing w:line="408" w:lineRule="auto"/>
        <w:rPr>
          <w:rFonts w:hint="eastAsia"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hint="eastAsia"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rPr>
          <w:rFonts w:hint="eastAsia" w:ascii="宋体" w:hAnsi="宋体"/>
          <w:sz w:val="24"/>
          <w:szCs w:val="24"/>
        </w:rPr>
      </w:pP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hint="eastAsia" w:ascii="宋体" w:hAnsi="宋体"/>
          <w:sz w:val="24"/>
          <w:szCs w:val="24"/>
        </w:rPr>
      </w:pPr>
      <w:r>
        <w:rPr>
          <w:rFonts w:hint="eastAsia" w:ascii="宋体" w:hAnsi="宋体"/>
          <w:sz w:val="24"/>
          <w:szCs w:val="24"/>
        </w:rPr>
        <w:t>日　期：      年    月    日</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Style w:val="2"/>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left"/>
        <w:rPr>
          <w:rFonts w:hint="eastAsia" w:ascii="宋体" w:hAnsi="宋体"/>
          <w:b/>
          <w:sz w:val="28"/>
          <w:szCs w:val="28"/>
        </w:rPr>
      </w:pPr>
    </w:p>
    <w:p>
      <w:pPr>
        <w:pageBreakBefore w:val="0"/>
        <w:tabs>
          <w:tab w:val="left" w:pos="284"/>
          <w:tab w:val="left" w:pos="851"/>
        </w:tabs>
        <w:kinsoku/>
        <w:overflowPunct/>
        <w:topLinePunct w:val="0"/>
        <w:bidi w:val="0"/>
        <w:spacing w:line="36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3</w:t>
      </w:r>
      <w:r>
        <w:rPr>
          <w:rFonts w:hint="eastAsia" w:ascii="宋体" w:hAnsi="宋体"/>
          <w:b/>
          <w:sz w:val="28"/>
          <w:szCs w:val="28"/>
        </w:rPr>
        <w:t>：</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kern w:val="2"/>
          <w:sz w:val="48"/>
          <w:szCs w:val="48"/>
          <w:lang w:val="zh-CN" w:eastAsia="zh-CN" w:bidi="ar"/>
        </w:rPr>
      </w:pPr>
    </w:p>
    <w:p>
      <w:pPr>
        <w:pageBreakBefore w:val="0"/>
        <w:tabs>
          <w:tab w:val="left" w:pos="284"/>
          <w:tab w:val="left" w:pos="851"/>
        </w:tabs>
        <w:kinsoku/>
        <w:overflowPunct/>
        <w:topLinePunct w:val="0"/>
        <w:bidi w:val="0"/>
        <w:spacing w:line="360" w:lineRule="auto"/>
        <w:jc w:val="center"/>
        <w:rPr>
          <w:rFonts w:hint="eastAsia" w:ascii="宋体" w:hAnsi="宋体"/>
          <w:b/>
          <w:sz w:val="32"/>
          <w:szCs w:val="32"/>
          <w:lang w:val="zh-CN" w:eastAsia="zh-CN"/>
        </w:rPr>
      </w:pPr>
      <w:r>
        <w:rPr>
          <w:rFonts w:hint="eastAsia" w:ascii="宋体" w:hAnsi="宋体"/>
          <w:b/>
          <w:sz w:val="32"/>
          <w:szCs w:val="32"/>
          <w:lang w:val="en-US" w:eastAsia="zh-CN"/>
        </w:rPr>
        <w:t>开</w:t>
      </w:r>
      <w:r>
        <w:rPr>
          <w:rFonts w:hint="eastAsia" w:ascii="宋体" w:hAnsi="宋体"/>
          <w:b/>
          <w:sz w:val="32"/>
          <w:szCs w:val="32"/>
          <w:lang w:val="zh-CN" w:eastAsia="zh-CN"/>
        </w:rPr>
        <w:t>标信封</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both"/>
        <w:rPr>
          <w:rFonts w:hint="eastAsia" w:ascii="宋体" w:hAnsi="宋体" w:eastAsia="宋体" w:cs="宋体"/>
          <w:lang w:val="zh-CN" w:eastAsia="zh-CN"/>
        </w:rPr>
      </w:pP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zh-CN" w:eastAsia="zh-CN"/>
        </w:rPr>
        <w:t>一、投标报价一览表</w:t>
      </w:r>
    </w:p>
    <w:p>
      <w:pPr>
        <w:pageBreakBefore w:val="0"/>
        <w:tabs>
          <w:tab w:val="left" w:pos="284"/>
          <w:tab w:val="left" w:pos="851"/>
        </w:tabs>
        <w:kinsoku/>
        <w:overflowPunct/>
        <w:topLinePunct w:val="0"/>
        <w:bidi w:val="0"/>
        <w:spacing w:line="360" w:lineRule="auto"/>
        <w:jc w:val="left"/>
        <w:rPr>
          <w:rFonts w:hint="default" w:ascii="宋体" w:hAnsi="宋体"/>
          <w:sz w:val="24"/>
          <w:lang w:val="en-US" w:eastAsia="zh-CN"/>
        </w:rPr>
      </w:pPr>
      <w:r>
        <w:rPr>
          <w:rFonts w:hint="eastAsia" w:ascii="宋体" w:hAnsi="宋体"/>
          <w:sz w:val="24"/>
          <w:lang w:val="zh-CN" w:eastAsia="zh-CN"/>
        </w:rPr>
        <w:t>二、投标分项报价表</w:t>
      </w:r>
    </w:p>
    <w:p>
      <w:pPr>
        <w:pageBreakBefore w:val="0"/>
        <w:tabs>
          <w:tab w:val="left" w:pos="284"/>
          <w:tab w:val="left" w:pos="851"/>
        </w:tabs>
        <w:kinsoku/>
        <w:overflowPunct/>
        <w:topLinePunct w:val="0"/>
        <w:bidi w:val="0"/>
        <w:spacing w:line="360" w:lineRule="auto"/>
        <w:jc w:val="left"/>
        <w:rPr>
          <w:rFonts w:hint="default" w:ascii="宋体" w:hAnsi="宋体"/>
          <w:sz w:val="24"/>
          <w:lang w:val="en-US" w:eastAsia="zh-CN"/>
        </w:rPr>
      </w:pPr>
      <w:r>
        <w:rPr>
          <w:rFonts w:hint="eastAsia" w:ascii="宋体" w:hAnsi="宋体"/>
          <w:sz w:val="24"/>
          <w:lang w:val="zh-CN" w:eastAsia="zh-CN"/>
        </w:rPr>
        <w:t>三、</w:t>
      </w:r>
      <w:r>
        <w:rPr>
          <w:rFonts w:hint="eastAsia" w:ascii="宋体" w:hAnsi="宋体"/>
          <w:sz w:val="24"/>
          <w:lang w:val="en-US" w:eastAsia="zh-CN"/>
        </w:rPr>
        <w:t>配套耗材报价表</w:t>
      </w:r>
    </w:p>
    <w:p>
      <w:pPr>
        <w:pageBreakBefore w:val="0"/>
        <w:tabs>
          <w:tab w:val="left" w:pos="284"/>
          <w:tab w:val="left" w:pos="851"/>
        </w:tabs>
        <w:kinsoku/>
        <w:overflowPunct/>
        <w:topLinePunct w:val="0"/>
        <w:bidi w:val="0"/>
        <w:spacing w:line="360" w:lineRule="auto"/>
        <w:jc w:val="left"/>
        <w:rPr>
          <w:rFonts w:hint="eastAsia" w:ascii="宋体" w:hAnsi="宋体"/>
          <w:sz w:val="24"/>
          <w:lang w:val="zh-CN" w:eastAsia="zh-CN"/>
        </w:rPr>
      </w:pPr>
      <w:r>
        <w:rPr>
          <w:rFonts w:hint="eastAsia" w:ascii="宋体" w:hAnsi="宋体"/>
          <w:sz w:val="24"/>
          <w:lang w:val="en-US" w:eastAsia="zh-CN"/>
        </w:rPr>
        <w:t>四、投标文件电子版</w:t>
      </w:r>
      <w:r>
        <w:rPr>
          <w:rFonts w:hint="eastAsia" w:ascii="宋体" w:hAnsi="宋体"/>
          <w:sz w:val="24"/>
          <w:lang w:val="zh-CN" w:eastAsia="zh-CN"/>
        </w:rPr>
        <w:t>（电子文件采用光盘或U盘储存，其中经济部分文件</w:t>
      </w:r>
      <w:r>
        <w:rPr>
          <w:rFonts w:hint="eastAsia" w:ascii="宋体" w:hAnsi="宋体"/>
          <w:sz w:val="24"/>
          <w:lang w:val="en-US" w:eastAsia="zh-CN"/>
        </w:rPr>
        <w:t>及</w:t>
      </w:r>
      <w:r>
        <w:rPr>
          <w:rFonts w:hint="eastAsia" w:ascii="宋体" w:hAnsi="宋体"/>
          <w:sz w:val="24"/>
          <w:lang w:val="zh-CN" w:eastAsia="zh-CN"/>
        </w:rPr>
        <w:t>货物说明一览表需用MS Office的Excel格式提供）</w:t>
      </w:r>
    </w:p>
    <w:p>
      <w:pPr>
        <w:pageBreakBefore w:val="0"/>
        <w:kinsoku/>
        <w:overflowPunct/>
        <w:topLinePunct w:val="0"/>
        <w:bidi w:val="0"/>
        <w:spacing w:line="360" w:lineRule="auto"/>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9</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F6D7491D"/>
    <w:multiLevelType w:val="singleLevel"/>
    <w:tmpl w:val="F6D7491D"/>
    <w:lvl w:ilvl="0" w:tentative="0">
      <w:start w:val="1"/>
      <w:numFmt w:val="decimal"/>
      <w:suff w:val="space"/>
      <w:lvlText w:val="%1."/>
      <w:lvlJc w:val="left"/>
    </w:lvl>
  </w:abstractNum>
  <w:abstractNum w:abstractNumId="4">
    <w:nsid w:val="F9A8176A"/>
    <w:multiLevelType w:val="singleLevel"/>
    <w:tmpl w:val="F9A8176A"/>
    <w:lvl w:ilvl="0" w:tentative="0">
      <w:start w:val="2"/>
      <w:numFmt w:val="decimal"/>
      <w:suff w:val="nothing"/>
      <w:lvlText w:val="%1、"/>
      <w:lvlJc w:val="left"/>
      <w:pPr>
        <w:ind w:left="525" w:leftChars="0" w:firstLine="0" w:firstLineChars="0"/>
      </w:pPr>
    </w:lvl>
  </w:abstractNum>
  <w:abstractNum w:abstractNumId="5">
    <w:nsid w:val="28E610C3"/>
    <w:multiLevelType w:val="singleLevel"/>
    <w:tmpl w:val="28E610C3"/>
    <w:lvl w:ilvl="0" w:tentative="0">
      <w:start w:val="2"/>
      <w:numFmt w:val="decimal"/>
      <w:suff w:val="nothing"/>
      <w:lvlText w:val="%1、"/>
      <w:lvlJc w:val="left"/>
      <w:pPr>
        <w:ind w:left="525" w:leftChars="0" w:firstLine="0" w:firstLineChars="0"/>
      </w:pPr>
    </w:lvl>
  </w:abstractNum>
  <w:abstractNum w:abstractNumId="6">
    <w:nsid w:val="53561B21"/>
    <w:multiLevelType w:val="singleLevel"/>
    <w:tmpl w:val="53561B21"/>
    <w:lvl w:ilvl="0" w:tentative="0">
      <w:start w:val="6"/>
      <w:numFmt w:val="decimal"/>
      <w:suff w:val="nothing"/>
      <w:lvlText w:val="（%1）"/>
      <w:lvlJc w:val="left"/>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7460A8"/>
    <w:rsid w:val="01A73B40"/>
    <w:rsid w:val="01B6112C"/>
    <w:rsid w:val="01C012ED"/>
    <w:rsid w:val="01CB4799"/>
    <w:rsid w:val="021E7BF6"/>
    <w:rsid w:val="024141DC"/>
    <w:rsid w:val="024E68F9"/>
    <w:rsid w:val="02925A7D"/>
    <w:rsid w:val="02AB5AF9"/>
    <w:rsid w:val="02B2279A"/>
    <w:rsid w:val="03A569A5"/>
    <w:rsid w:val="03CC3F79"/>
    <w:rsid w:val="0405748B"/>
    <w:rsid w:val="043810E4"/>
    <w:rsid w:val="0458580D"/>
    <w:rsid w:val="046A00A7"/>
    <w:rsid w:val="04897008"/>
    <w:rsid w:val="04D70E27"/>
    <w:rsid w:val="04DF1A8A"/>
    <w:rsid w:val="053274A1"/>
    <w:rsid w:val="054F4E8B"/>
    <w:rsid w:val="05616943"/>
    <w:rsid w:val="05731FE1"/>
    <w:rsid w:val="05B02D98"/>
    <w:rsid w:val="05C04BA9"/>
    <w:rsid w:val="05E14AD3"/>
    <w:rsid w:val="060E0879"/>
    <w:rsid w:val="064C0FFA"/>
    <w:rsid w:val="06532730"/>
    <w:rsid w:val="06585F98"/>
    <w:rsid w:val="066C559F"/>
    <w:rsid w:val="066F5090"/>
    <w:rsid w:val="067A4160"/>
    <w:rsid w:val="06826B71"/>
    <w:rsid w:val="06992799"/>
    <w:rsid w:val="06C6095C"/>
    <w:rsid w:val="07490ADF"/>
    <w:rsid w:val="075611DC"/>
    <w:rsid w:val="07921036"/>
    <w:rsid w:val="07934BD3"/>
    <w:rsid w:val="07BA0EE4"/>
    <w:rsid w:val="07D64405"/>
    <w:rsid w:val="07EA0E72"/>
    <w:rsid w:val="07EE1AC0"/>
    <w:rsid w:val="07F67816"/>
    <w:rsid w:val="0825634E"/>
    <w:rsid w:val="08302847"/>
    <w:rsid w:val="08832DAD"/>
    <w:rsid w:val="08A326C7"/>
    <w:rsid w:val="08E51639"/>
    <w:rsid w:val="09045F63"/>
    <w:rsid w:val="09061CDB"/>
    <w:rsid w:val="09306623"/>
    <w:rsid w:val="095011A8"/>
    <w:rsid w:val="09526CCE"/>
    <w:rsid w:val="095C775C"/>
    <w:rsid w:val="09665F99"/>
    <w:rsid w:val="09CF031F"/>
    <w:rsid w:val="09D14312"/>
    <w:rsid w:val="09F165F2"/>
    <w:rsid w:val="0A0F3274"/>
    <w:rsid w:val="0A821835"/>
    <w:rsid w:val="0AA03A6A"/>
    <w:rsid w:val="0AD17D16"/>
    <w:rsid w:val="0AD908BA"/>
    <w:rsid w:val="0ADE7D1E"/>
    <w:rsid w:val="0B323AAF"/>
    <w:rsid w:val="0C091AAE"/>
    <w:rsid w:val="0C3D72EE"/>
    <w:rsid w:val="0C6F58BF"/>
    <w:rsid w:val="0C7421C7"/>
    <w:rsid w:val="0CB437FC"/>
    <w:rsid w:val="0CCD48BE"/>
    <w:rsid w:val="0D4728C2"/>
    <w:rsid w:val="0D6B65B1"/>
    <w:rsid w:val="0D6C40D7"/>
    <w:rsid w:val="0D8C6527"/>
    <w:rsid w:val="0DBF30F1"/>
    <w:rsid w:val="0DDF2AFB"/>
    <w:rsid w:val="0E2055ED"/>
    <w:rsid w:val="0E227BFE"/>
    <w:rsid w:val="0E2F7087"/>
    <w:rsid w:val="0E500E6F"/>
    <w:rsid w:val="0E611762"/>
    <w:rsid w:val="0E6D5011"/>
    <w:rsid w:val="0E6D6359"/>
    <w:rsid w:val="0E7479A6"/>
    <w:rsid w:val="0E82150F"/>
    <w:rsid w:val="0E8E7DFD"/>
    <w:rsid w:val="0E9E6834"/>
    <w:rsid w:val="0EAB29B5"/>
    <w:rsid w:val="0EAF6971"/>
    <w:rsid w:val="0ECD7C32"/>
    <w:rsid w:val="0F08621F"/>
    <w:rsid w:val="0F101237"/>
    <w:rsid w:val="0F213CC0"/>
    <w:rsid w:val="0F2A5FF8"/>
    <w:rsid w:val="0F5900E9"/>
    <w:rsid w:val="0F5B0323"/>
    <w:rsid w:val="0F5F0DB0"/>
    <w:rsid w:val="0F6A04DF"/>
    <w:rsid w:val="0F6B6F02"/>
    <w:rsid w:val="0FB06B2E"/>
    <w:rsid w:val="0FC87CEA"/>
    <w:rsid w:val="0FE95EB3"/>
    <w:rsid w:val="0FF3288D"/>
    <w:rsid w:val="0FFC5D23"/>
    <w:rsid w:val="100827DD"/>
    <w:rsid w:val="103F27A3"/>
    <w:rsid w:val="104D76E4"/>
    <w:rsid w:val="10EC5C5A"/>
    <w:rsid w:val="111947A0"/>
    <w:rsid w:val="114A5C90"/>
    <w:rsid w:val="119105B0"/>
    <w:rsid w:val="119D6F55"/>
    <w:rsid w:val="11BF7F82"/>
    <w:rsid w:val="11D72467"/>
    <w:rsid w:val="12241424"/>
    <w:rsid w:val="125515DD"/>
    <w:rsid w:val="12932C88"/>
    <w:rsid w:val="12B64053"/>
    <w:rsid w:val="133525F6"/>
    <w:rsid w:val="133D454B"/>
    <w:rsid w:val="136706CE"/>
    <w:rsid w:val="13CE7899"/>
    <w:rsid w:val="13E254C0"/>
    <w:rsid w:val="13EC5F71"/>
    <w:rsid w:val="14105F42"/>
    <w:rsid w:val="141918CC"/>
    <w:rsid w:val="14280708"/>
    <w:rsid w:val="14416EB1"/>
    <w:rsid w:val="1454028B"/>
    <w:rsid w:val="148C4AF4"/>
    <w:rsid w:val="14AF0ABC"/>
    <w:rsid w:val="14C155E1"/>
    <w:rsid w:val="14F017EC"/>
    <w:rsid w:val="14FE49E3"/>
    <w:rsid w:val="15115C90"/>
    <w:rsid w:val="151632A6"/>
    <w:rsid w:val="15604521"/>
    <w:rsid w:val="15652FB8"/>
    <w:rsid w:val="15831407"/>
    <w:rsid w:val="159348F7"/>
    <w:rsid w:val="15BF56ED"/>
    <w:rsid w:val="15C947BC"/>
    <w:rsid w:val="15E46C6E"/>
    <w:rsid w:val="1626576B"/>
    <w:rsid w:val="16626D24"/>
    <w:rsid w:val="16AC2D8D"/>
    <w:rsid w:val="16BF7913"/>
    <w:rsid w:val="16D8458B"/>
    <w:rsid w:val="16E80C72"/>
    <w:rsid w:val="16FB3B60"/>
    <w:rsid w:val="178B6D3F"/>
    <w:rsid w:val="178D1819"/>
    <w:rsid w:val="179964D4"/>
    <w:rsid w:val="179B72B4"/>
    <w:rsid w:val="17AC6267"/>
    <w:rsid w:val="17C52D61"/>
    <w:rsid w:val="17D3722F"/>
    <w:rsid w:val="17D41517"/>
    <w:rsid w:val="17F81389"/>
    <w:rsid w:val="17F81A60"/>
    <w:rsid w:val="18057602"/>
    <w:rsid w:val="18251A52"/>
    <w:rsid w:val="183D5C21"/>
    <w:rsid w:val="18826F52"/>
    <w:rsid w:val="18860743"/>
    <w:rsid w:val="18E23A6B"/>
    <w:rsid w:val="190653E0"/>
    <w:rsid w:val="191021B8"/>
    <w:rsid w:val="19193365"/>
    <w:rsid w:val="19287A4C"/>
    <w:rsid w:val="1962594D"/>
    <w:rsid w:val="197E141A"/>
    <w:rsid w:val="19856C4C"/>
    <w:rsid w:val="19A277FE"/>
    <w:rsid w:val="19A74E14"/>
    <w:rsid w:val="19C65D9F"/>
    <w:rsid w:val="1A255D39"/>
    <w:rsid w:val="1A304E0A"/>
    <w:rsid w:val="1A554870"/>
    <w:rsid w:val="1A6F363B"/>
    <w:rsid w:val="1A9E7CF8"/>
    <w:rsid w:val="1ADC6D40"/>
    <w:rsid w:val="1B5E1503"/>
    <w:rsid w:val="1B65511C"/>
    <w:rsid w:val="1BA3785E"/>
    <w:rsid w:val="1BE22134"/>
    <w:rsid w:val="1BEF4851"/>
    <w:rsid w:val="1C1870D6"/>
    <w:rsid w:val="1C2E35CB"/>
    <w:rsid w:val="1C346708"/>
    <w:rsid w:val="1C3F3996"/>
    <w:rsid w:val="1C5670DA"/>
    <w:rsid w:val="1C6C298A"/>
    <w:rsid w:val="1C7A05BE"/>
    <w:rsid w:val="1C7E45DE"/>
    <w:rsid w:val="1C821221"/>
    <w:rsid w:val="1C9A2A0F"/>
    <w:rsid w:val="1CA93D29"/>
    <w:rsid w:val="1CBA06A7"/>
    <w:rsid w:val="1CEC0D90"/>
    <w:rsid w:val="1D0165EA"/>
    <w:rsid w:val="1D383FD6"/>
    <w:rsid w:val="1D452141"/>
    <w:rsid w:val="1D954F84"/>
    <w:rsid w:val="1DB775F0"/>
    <w:rsid w:val="1DF60118"/>
    <w:rsid w:val="1DF8763B"/>
    <w:rsid w:val="1E2F7187"/>
    <w:rsid w:val="1E957931"/>
    <w:rsid w:val="1EEF3B02"/>
    <w:rsid w:val="1F2F348A"/>
    <w:rsid w:val="1F42113B"/>
    <w:rsid w:val="1F500549"/>
    <w:rsid w:val="1F782B8F"/>
    <w:rsid w:val="1F8E1DC7"/>
    <w:rsid w:val="1F8F4381"/>
    <w:rsid w:val="1FA02379"/>
    <w:rsid w:val="1FC63B1B"/>
    <w:rsid w:val="1FD4737A"/>
    <w:rsid w:val="1FDC333E"/>
    <w:rsid w:val="200A21AC"/>
    <w:rsid w:val="200F7270"/>
    <w:rsid w:val="2063580D"/>
    <w:rsid w:val="208C34CE"/>
    <w:rsid w:val="20912119"/>
    <w:rsid w:val="20992FDD"/>
    <w:rsid w:val="209B6D55"/>
    <w:rsid w:val="210456BE"/>
    <w:rsid w:val="21472A39"/>
    <w:rsid w:val="214C7D90"/>
    <w:rsid w:val="21617B25"/>
    <w:rsid w:val="219739C1"/>
    <w:rsid w:val="21E62252"/>
    <w:rsid w:val="21F14580"/>
    <w:rsid w:val="220A423F"/>
    <w:rsid w:val="221072CF"/>
    <w:rsid w:val="22145011"/>
    <w:rsid w:val="225D0613"/>
    <w:rsid w:val="22844933"/>
    <w:rsid w:val="228D6B72"/>
    <w:rsid w:val="229257D7"/>
    <w:rsid w:val="22D80B06"/>
    <w:rsid w:val="23076924"/>
    <w:rsid w:val="231449BC"/>
    <w:rsid w:val="231B23CF"/>
    <w:rsid w:val="231F3C6E"/>
    <w:rsid w:val="232474D6"/>
    <w:rsid w:val="23265CE2"/>
    <w:rsid w:val="23452FA8"/>
    <w:rsid w:val="234E65B1"/>
    <w:rsid w:val="23542924"/>
    <w:rsid w:val="239706F9"/>
    <w:rsid w:val="239F4DAE"/>
    <w:rsid w:val="23A75CEC"/>
    <w:rsid w:val="23D9206E"/>
    <w:rsid w:val="241562CB"/>
    <w:rsid w:val="242B4894"/>
    <w:rsid w:val="244A4D1A"/>
    <w:rsid w:val="24545B99"/>
    <w:rsid w:val="24612064"/>
    <w:rsid w:val="246456B0"/>
    <w:rsid w:val="248A15BB"/>
    <w:rsid w:val="249661B1"/>
    <w:rsid w:val="24A106B2"/>
    <w:rsid w:val="24C3687B"/>
    <w:rsid w:val="24D26ABE"/>
    <w:rsid w:val="24DD7FBD"/>
    <w:rsid w:val="251D5445"/>
    <w:rsid w:val="255E5120"/>
    <w:rsid w:val="259E3553"/>
    <w:rsid w:val="262B0B7B"/>
    <w:rsid w:val="263E08AF"/>
    <w:rsid w:val="264803D1"/>
    <w:rsid w:val="268E3B95"/>
    <w:rsid w:val="26C77B7A"/>
    <w:rsid w:val="26DA7C60"/>
    <w:rsid w:val="26F61189"/>
    <w:rsid w:val="270F224B"/>
    <w:rsid w:val="27760EAB"/>
    <w:rsid w:val="279A153F"/>
    <w:rsid w:val="279A1B15"/>
    <w:rsid w:val="279F6032"/>
    <w:rsid w:val="27F62F04"/>
    <w:rsid w:val="28425D08"/>
    <w:rsid w:val="2849164E"/>
    <w:rsid w:val="28497097"/>
    <w:rsid w:val="286A46C8"/>
    <w:rsid w:val="28724F7E"/>
    <w:rsid w:val="287C746C"/>
    <w:rsid w:val="28955FC4"/>
    <w:rsid w:val="28A249DD"/>
    <w:rsid w:val="28A64E00"/>
    <w:rsid w:val="28AB7D51"/>
    <w:rsid w:val="28CD35B0"/>
    <w:rsid w:val="293D4635"/>
    <w:rsid w:val="293E4722"/>
    <w:rsid w:val="29772BAB"/>
    <w:rsid w:val="297A1315"/>
    <w:rsid w:val="298D3A01"/>
    <w:rsid w:val="299E6E12"/>
    <w:rsid w:val="29AB7759"/>
    <w:rsid w:val="29BD1AEA"/>
    <w:rsid w:val="29DF5F05"/>
    <w:rsid w:val="29F00112"/>
    <w:rsid w:val="2A1C67A5"/>
    <w:rsid w:val="2A604F7C"/>
    <w:rsid w:val="2A94648A"/>
    <w:rsid w:val="2AA1140C"/>
    <w:rsid w:val="2AA40806"/>
    <w:rsid w:val="2AAF1D7B"/>
    <w:rsid w:val="2ACD3FAF"/>
    <w:rsid w:val="2B110340"/>
    <w:rsid w:val="2B2D0EF2"/>
    <w:rsid w:val="2B3B53BD"/>
    <w:rsid w:val="2B715282"/>
    <w:rsid w:val="2B721AE7"/>
    <w:rsid w:val="2B9E6AC5"/>
    <w:rsid w:val="2BB37649"/>
    <w:rsid w:val="2C016606"/>
    <w:rsid w:val="2C372028"/>
    <w:rsid w:val="2C386181"/>
    <w:rsid w:val="2C5C1A8E"/>
    <w:rsid w:val="2C863AE7"/>
    <w:rsid w:val="2C8C0643"/>
    <w:rsid w:val="2C8E776E"/>
    <w:rsid w:val="2C986D6C"/>
    <w:rsid w:val="2C994A91"/>
    <w:rsid w:val="2CBF7D81"/>
    <w:rsid w:val="2D2A56E9"/>
    <w:rsid w:val="2D6D1A79"/>
    <w:rsid w:val="2D742E08"/>
    <w:rsid w:val="2D7D7643"/>
    <w:rsid w:val="2D870D8D"/>
    <w:rsid w:val="2D98220C"/>
    <w:rsid w:val="2E050A65"/>
    <w:rsid w:val="2E36630F"/>
    <w:rsid w:val="2E43454B"/>
    <w:rsid w:val="2E6A13DD"/>
    <w:rsid w:val="2EAB2859"/>
    <w:rsid w:val="2EAE40F8"/>
    <w:rsid w:val="2ECB6A58"/>
    <w:rsid w:val="2F13517A"/>
    <w:rsid w:val="2F1877C3"/>
    <w:rsid w:val="2F9E684E"/>
    <w:rsid w:val="2FA951DB"/>
    <w:rsid w:val="2FAA48BF"/>
    <w:rsid w:val="30055365"/>
    <w:rsid w:val="301306B6"/>
    <w:rsid w:val="301B64B2"/>
    <w:rsid w:val="3057408B"/>
    <w:rsid w:val="305B02AF"/>
    <w:rsid w:val="30731973"/>
    <w:rsid w:val="308B46F0"/>
    <w:rsid w:val="30B11A8A"/>
    <w:rsid w:val="30B5176D"/>
    <w:rsid w:val="30DF2C8E"/>
    <w:rsid w:val="30EC388A"/>
    <w:rsid w:val="30FF6A1B"/>
    <w:rsid w:val="310821E5"/>
    <w:rsid w:val="31091285"/>
    <w:rsid w:val="310D4304"/>
    <w:rsid w:val="310F1477"/>
    <w:rsid w:val="3115045E"/>
    <w:rsid w:val="314D7BF8"/>
    <w:rsid w:val="31570A76"/>
    <w:rsid w:val="31723B02"/>
    <w:rsid w:val="31A17F44"/>
    <w:rsid w:val="31B00187"/>
    <w:rsid w:val="32250B75"/>
    <w:rsid w:val="32A41A99"/>
    <w:rsid w:val="32DF6F75"/>
    <w:rsid w:val="33087264"/>
    <w:rsid w:val="330E33B7"/>
    <w:rsid w:val="3314567B"/>
    <w:rsid w:val="33941657"/>
    <w:rsid w:val="33B95A18"/>
    <w:rsid w:val="33CE3BB7"/>
    <w:rsid w:val="33FE342B"/>
    <w:rsid w:val="34126ED7"/>
    <w:rsid w:val="34627E5E"/>
    <w:rsid w:val="34802092"/>
    <w:rsid w:val="34943D90"/>
    <w:rsid w:val="349B55F6"/>
    <w:rsid w:val="34B573C6"/>
    <w:rsid w:val="34BD6E42"/>
    <w:rsid w:val="34C8581E"/>
    <w:rsid w:val="34E16FD5"/>
    <w:rsid w:val="35045422"/>
    <w:rsid w:val="351363AE"/>
    <w:rsid w:val="351D7118"/>
    <w:rsid w:val="351F73D7"/>
    <w:rsid w:val="35C95487"/>
    <w:rsid w:val="3627310D"/>
    <w:rsid w:val="363B2715"/>
    <w:rsid w:val="363E0A3D"/>
    <w:rsid w:val="36484E32"/>
    <w:rsid w:val="36533F02"/>
    <w:rsid w:val="3659786E"/>
    <w:rsid w:val="365A2D20"/>
    <w:rsid w:val="369938DF"/>
    <w:rsid w:val="369D1489"/>
    <w:rsid w:val="36A22794"/>
    <w:rsid w:val="36C95F72"/>
    <w:rsid w:val="37074CED"/>
    <w:rsid w:val="37215DAE"/>
    <w:rsid w:val="37297394"/>
    <w:rsid w:val="374C4B96"/>
    <w:rsid w:val="376750EE"/>
    <w:rsid w:val="376B0DD8"/>
    <w:rsid w:val="37873738"/>
    <w:rsid w:val="37CB7AC8"/>
    <w:rsid w:val="37DA7D0B"/>
    <w:rsid w:val="37F963E3"/>
    <w:rsid w:val="38521F98"/>
    <w:rsid w:val="389151C1"/>
    <w:rsid w:val="38B679EB"/>
    <w:rsid w:val="38C23261"/>
    <w:rsid w:val="3938603F"/>
    <w:rsid w:val="39475874"/>
    <w:rsid w:val="398E0231"/>
    <w:rsid w:val="39D32C64"/>
    <w:rsid w:val="3A090EE3"/>
    <w:rsid w:val="3A5804DA"/>
    <w:rsid w:val="3A7D382D"/>
    <w:rsid w:val="3AFD268F"/>
    <w:rsid w:val="3B457B92"/>
    <w:rsid w:val="3B5616C9"/>
    <w:rsid w:val="3B620744"/>
    <w:rsid w:val="3B770AF7"/>
    <w:rsid w:val="3BA418D6"/>
    <w:rsid w:val="3BC211E2"/>
    <w:rsid w:val="3BF67528"/>
    <w:rsid w:val="3BFA4E20"/>
    <w:rsid w:val="3C8E0FC0"/>
    <w:rsid w:val="3C964B49"/>
    <w:rsid w:val="3C991F43"/>
    <w:rsid w:val="3CDC72D0"/>
    <w:rsid w:val="3CF94A77"/>
    <w:rsid w:val="3D2462F2"/>
    <w:rsid w:val="3D267045"/>
    <w:rsid w:val="3D517B36"/>
    <w:rsid w:val="3D5642D8"/>
    <w:rsid w:val="3D664A85"/>
    <w:rsid w:val="3D913562"/>
    <w:rsid w:val="3DEE0292"/>
    <w:rsid w:val="3E014244"/>
    <w:rsid w:val="3E0415E5"/>
    <w:rsid w:val="3E2241BA"/>
    <w:rsid w:val="3E307D43"/>
    <w:rsid w:val="3E6054E8"/>
    <w:rsid w:val="3E630A5B"/>
    <w:rsid w:val="3EB92C6F"/>
    <w:rsid w:val="3EC92095"/>
    <w:rsid w:val="3EF47905"/>
    <w:rsid w:val="3F0F2990"/>
    <w:rsid w:val="3F395C5F"/>
    <w:rsid w:val="3F4717BC"/>
    <w:rsid w:val="3F4F7231"/>
    <w:rsid w:val="3FC512A1"/>
    <w:rsid w:val="3FCB2D5B"/>
    <w:rsid w:val="400949F3"/>
    <w:rsid w:val="405922D9"/>
    <w:rsid w:val="406960D0"/>
    <w:rsid w:val="40AD2461"/>
    <w:rsid w:val="40B40122"/>
    <w:rsid w:val="40DB2E89"/>
    <w:rsid w:val="41095195"/>
    <w:rsid w:val="412F7A1F"/>
    <w:rsid w:val="41377F7D"/>
    <w:rsid w:val="41790595"/>
    <w:rsid w:val="41986C6D"/>
    <w:rsid w:val="41AC096A"/>
    <w:rsid w:val="41EA3F47"/>
    <w:rsid w:val="4234096F"/>
    <w:rsid w:val="424C5CAA"/>
    <w:rsid w:val="42660B19"/>
    <w:rsid w:val="42742767"/>
    <w:rsid w:val="429F227D"/>
    <w:rsid w:val="42C65A6E"/>
    <w:rsid w:val="42D15518"/>
    <w:rsid w:val="42DB4FD0"/>
    <w:rsid w:val="42F0341C"/>
    <w:rsid w:val="42F97BDF"/>
    <w:rsid w:val="43212C92"/>
    <w:rsid w:val="43370708"/>
    <w:rsid w:val="43A83FA3"/>
    <w:rsid w:val="43AC67F2"/>
    <w:rsid w:val="43F3462F"/>
    <w:rsid w:val="43FC24EA"/>
    <w:rsid w:val="44100FF8"/>
    <w:rsid w:val="442C5D93"/>
    <w:rsid w:val="44A22631"/>
    <w:rsid w:val="44DD456F"/>
    <w:rsid w:val="44E421C9"/>
    <w:rsid w:val="44EB17AA"/>
    <w:rsid w:val="44F75A2B"/>
    <w:rsid w:val="4504461A"/>
    <w:rsid w:val="450B59A8"/>
    <w:rsid w:val="452B1BA6"/>
    <w:rsid w:val="454359AF"/>
    <w:rsid w:val="45815C6A"/>
    <w:rsid w:val="459B24FF"/>
    <w:rsid w:val="45B55700"/>
    <w:rsid w:val="45E90E18"/>
    <w:rsid w:val="45F43144"/>
    <w:rsid w:val="463D2007"/>
    <w:rsid w:val="46656E12"/>
    <w:rsid w:val="46C91677"/>
    <w:rsid w:val="472266AC"/>
    <w:rsid w:val="47411B55"/>
    <w:rsid w:val="4743767B"/>
    <w:rsid w:val="475D52DB"/>
    <w:rsid w:val="47855EE6"/>
    <w:rsid w:val="47AB5220"/>
    <w:rsid w:val="47D42623"/>
    <w:rsid w:val="47FE17F4"/>
    <w:rsid w:val="482C6361"/>
    <w:rsid w:val="48325384"/>
    <w:rsid w:val="486755EB"/>
    <w:rsid w:val="486B55F7"/>
    <w:rsid w:val="487321E2"/>
    <w:rsid w:val="48895562"/>
    <w:rsid w:val="48BB7D26"/>
    <w:rsid w:val="48F618EF"/>
    <w:rsid w:val="49117C8C"/>
    <w:rsid w:val="49122BB9"/>
    <w:rsid w:val="49242866"/>
    <w:rsid w:val="492C30FE"/>
    <w:rsid w:val="49345544"/>
    <w:rsid w:val="493D1FC9"/>
    <w:rsid w:val="49465201"/>
    <w:rsid w:val="494E7B86"/>
    <w:rsid w:val="4957524C"/>
    <w:rsid w:val="49724248"/>
    <w:rsid w:val="49FE5ADB"/>
    <w:rsid w:val="4A17436E"/>
    <w:rsid w:val="4A2C089A"/>
    <w:rsid w:val="4A772E03"/>
    <w:rsid w:val="4AB03279"/>
    <w:rsid w:val="4AE90539"/>
    <w:rsid w:val="4AF314BD"/>
    <w:rsid w:val="4B4C463E"/>
    <w:rsid w:val="4B4D0363"/>
    <w:rsid w:val="4B751DCD"/>
    <w:rsid w:val="4B78726E"/>
    <w:rsid w:val="4BA85148"/>
    <w:rsid w:val="4BB46D99"/>
    <w:rsid w:val="4C0F3FD0"/>
    <w:rsid w:val="4C1415E6"/>
    <w:rsid w:val="4C2C4B82"/>
    <w:rsid w:val="4C327CBE"/>
    <w:rsid w:val="4CCE1CAD"/>
    <w:rsid w:val="4CDD5E7C"/>
    <w:rsid w:val="4D1D58D1"/>
    <w:rsid w:val="4D31441A"/>
    <w:rsid w:val="4D317A5E"/>
    <w:rsid w:val="4D346334"/>
    <w:rsid w:val="4D426187"/>
    <w:rsid w:val="4D52686A"/>
    <w:rsid w:val="4D6869B1"/>
    <w:rsid w:val="4D6B59B7"/>
    <w:rsid w:val="4D8A2E3C"/>
    <w:rsid w:val="4D9D560B"/>
    <w:rsid w:val="4DC62DB4"/>
    <w:rsid w:val="4DCA372B"/>
    <w:rsid w:val="4DEC1CDA"/>
    <w:rsid w:val="4E0D7E3E"/>
    <w:rsid w:val="4E1F4C72"/>
    <w:rsid w:val="4E3939FA"/>
    <w:rsid w:val="4E635961"/>
    <w:rsid w:val="4E8A5B90"/>
    <w:rsid w:val="4E9407BC"/>
    <w:rsid w:val="4E9940F4"/>
    <w:rsid w:val="4EF120B3"/>
    <w:rsid w:val="4EFB2405"/>
    <w:rsid w:val="4F02606E"/>
    <w:rsid w:val="4F407B3B"/>
    <w:rsid w:val="4F5A7C58"/>
    <w:rsid w:val="4F5F738E"/>
    <w:rsid w:val="4FA7451F"/>
    <w:rsid w:val="4FBF3F5F"/>
    <w:rsid w:val="4FCA24AD"/>
    <w:rsid w:val="5016365B"/>
    <w:rsid w:val="501E2A33"/>
    <w:rsid w:val="50643E27"/>
    <w:rsid w:val="506863A4"/>
    <w:rsid w:val="509251CF"/>
    <w:rsid w:val="50A941CF"/>
    <w:rsid w:val="50BB64D4"/>
    <w:rsid w:val="50CC06E1"/>
    <w:rsid w:val="51653AA6"/>
    <w:rsid w:val="517569BE"/>
    <w:rsid w:val="517D7C2E"/>
    <w:rsid w:val="51B3364F"/>
    <w:rsid w:val="51C4760A"/>
    <w:rsid w:val="5224295A"/>
    <w:rsid w:val="522861C2"/>
    <w:rsid w:val="52EF6909"/>
    <w:rsid w:val="52FC2DD4"/>
    <w:rsid w:val="531B5950"/>
    <w:rsid w:val="533F163E"/>
    <w:rsid w:val="538E1C7E"/>
    <w:rsid w:val="539D45B7"/>
    <w:rsid w:val="53D02297"/>
    <w:rsid w:val="53F52DB0"/>
    <w:rsid w:val="53FA1AFA"/>
    <w:rsid w:val="540E3283"/>
    <w:rsid w:val="54675AF6"/>
    <w:rsid w:val="54680721"/>
    <w:rsid w:val="54770964"/>
    <w:rsid w:val="548968E9"/>
    <w:rsid w:val="54AB2D04"/>
    <w:rsid w:val="54DF1ECD"/>
    <w:rsid w:val="55543515"/>
    <w:rsid w:val="55967510"/>
    <w:rsid w:val="55BD2CEE"/>
    <w:rsid w:val="55DE2EED"/>
    <w:rsid w:val="55E55DA1"/>
    <w:rsid w:val="55FD30EB"/>
    <w:rsid w:val="56043D8E"/>
    <w:rsid w:val="56196535"/>
    <w:rsid w:val="561B7A15"/>
    <w:rsid w:val="565903C5"/>
    <w:rsid w:val="56780F3B"/>
    <w:rsid w:val="568D26C1"/>
    <w:rsid w:val="568E6439"/>
    <w:rsid w:val="56903F5F"/>
    <w:rsid w:val="570C0B0A"/>
    <w:rsid w:val="571E5A0F"/>
    <w:rsid w:val="575F3181"/>
    <w:rsid w:val="57762E69"/>
    <w:rsid w:val="577D4B6A"/>
    <w:rsid w:val="579932E7"/>
    <w:rsid w:val="57C87729"/>
    <w:rsid w:val="57F16C7F"/>
    <w:rsid w:val="580C5867"/>
    <w:rsid w:val="584A64CD"/>
    <w:rsid w:val="58823C74"/>
    <w:rsid w:val="588C69A8"/>
    <w:rsid w:val="58DF2F7C"/>
    <w:rsid w:val="58F76517"/>
    <w:rsid w:val="58F935F8"/>
    <w:rsid w:val="5932754F"/>
    <w:rsid w:val="59545718"/>
    <w:rsid w:val="59605E6B"/>
    <w:rsid w:val="599F2E79"/>
    <w:rsid w:val="59FC3E1A"/>
    <w:rsid w:val="5A1D0200"/>
    <w:rsid w:val="5A1F5D26"/>
    <w:rsid w:val="5A7F67C4"/>
    <w:rsid w:val="5A843DDB"/>
    <w:rsid w:val="5AAE35E9"/>
    <w:rsid w:val="5AB55690"/>
    <w:rsid w:val="5AC11211"/>
    <w:rsid w:val="5AD07876"/>
    <w:rsid w:val="5B152C85"/>
    <w:rsid w:val="5B164964"/>
    <w:rsid w:val="5B4279E9"/>
    <w:rsid w:val="5B450AC7"/>
    <w:rsid w:val="5B591F96"/>
    <w:rsid w:val="5B886C74"/>
    <w:rsid w:val="5B8D14C8"/>
    <w:rsid w:val="5B9503D3"/>
    <w:rsid w:val="5BB15CA3"/>
    <w:rsid w:val="5BD879EA"/>
    <w:rsid w:val="5BF30914"/>
    <w:rsid w:val="5C180C7F"/>
    <w:rsid w:val="5C473312"/>
    <w:rsid w:val="5C4C0928"/>
    <w:rsid w:val="5C583771"/>
    <w:rsid w:val="5C811F59"/>
    <w:rsid w:val="5C8207EE"/>
    <w:rsid w:val="5C966047"/>
    <w:rsid w:val="5CA4609B"/>
    <w:rsid w:val="5CB14DA2"/>
    <w:rsid w:val="5CDA5F34"/>
    <w:rsid w:val="5D34076D"/>
    <w:rsid w:val="5D494479"/>
    <w:rsid w:val="5D5072FA"/>
    <w:rsid w:val="5D5F79B2"/>
    <w:rsid w:val="5D78609D"/>
    <w:rsid w:val="5D812854"/>
    <w:rsid w:val="5DE45EF4"/>
    <w:rsid w:val="5E1A1D60"/>
    <w:rsid w:val="5E2A30DF"/>
    <w:rsid w:val="5E812F0A"/>
    <w:rsid w:val="5EE94B54"/>
    <w:rsid w:val="5EF64B7B"/>
    <w:rsid w:val="5F2233DD"/>
    <w:rsid w:val="5F3833E6"/>
    <w:rsid w:val="5F3F6522"/>
    <w:rsid w:val="5F546603"/>
    <w:rsid w:val="5F702B80"/>
    <w:rsid w:val="5F942FDA"/>
    <w:rsid w:val="5FD7077C"/>
    <w:rsid w:val="5FF33056"/>
    <w:rsid w:val="5FFC4413"/>
    <w:rsid w:val="601F53C2"/>
    <w:rsid w:val="60433DF0"/>
    <w:rsid w:val="605B738C"/>
    <w:rsid w:val="605D58D7"/>
    <w:rsid w:val="6098238E"/>
    <w:rsid w:val="60BD542B"/>
    <w:rsid w:val="60E2185B"/>
    <w:rsid w:val="61616C24"/>
    <w:rsid w:val="61A94127"/>
    <w:rsid w:val="61D25718"/>
    <w:rsid w:val="61F835D7"/>
    <w:rsid w:val="62143C96"/>
    <w:rsid w:val="62215847"/>
    <w:rsid w:val="623A6E19"/>
    <w:rsid w:val="624D3A32"/>
    <w:rsid w:val="625D388F"/>
    <w:rsid w:val="62C44A3D"/>
    <w:rsid w:val="62DC264B"/>
    <w:rsid w:val="62F525F1"/>
    <w:rsid w:val="63035AB9"/>
    <w:rsid w:val="631B2E02"/>
    <w:rsid w:val="63273E9D"/>
    <w:rsid w:val="6398420F"/>
    <w:rsid w:val="63DD630A"/>
    <w:rsid w:val="63E105AB"/>
    <w:rsid w:val="63EA6547"/>
    <w:rsid w:val="63F00A48"/>
    <w:rsid w:val="64504D2E"/>
    <w:rsid w:val="645C36D2"/>
    <w:rsid w:val="64910677"/>
    <w:rsid w:val="64B574B9"/>
    <w:rsid w:val="64CF0348"/>
    <w:rsid w:val="64FB738F"/>
    <w:rsid w:val="652F0DE7"/>
    <w:rsid w:val="65401246"/>
    <w:rsid w:val="65491EA9"/>
    <w:rsid w:val="65804C4D"/>
    <w:rsid w:val="65EE6DB5"/>
    <w:rsid w:val="665B00D9"/>
    <w:rsid w:val="66742F55"/>
    <w:rsid w:val="6692162D"/>
    <w:rsid w:val="66A82BFF"/>
    <w:rsid w:val="66B21CD0"/>
    <w:rsid w:val="67123766"/>
    <w:rsid w:val="671666F0"/>
    <w:rsid w:val="678B58B0"/>
    <w:rsid w:val="678E4256"/>
    <w:rsid w:val="67947887"/>
    <w:rsid w:val="67B2260D"/>
    <w:rsid w:val="67B66227"/>
    <w:rsid w:val="67BF131F"/>
    <w:rsid w:val="67E3132A"/>
    <w:rsid w:val="68083E32"/>
    <w:rsid w:val="682E182A"/>
    <w:rsid w:val="68514279"/>
    <w:rsid w:val="686B482C"/>
    <w:rsid w:val="68AA0EB0"/>
    <w:rsid w:val="68AC6A8F"/>
    <w:rsid w:val="68BE2BAE"/>
    <w:rsid w:val="68DE6DAC"/>
    <w:rsid w:val="69112A53"/>
    <w:rsid w:val="691B590A"/>
    <w:rsid w:val="69855278"/>
    <w:rsid w:val="69AF1571"/>
    <w:rsid w:val="69C35B5F"/>
    <w:rsid w:val="69D72179"/>
    <w:rsid w:val="69E105A3"/>
    <w:rsid w:val="69F525FF"/>
    <w:rsid w:val="69FD1B31"/>
    <w:rsid w:val="6A2151A2"/>
    <w:rsid w:val="6A334ED5"/>
    <w:rsid w:val="6A424B01"/>
    <w:rsid w:val="6A7A0D56"/>
    <w:rsid w:val="6A85532E"/>
    <w:rsid w:val="6AF04F13"/>
    <w:rsid w:val="6B146AB5"/>
    <w:rsid w:val="6B3B681F"/>
    <w:rsid w:val="6B985938"/>
    <w:rsid w:val="6BBD06EE"/>
    <w:rsid w:val="6BC73B27"/>
    <w:rsid w:val="6BDF4621"/>
    <w:rsid w:val="6BE62683"/>
    <w:rsid w:val="6BF07522"/>
    <w:rsid w:val="6C131377"/>
    <w:rsid w:val="6C1A00FB"/>
    <w:rsid w:val="6C327B3B"/>
    <w:rsid w:val="6C79122E"/>
    <w:rsid w:val="6C81017A"/>
    <w:rsid w:val="6C91633E"/>
    <w:rsid w:val="6CBB2471"/>
    <w:rsid w:val="6D082649"/>
    <w:rsid w:val="6D2531FB"/>
    <w:rsid w:val="6D8D7335"/>
    <w:rsid w:val="6DBD1686"/>
    <w:rsid w:val="6DFB1A8E"/>
    <w:rsid w:val="6E435FD6"/>
    <w:rsid w:val="6E5344B4"/>
    <w:rsid w:val="6E8B52E0"/>
    <w:rsid w:val="6E9248C1"/>
    <w:rsid w:val="6ECF78C3"/>
    <w:rsid w:val="6EDA1C3E"/>
    <w:rsid w:val="6EE3511C"/>
    <w:rsid w:val="6F060E0B"/>
    <w:rsid w:val="6FA36659"/>
    <w:rsid w:val="6FB16FC8"/>
    <w:rsid w:val="6FCA7C90"/>
    <w:rsid w:val="6FE80510"/>
    <w:rsid w:val="70061007"/>
    <w:rsid w:val="70102902"/>
    <w:rsid w:val="7016507D"/>
    <w:rsid w:val="703F1E1D"/>
    <w:rsid w:val="703F2826"/>
    <w:rsid w:val="70463DEA"/>
    <w:rsid w:val="7054185C"/>
    <w:rsid w:val="70840239"/>
    <w:rsid w:val="709C1A26"/>
    <w:rsid w:val="70AD36ED"/>
    <w:rsid w:val="70CB230C"/>
    <w:rsid w:val="70EB650A"/>
    <w:rsid w:val="712E5597"/>
    <w:rsid w:val="71755DD4"/>
    <w:rsid w:val="717A163C"/>
    <w:rsid w:val="71A566B9"/>
    <w:rsid w:val="71A71199"/>
    <w:rsid w:val="71D945B4"/>
    <w:rsid w:val="71EE3B85"/>
    <w:rsid w:val="71EF202A"/>
    <w:rsid w:val="71F1514A"/>
    <w:rsid w:val="7261193D"/>
    <w:rsid w:val="7286069E"/>
    <w:rsid w:val="72966949"/>
    <w:rsid w:val="72AD5C21"/>
    <w:rsid w:val="72C60FDD"/>
    <w:rsid w:val="72E871A5"/>
    <w:rsid w:val="72F378F8"/>
    <w:rsid w:val="72FD01F0"/>
    <w:rsid w:val="730B2CC7"/>
    <w:rsid w:val="73216213"/>
    <w:rsid w:val="73536DF2"/>
    <w:rsid w:val="737C169B"/>
    <w:rsid w:val="73B51908"/>
    <w:rsid w:val="743345D0"/>
    <w:rsid w:val="74582108"/>
    <w:rsid w:val="74605AC3"/>
    <w:rsid w:val="74C27582"/>
    <w:rsid w:val="74F85AEF"/>
    <w:rsid w:val="75383CE8"/>
    <w:rsid w:val="755212F7"/>
    <w:rsid w:val="758C0F37"/>
    <w:rsid w:val="758C3EDC"/>
    <w:rsid w:val="75B3681E"/>
    <w:rsid w:val="75CB06B8"/>
    <w:rsid w:val="760616F0"/>
    <w:rsid w:val="761A596B"/>
    <w:rsid w:val="762C4E73"/>
    <w:rsid w:val="763D7801"/>
    <w:rsid w:val="763E5AEB"/>
    <w:rsid w:val="765B1A3C"/>
    <w:rsid w:val="76B10A32"/>
    <w:rsid w:val="76D161A2"/>
    <w:rsid w:val="76EE0B02"/>
    <w:rsid w:val="772B730B"/>
    <w:rsid w:val="77400C32"/>
    <w:rsid w:val="775D1F61"/>
    <w:rsid w:val="778A58E2"/>
    <w:rsid w:val="778B00FF"/>
    <w:rsid w:val="77DC6BAC"/>
    <w:rsid w:val="77E141C3"/>
    <w:rsid w:val="781400F4"/>
    <w:rsid w:val="78482494"/>
    <w:rsid w:val="785D5D75"/>
    <w:rsid w:val="785E1CB7"/>
    <w:rsid w:val="786F730B"/>
    <w:rsid w:val="78774B27"/>
    <w:rsid w:val="78880AE2"/>
    <w:rsid w:val="78BB2C66"/>
    <w:rsid w:val="791B3704"/>
    <w:rsid w:val="793B5B55"/>
    <w:rsid w:val="794F01B6"/>
    <w:rsid w:val="79584959"/>
    <w:rsid w:val="79905EA0"/>
    <w:rsid w:val="79A91409"/>
    <w:rsid w:val="79BF0534"/>
    <w:rsid w:val="79C618C2"/>
    <w:rsid w:val="79E24222"/>
    <w:rsid w:val="79EC59E5"/>
    <w:rsid w:val="79EF11AC"/>
    <w:rsid w:val="79FE6DB9"/>
    <w:rsid w:val="7A1C07A1"/>
    <w:rsid w:val="7A2E226C"/>
    <w:rsid w:val="7A476ED2"/>
    <w:rsid w:val="7A49604F"/>
    <w:rsid w:val="7A543372"/>
    <w:rsid w:val="7A73573A"/>
    <w:rsid w:val="7AB07DCA"/>
    <w:rsid w:val="7AB94F83"/>
    <w:rsid w:val="7AC83418"/>
    <w:rsid w:val="7B0326A2"/>
    <w:rsid w:val="7B1F28A8"/>
    <w:rsid w:val="7B222DA4"/>
    <w:rsid w:val="7B3B0949"/>
    <w:rsid w:val="7B4909FD"/>
    <w:rsid w:val="7B4A02D1"/>
    <w:rsid w:val="7B4C5DF7"/>
    <w:rsid w:val="7B672C31"/>
    <w:rsid w:val="7B7C4380"/>
    <w:rsid w:val="7BA21EBB"/>
    <w:rsid w:val="7BA55BB1"/>
    <w:rsid w:val="7BA94FF8"/>
    <w:rsid w:val="7BC2430B"/>
    <w:rsid w:val="7BE32A41"/>
    <w:rsid w:val="7C1531FF"/>
    <w:rsid w:val="7C2173D4"/>
    <w:rsid w:val="7C2537C3"/>
    <w:rsid w:val="7C7E0232"/>
    <w:rsid w:val="7C923CDE"/>
    <w:rsid w:val="7D224124"/>
    <w:rsid w:val="7D252DA4"/>
    <w:rsid w:val="7D310761"/>
    <w:rsid w:val="7D8C37D3"/>
    <w:rsid w:val="7DEC695C"/>
    <w:rsid w:val="7E026C41"/>
    <w:rsid w:val="7E521976"/>
    <w:rsid w:val="7E6416AA"/>
    <w:rsid w:val="7E6A0FEA"/>
    <w:rsid w:val="7E8D6E52"/>
    <w:rsid w:val="7EAE0881"/>
    <w:rsid w:val="7EB0710E"/>
    <w:rsid w:val="7EB438CF"/>
    <w:rsid w:val="7EC55059"/>
    <w:rsid w:val="7F014E0E"/>
    <w:rsid w:val="7F12645F"/>
    <w:rsid w:val="7F17429F"/>
    <w:rsid w:val="7F65392B"/>
    <w:rsid w:val="7F7D478D"/>
    <w:rsid w:val="7F8C710A"/>
    <w:rsid w:val="7F93440F"/>
    <w:rsid w:val="7F9A6D6B"/>
    <w:rsid w:val="7FCE094A"/>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7"/>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2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unhideWhenUsed/>
    <w:qFormat/>
    <w:uiPriority w:val="99"/>
    <w:pPr>
      <w:ind w:left="105" w:right="353" w:firstLine="720"/>
      <w:jc w:val="center"/>
    </w:pPr>
    <w:rPr>
      <w:rFonts w:eastAsia="楷体_GB2312"/>
      <w:sz w:val="24"/>
      <w:szCs w:val="20"/>
    </w:rPr>
  </w:style>
  <w:style w:type="paragraph" w:styleId="7">
    <w:name w:val="Normal Indent"/>
    <w:basedOn w:val="1"/>
    <w:link w:val="39"/>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4"/>
    <w:qFormat/>
    <w:uiPriority w:val="0"/>
    <w:pPr>
      <w:spacing w:after="120" w:line="360" w:lineRule="auto"/>
    </w:pPr>
    <w:rPr>
      <w:sz w:val="16"/>
      <w:szCs w:val="16"/>
    </w:rPr>
  </w:style>
  <w:style w:type="paragraph" w:styleId="10">
    <w:name w:val="Body Text"/>
    <w:basedOn w:val="1"/>
    <w:link w:val="53"/>
    <w:qFormat/>
    <w:uiPriority w:val="0"/>
    <w:pPr>
      <w:spacing w:line="360" w:lineRule="auto"/>
    </w:pPr>
    <w:rPr>
      <w:rFonts w:ascii="Times New Roman" w:hAnsi="Times New Roman" w:eastAsia="宋体" w:cs="Times New Roman"/>
      <w:szCs w:val="20"/>
    </w:rPr>
  </w:style>
  <w:style w:type="paragraph" w:styleId="11">
    <w:name w:val="Body Text Indent"/>
    <w:basedOn w:val="1"/>
    <w:link w:val="50"/>
    <w:qFormat/>
    <w:uiPriority w:val="0"/>
    <w:pPr>
      <w:ind w:left="540" w:leftChars="257" w:firstLine="20" w:firstLineChars="7"/>
    </w:pPr>
    <w:rPr>
      <w:sz w:val="24"/>
    </w:rPr>
  </w:style>
  <w:style w:type="paragraph" w:styleId="12">
    <w:name w:val="Plain Text"/>
    <w:basedOn w:val="1"/>
    <w:link w:val="4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8">
    <w:name w:val="index heading"/>
    <w:basedOn w:val="1"/>
    <w:next w:val="19"/>
    <w:semiHidden/>
    <w:qFormat/>
    <w:uiPriority w:val="0"/>
    <w:rPr>
      <w:rFonts w:ascii="Times New Roman" w:hAnsi="Times New Roman"/>
      <w:szCs w:val="20"/>
    </w:rPr>
  </w:style>
  <w:style w:type="paragraph" w:styleId="19">
    <w:name w:val="index 1"/>
    <w:basedOn w:val="1"/>
    <w:next w:val="1"/>
    <w:unhideWhenUsed/>
    <w:qFormat/>
    <w:uiPriority w:val="99"/>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link w:val="51"/>
    <w:semiHidden/>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rPr>
      <w:rFonts w:cs="Times New Roman"/>
    </w:rPr>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BodyText1I"/>
    <w:basedOn w:val="30"/>
    <w:qFormat/>
    <w:uiPriority w:val="0"/>
    <w:pPr>
      <w:spacing w:after="120"/>
      <w:ind w:firstLine="420" w:firstLineChars="100"/>
      <w:jc w:val="both"/>
      <w:textAlignment w:val="baseline"/>
    </w:pPr>
  </w:style>
  <w:style w:type="paragraph" w:customStyle="1" w:styleId="30">
    <w:name w:val="BodyText"/>
    <w:basedOn w:val="1"/>
    <w:qFormat/>
    <w:uiPriority w:val="0"/>
    <w:pPr>
      <w:spacing w:after="120"/>
      <w:jc w:val="both"/>
      <w:textAlignment w:val="baseline"/>
    </w:pPr>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2">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33">
    <w:name w:val="题注5"/>
    <w:basedOn w:val="1"/>
    <w:next w:val="8"/>
    <w:qFormat/>
    <w:uiPriority w:val="0"/>
    <w:pPr>
      <w:jc w:val="center"/>
    </w:pPr>
    <w:rPr>
      <w:rFonts w:ascii="Times New Roman" w:hAnsi="Times New Roman"/>
      <w:b/>
      <w:color w:val="000000"/>
      <w:sz w:val="24"/>
      <w:szCs w:val="21"/>
    </w:rPr>
  </w:style>
  <w:style w:type="paragraph" w:customStyle="1" w:styleId="34">
    <w:name w:val="表格文字"/>
    <w:basedOn w:val="1"/>
    <w:qFormat/>
    <w:uiPriority w:val="0"/>
    <w:pPr>
      <w:spacing w:before="25" w:after="25" w:line="300" w:lineRule="auto"/>
    </w:pPr>
    <w:rPr>
      <w:rFonts w:ascii="Times" w:hAnsi="Times"/>
      <w:spacing w:val="10"/>
      <w:kern w:val="0"/>
      <w:sz w:val="24"/>
      <w:szCs w:val="20"/>
    </w:rPr>
  </w:style>
  <w:style w:type="character" w:customStyle="1" w:styleId="35">
    <w:name w:val="页脚 Char"/>
    <w:basedOn w:val="24"/>
    <w:link w:val="14"/>
    <w:semiHidden/>
    <w:qFormat/>
    <w:uiPriority w:val="99"/>
    <w:rPr>
      <w:kern w:val="2"/>
      <w:sz w:val="18"/>
      <w:szCs w:val="18"/>
    </w:rPr>
  </w:style>
  <w:style w:type="character" w:customStyle="1" w:styleId="36">
    <w:name w:val="页眉 Char"/>
    <w:basedOn w:val="24"/>
    <w:link w:val="16"/>
    <w:semiHidden/>
    <w:qFormat/>
    <w:uiPriority w:val="99"/>
    <w:rPr>
      <w:kern w:val="2"/>
      <w:sz w:val="18"/>
      <w:szCs w:val="18"/>
    </w:rPr>
  </w:style>
  <w:style w:type="character" w:customStyle="1" w:styleId="37">
    <w:name w:val="标题 2 Char"/>
    <w:basedOn w:val="24"/>
    <w:link w:val="4"/>
    <w:qFormat/>
    <w:uiPriority w:val="0"/>
    <w:rPr>
      <w:rFonts w:ascii="Arial" w:hAnsi="Arial" w:eastAsia="黑体"/>
      <w:b/>
      <w:bCs/>
      <w:sz w:val="32"/>
      <w:szCs w:val="32"/>
    </w:rPr>
  </w:style>
  <w:style w:type="character" w:customStyle="1" w:styleId="38">
    <w:name w:val="标题 3 Char"/>
    <w:basedOn w:val="24"/>
    <w:link w:val="5"/>
    <w:qFormat/>
    <w:uiPriority w:val="0"/>
    <w:rPr>
      <w:b/>
      <w:bCs/>
      <w:kern w:val="2"/>
      <w:sz w:val="32"/>
      <w:szCs w:val="32"/>
    </w:rPr>
  </w:style>
  <w:style w:type="character" w:customStyle="1" w:styleId="39">
    <w:name w:val="正文缩进 Char"/>
    <w:link w:val="7"/>
    <w:qFormat/>
    <w:uiPriority w:val="0"/>
    <w:rPr>
      <w:kern w:val="2"/>
      <w:sz w:val="21"/>
      <w:szCs w:val="24"/>
    </w:rPr>
  </w:style>
  <w:style w:type="character" w:customStyle="1" w:styleId="40">
    <w:name w:val="标题 4 Char"/>
    <w:basedOn w:val="24"/>
    <w:link w:val="6"/>
    <w:qFormat/>
    <w:uiPriority w:val="9"/>
    <w:rPr>
      <w:rFonts w:ascii="Cambria" w:hAnsi="Cambria"/>
      <w:b/>
      <w:bCs/>
      <w:kern w:val="2"/>
      <w:sz w:val="28"/>
      <w:szCs w:val="28"/>
    </w:rPr>
  </w:style>
  <w:style w:type="character" w:customStyle="1" w:styleId="41">
    <w:name w:val="纯文本 Char"/>
    <w:link w:val="12"/>
    <w:qFormat/>
    <w:uiPriority w:val="0"/>
    <w:rPr>
      <w:rFonts w:ascii="宋体" w:hAnsi="Courier New"/>
    </w:rPr>
  </w:style>
  <w:style w:type="character" w:customStyle="1" w:styleId="42">
    <w:name w:val="正文文本 3 Char1"/>
    <w:basedOn w:val="24"/>
    <w:link w:val="9"/>
    <w:semiHidden/>
    <w:qFormat/>
    <w:uiPriority w:val="99"/>
    <w:rPr>
      <w:kern w:val="2"/>
      <w:sz w:val="16"/>
      <w:szCs w:val="16"/>
    </w:rPr>
  </w:style>
  <w:style w:type="character" w:customStyle="1" w:styleId="43">
    <w:name w:val="纯文本 Char1"/>
    <w:basedOn w:val="24"/>
    <w:link w:val="12"/>
    <w:qFormat/>
    <w:uiPriority w:val="0"/>
    <w:rPr>
      <w:rFonts w:ascii="宋体" w:hAnsi="Courier New" w:cs="Courier New"/>
      <w:kern w:val="2"/>
      <w:sz w:val="21"/>
      <w:szCs w:val="21"/>
    </w:rPr>
  </w:style>
  <w:style w:type="character" w:customStyle="1" w:styleId="44">
    <w:name w:val="正文文本 3 Char"/>
    <w:link w:val="9"/>
    <w:qFormat/>
    <w:uiPriority w:val="0"/>
    <w:rPr>
      <w:kern w:val="2"/>
      <w:sz w:val="16"/>
      <w:szCs w:val="16"/>
    </w:rPr>
  </w:style>
  <w:style w:type="paragraph" w:styleId="45">
    <w:name w:val="List Paragraph"/>
    <w:basedOn w:val="1"/>
    <w:qFormat/>
    <w:uiPriority w:val="34"/>
    <w:pPr>
      <w:ind w:firstLine="420" w:firstLineChars="200"/>
    </w:pPr>
  </w:style>
  <w:style w:type="paragraph" w:customStyle="1" w:styleId="46">
    <w:name w:val="p0"/>
    <w:basedOn w:val="1"/>
    <w:qFormat/>
    <w:uiPriority w:val="0"/>
    <w:pPr>
      <w:widowControl/>
    </w:pPr>
    <w:rPr>
      <w:kern w:val="0"/>
      <w:szCs w:val="21"/>
    </w:rPr>
  </w:style>
  <w:style w:type="character" w:customStyle="1" w:styleId="47">
    <w:name w:val="ca-12"/>
    <w:qFormat/>
    <w:uiPriority w:val="0"/>
    <w:rPr>
      <w:rFonts w:eastAsia="宋体" w:cs="Times New Roman"/>
      <w:kern w:val="2"/>
      <w:sz w:val="24"/>
      <w:szCs w:val="24"/>
      <w:lang w:val="en-US" w:eastAsia="zh-CN" w:bidi="ar-SA"/>
    </w:rPr>
  </w:style>
  <w:style w:type="paragraph" w:customStyle="1" w:styleId="48">
    <w:name w:val="文档正文"/>
    <w:basedOn w:val="1"/>
    <w:qFormat/>
    <w:uiPriority w:val="0"/>
    <w:pPr>
      <w:spacing w:line="360" w:lineRule="auto"/>
    </w:pPr>
    <w:rPr>
      <w:rFonts w:ascii="Arial" w:hAnsi="Arial" w:cs="Arial"/>
      <w:sz w:val="24"/>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0">
    <w:name w:val="正文文本缩进 Char"/>
    <w:basedOn w:val="24"/>
    <w:link w:val="11"/>
    <w:qFormat/>
    <w:uiPriority w:val="0"/>
    <w:rPr>
      <w:kern w:val="2"/>
      <w:sz w:val="21"/>
      <w:szCs w:val="24"/>
    </w:rPr>
  </w:style>
  <w:style w:type="character" w:customStyle="1" w:styleId="51">
    <w:name w:val="正文首行缩进 2 Char"/>
    <w:basedOn w:val="50"/>
    <w:link w:val="21"/>
    <w:qFormat/>
    <w:uiPriority w:val="0"/>
    <w:rPr>
      <w:kern w:val="2"/>
      <w:sz w:val="21"/>
      <w:szCs w:val="24"/>
    </w:rPr>
  </w:style>
  <w:style w:type="character" w:customStyle="1" w:styleId="52">
    <w:name w:val="正文文本 Char"/>
    <w:basedOn w:val="24"/>
    <w:link w:val="10"/>
    <w:qFormat/>
    <w:uiPriority w:val="0"/>
    <w:rPr>
      <w:kern w:val="2"/>
      <w:sz w:val="21"/>
    </w:rPr>
  </w:style>
  <w:style w:type="character" w:customStyle="1" w:styleId="53">
    <w:name w:val="正文文本 字符"/>
    <w:basedOn w:val="24"/>
    <w:link w:val="10"/>
    <w:qFormat/>
    <w:uiPriority w:val="0"/>
    <w:rPr>
      <w:rFonts w:hint="eastAsia" w:ascii="宋体" w:hAnsi="宋体" w:eastAsia="宋体" w:cs="宋体"/>
      <w:sz w:val="28"/>
    </w:rPr>
  </w:style>
  <w:style w:type="paragraph" w:customStyle="1" w:styleId="54">
    <w:name w:val="AnnotationText"/>
    <w:basedOn w:val="1"/>
    <w:qFormat/>
    <w:uiPriority w:val="0"/>
    <w:pPr>
      <w:spacing w:line="360" w:lineRule="atLeast"/>
      <w:jc w:val="left"/>
      <w:textAlignment w:val="baseline"/>
    </w:pPr>
    <w:rPr>
      <w:rFonts w:ascii="宋体"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25057</Words>
  <Characters>26078</Characters>
  <Lines>250</Lines>
  <Paragraphs>70</Paragraphs>
  <TotalTime>6</TotalTime>
  <ScaleCrop>false</ScaleCrop>
  <LinksUpToDate>false</LinksUpToDate>
  <CharactersWithSpaces>28502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2022-05-14T00:45:00Z</cp:lastPrinted>
  <dcterms:modified xsi:type="dcterms:W3CDTF">2022-06-16T07:49:00Z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A508B4CA401F4C6E9A4E978670A179CF</vt:lpwstr>
  </property>
</Properties>
</file>