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insoku w:val="0"/>
        <w:wordWrap w:val="0"/>
        <w:topLinePunct/>
        <w:autoSpaceDE/>
        <w:spacing w:line="240" w:lineRule="auto"/>
        <w:ind w:right="-1132" w:rightChars="-341"/>
        <w:jc w:val="center"/>
        <w:rPr>
          <w:rFonts w:hint="eastAsia" w:ascii="宋体" w:hAnsi="宋体" w:eastAsia="宋体"/>
          <w:sz w:val="32"/>
        </w:rPr>
      </w:pPr>
    </w:p>
    <w:p>
      <w:pPr>
        <w:pStyle w:val="2"/>
        <w:kinsoku w:val="0"/>
        <w:wordWrap w:val="0"/>
        <w:topLinePunct/>
        <w:autoSpaceDE/>
        <w:spacing w:line="240" w:lineRule="auto"/>
        <w:jc w:val="center"/>
        <w:rPr>
          <w:rFonts w:hint="eastAsia" w:ascii="宋体" w:hAnsi="宋体" w:eastAsia="宋体"/>
          <w:sz w:val="44"/>
        </w:rPr>
      </w:pPr>
      <w:r>
        <w:rPr>
          <w:rFonts w:hint="eastAsia" w:ascii="宋体" w:hAnsi="宋体" w:eastAsia="宋体"/>
          <w:sz w:val="44"/>
        </w:rPr>
        <w:t>汕头大学医学院技术服务招标项目</w:t>
      </w:r>
    </w:p>
    <w:p>
      <w:pPr>
        <w:kinsoku w:val="0"/>
        <w:wordWrap w:val="0"/>
        <w:topLinePunct/>
        <w:rPr>
          <w:rFonts w:hint="eastAsia" w:ascii="宋体" w:eastAsia="宋体"/>
        </w:rPr>
      </w:pPr>
    </w:p>
    <w:p>
      <w:pPr>
        <w:pStyle w:val="2"/>
        <w:kinsoku w:val="0"/>
        <w:wordWrap w:val="0"/>
        <w:topLinePunct/>
        <w:autoSpaceDE/>
        <w:spacing w:line="240" w:lineRule="auto"/>
        <w:jc w:val="center"/>
        <w:rPr>
          <w:rFonts w:hint="eastAsia" w:ascii="宋体" w:hAnsi="宋体" w:eastAsia="宋体"/>
          <w:b/>
          <w:sz w:val="72"/>
        </w:rPr>
      </w:pPr>
      <w:r>
        <w:rPr>
          <w:rFonts w:hint="eastAsia" w:ascii="宋体" w:hAnsi="宋体" w:eastAsia="宋体"/>
          <w:b/>
          <w:sz w:val="72"/>
        </w:rPr>
        <w:t>招   标   文   件</w:t>
      </w:r>
    </w:p>
    <w:p>
      <w:pPr>
        <w:kinsoku w:val="0"/>
        <w:wordWrap w:val="0"/>
        <w:topLinePunct/>
        <w:rPr>
          <w:rFonts w:hint="eastAsia" w:ascii="宋体" w:eastAsia="宋体"/>
        </w:rPr>
      </w:pPr>
    </w:p>
    <w:p>
      <w:pPr>
        <w:kinsoku w:val="0"/>
        <w:wordWrap w:val="0"/>
        <w:topLinePunct/>
        <w:rPr>
          <w:rFonts w:hint="eastAsia" w:ascii="宋体" w:eastAsia="宋体"/>
        </w:rPr>
      </w:pPr>
    </w:p>
    <w:p>
      <w:pPr>
        <w:kinsoku w:val="0"/>
        <w:wordWrap w:val="0"/>
        <w:topLinePunct/>
        <w:rPr>
          <w:rFonts w:hint="eastAsia" w:ascii="宋体" w:eastAsia="宋体"/>
        </w:rPr>
      </w:pPr>
    </w:p>
    <w:p>
      <w:pPr>
        <w:kinsoku w:val="0"/>
        <w:wordWrap w:val="0"/>
        <w:topLinePunct/>
        <w:rPr>
          <w:rFonts w:hint="eastAsia" w:ascii="宋体" w:eastAsia="宋体"/>
        </w:rPr>
      </w:pPr>
    </w:p>
    <w:p>
      <w:pPr>
        <w:kinsoku w:val="0"/>
        <w:wordWrap w:val="0"/>
        <w:topLinePunct/>
        <w:rPr>
          <w:rFonts w:hint="eastAsia" w:ascii="宋体" w:eastAsia="宋体"/>
        </w:rPr>
      </w:pPr>
    </w:p>
    <w:p>
      <w:pPr>
        <w:kinsoku w:val="0"/>
        <w:wordWrap w:val="0"/>
        <w:topLinePunct/>
        <w:ind w:firstLine="1494"/>
        <w:rPr>
          <w:rFonts w:hint="eastAsia" w:ascii="宋体" w:hAnsi="宋体" w:eastAsia="宋体"/>
          <w:sz w:val="36"/>
          <w:lang w:val="en-US" w:eastAsia="zh-CN"/>
        </w:rPr>
      </w:pPr>
      <w:r>
        <w:rPr>
          <w:rFonts w:hint="eastAsia" w:ascii="宋体" w:hAnsi="宋体" w:eastAsia="宋体"/>
          <w:sz w:val="36"/>
        </w:rPr>
        <w:t>招标编号：设20</w:t>
      </w:r>
      <w:r>
        <w:rPr>
          <w:rFonts w:hint="eastAsia" w:ascii="宋体" w:hAnsi="宋体" w:eastAsia="宋体"/>
          <w:sz w:val="36"/>
          <w:lang w:val="en-US" w:eastAsia="zh-CN"/>
        </w:rPr>
        <w:t>22</w:t>
      </w:r>
      <w:r>
        <w:rPr>
          <w:rFonts w:hint="eastAsia" w:ascii="宋体" w:hAnsi="宋体" w:eastAsia="宋体"/>
          <w:sz w:val="36"/>
        </w:rPr>
        <w:t>-07-</w:t>
      </w:r>
      <w:r>
        <w:rPr>
          <w:rFonts w:hint="eastAsia" w:ascii="宋体" w:hAnsi="宋体" w:eastAsia="宋体"/>
          <w:sz w:val="36"/>
          <w:lang w:val="en-US" w:eastAsia="zh-CN"/>
        </w:rPr>
        <w:t>04(重招）</w:t>
      </w:r>
    </w:p>
    <w:p>
      <w:pPr>
        <w:kinsoku w:val="0"/>
        <w:wordWrap w:val="0"/>
        <w:topLinePunct/>
        <w:ind w:left="1274" w:leftChars="384" w:firstLine="0" w:firstLineChars="0"/>
        <w:rPr>
          <w:rFonts w:hint="eastAsia" w:ascii="宋体" w:hAnsi="宋体" w:eastAsia="宋体" w:cs="Times New Roman"/>
          <w:sz w:val="36"/>
        </w:rPr>
      </w:pPr>
      <w:r>
        <w:rPr>
          <w:rFonts w:hint="eastAsia" w:ascii="宋体" w:hAnsi="宋体" w:eastAsia="宋体"/>
          <w:sz w:val="36"/>
        </w:rPr>
        <w:t>项目名</w:t>
      </w:r>
      <w:r>
        <w:rPr>
          <w:rFonts w:hint="eastAsia" w:ascii="宋体" w:hAnsi="宋体" w:eastAsia="宋体" w:cs="Times New Roman"/>
          <w:sz w:val="36"/>
        </w:rPr>
        <w:t>称：汕头大学医学院</w:t>
      </w:r>
      <w:r>
        <w:rPr>
          <w:rFonts w:hint="eastAsia" w:ascii="宋体" w:hAnsi="宋体" w:eastAsia="宋体" w:cs="Times New Roman"/>
          <w:sz w:val="36"/>
          <w:lang w:eastAsia="zh-CN"/>
        </w:rPr>
        <w:t>肺上皮细胞功能测试及数据分析服务</w:t>
      </w:r>
      <w:r>
        <w:rPr>
          <w:rFonts w:hint="eastAsia" w:ascii="宋体" w:hAnsi="宋体" w:eastAsia="宋体" w:cs="Times New Roman"/>
          <w:sz w:val="36"/>
        </w:rPr>
        <w:t>招标项目</w:t>
      </w:r>
    </w:p>
    <w:p>
      <w:pPr>
        <w:kinsoku w:val="0"/>
        <w:wordWrap w:val="0"/>
        <w:topLinePunct/>
        <w:ind w:firstLine="1494"/>
        <w:rPr>
          <w:rFonts w:hint="eastAsia" w:ascii="宋体" w:hAnsi="宋体" w:eastAsia="宋体"/>
          <w:sz w:val="24"/>
        </w:rPr>
      </w:pPr>
    </w:p>
    <w:p>
      <w:pPr>
        <w:kinsoku w:val="0"/>
        <w:wordWrap w:val="0"/>
        <w:topLinePunct/>
        <w:rPr>
          <w:rFonts w:hint="eastAsia" w:ascii="宋体" w:hAnsi="宋体" w:eastAsia="宋体"/>
          <w:sz w:val="24"/>
        </w:rPr>
      </w:pPr>
    </w:p>
    <w:p>
      <w:pPr>
        <w:kinsoku w:val="0"/>
        <w:wordWrap w:val="0"/>
        <w:topLinePunct/>
        <w:rPr>
          <w:rFonts w:hint="eastAsia" w:ascii="宋体" w:hAnsi="宋体" w:eastAsia="宋体"/>
          <w:sz w:val="24"/>
        </w:rPr>
      </w:pPr>
    </w:p>
    <w:p>
      <w:pPr>
        <w:kinsoku w:val="0"/>
        <w:wordWrap w:val="0"/>
        <w:topLinePunct/>
        <w:jc w:val="center"/>
        <w:rPr>
          <w:rFonts w:hint="eastAsia" w:ascii="宋体" w:hAnsi="宋体" w:eastAsia="宋体"/>
          <w:sz w:val="36"/>
        </w:rPr>
      </w:pPr>
    </w:p>
    <w:p>
      <w:pPr>
        <w:kinsoku w:val="0"/>
        <w:wordWrap w:val="0"/>
        <w:topLinePunct/>
        <w:jc w:val="center"/>
        <w:rPr>
          <w:rFonts w:hint="eastAsia" w:ascii="宋体" w:hAnsi="宋体" w:eastAsia="宋体"/>
          <w:sz w:val="36"/>
        </w:rPr>
      </w:pPr>
      <w:r>
        <w:drawing>
          <wp:inline distT="0" distB="0" distL="114300" distR="114300">
            <wp:extent cx="752475" cy="828675"/>
            <wp:effectExtent l="0" t="0" r="9525" b="9525"/>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10"/>
                    <a:stretch>
                      <a:fillRect/>
                    </a:stretch>
                  </pic:blipFill>
                  <pic:spPr>
                    <a:xfrm>
                      <a:off x="0" y="0"/>
                      <a:ext cx="752475" cy="828675"/>
                    </a:xfrm>
                    <a:prstGeom prst="rect">
                      <a:avLst/>
                    </a:prstGeom>
                    <a:noFill/>
                    <a:ln>
                      <a:noFill/>
                    </a:ln>
                  </pic:spPr>
                </pic:pic>
              </a:graphicData>
            </a:graphic>
          </wp:inline>
        </w:drawing>
      </w:r>
    </w:p>
    <w:p>
      <w:pPr>
        <w:kinsoku w:val="0"/>
        <w:wordWrap w:val="0"/>
        <w:topLinePunct/>
        <w:jc w:val="center"/>
        <w:rPr>
          <w:rFonts w:hint="eastAsia" w:ascii="宋体" w:hAnsi="宋体" w:eastAsia="宋体"/>
          <w:sz w:val="21"/>
        </w:rPr>
      </w:pPr>
      <w:r>
        <w:rPr>
          <w:rFonts w:hint="eastAsia" w:ascii="宋体" w:hAnsi="宋体" w:eastAsia="宋体"/>
          <w:sz w:val="21"/>
        </w:rPr>
        <w:t>(欢迎访问我们的网站:http://www.med.stu.edu.cn)</w:t>
      </w:r>
    </w:p>
    <w:p>
      <w:pPr>
        <w:kinsoku w:val="0"/>
        <w:wordWrap w:val="0"/>
        <w:topLinePunct/>
        <w:jc w:val="center"/>
        <w:rPr>
          <w:rFonts w:hint="eastAsia" w:ascii="宋体" w:hAnsi="宋体" w:eastAsia="宋体"/>
        </w:rPr>
      </w:pPr>
    </w:p>
    <w:p>
      <w:pPr>
        <w:kinsoku w:val="0"/>
        <w:wordWrap w:val="0"/>
        <w:topLinePunct/>
        <w:jc w:val="center"/>
        <w:rPr>
          <w:rFonts w:hint="eastAsia" w:ascii="宋体" w:hAnsi="宋体" w:eastAsia="宋体"/>
          <w:sz w:val="36"/>
        </w:rPr>
      </w:pPr>
      <w:r>
        <w:rPr>
          <w:rFonts w:hint="eastAsia" w:ascii="宋体" w:hAnsi="宋体" w:eastAsia="宋体"/>
          <w:sz w:val="36"/>
        </w:rPr>
        <w:t>汕头大学医学院</w:t>
      </w:r>
    </w:p>
    <w:p>
      <w:pPr>
        <w:kinsoku w:val="0"/>
        <w:wordWrap w:val="0"/>
        <w:topLinePunct/>
        <w:jc w:val="center"/>
        <w:rPr>
          <w:rFonts w:hint="eastAsia" w:ascii="宋体" w:hAnsi="宋体" w:eastAsia="宋体"/>
          <w:sz w:val="44"/>
          <w:lang w:eastAsia="zh-CN"/>
        </w:rPr>
      </w:pPr>
      <w:r>
        <w:rPr>
          <w:rFonts w:hint="eastAsia" w:ascii="宋体" w:hAnsi="宋体" w:eastAsia="宋体"/>
          <w:sz w:val="44"/>
        </w:rPr>
        <w:t>2017．7.0</w:t>
      </w:r>
      <w:r>
        <w:rPr>
          <w:rFonts w:hint="eastAsia" w:ascii="宋体" w:hAnsi="宋体" w:eastAsia="宋体"/>
          <w:sz w:val="44"/>
          <w:lang w:val="en-US" w:eastAsia="zh-CN"/>
        </w:rPr>
        <w:t>4</w:t>
      </w:r>
    </w:p>
    <w:p>
      <w:pPr>
        <w:kinsoku w:val="0"/>
        <w:wordWrap w:val="0"/>
        <w:topLinePunct/>
        <w:rPr>
          <w:rFonts w:hint="eastAsia" w:ascii="宋体" w:hAnsi="宋体" w:eastAsia="宋体"/>
          <w:sz w:val="24"/>
        </w:rPr>
      </w:pPr>
    </w:p>
    <w:p>
      <w:pPr>
        <w:kinsoku w:val="0"/>
        <w:wordWrap w:val="0"/>
        <w:topLinePunct/>
        <w:rPr>
          <w:rFonts w:hint="eastAsia" w:ascii="宋体" w:hAnsi="宋体" w:eastAsia="宋体"/>
          <w:sz w:val="24"/>
        </w:rPr>
      </w:pPr>
    </w:p>
    <w:p>
      <w:pPr>
        <w:kinsoku w:val="0"/>
        <w:wordWrap w:val="0"/>
        <w:topLinePunct/>
        <w:rPr>
          <w:rFonts w:hint="eastAsia" w:ascii="宋体" w:hAnsi="宋体" w:eastAsia="宋体"/>
          <w:sz w:val="24"/>
        </w:rPr>
      </w:pPr>
    </w:p>
    <w:p>
      <w:pPr>
        <w:pageBreakBefore/>
        <w:kinsoku w:val="0"/>
        <w:wordWrap w:val="0"/>
        <w:topLinePunct/>
        <w:jc w:val="center"/>
        <w:rPr>
          <w:rFonts w:hint="eastAsia" w:ascii="宋体" w:hAnsi="Arial Narrow" w:eastAsia="宋体"/>
          <w:b/>
          <w:sz w:val="44"/>
        </w:rPr>
      </w:pPr>
      <w:r>
        <w:rPr>
          <w:rFonts w:hint="eastAsia" w:ascii="宋体" w:hAnsi="Arial Narrow" w:eastAsia="宋体"/>
          <w:b/>
          <w:sz w:val="44"/>
        </w:rPr>
        <w:t>目  录</w:t>
      </w:r>
    </w:p>
    <w:p>
      <w:pPr>
        <w:kinsoku w:val="0"/>
        <w:wordWrap w:val="0"/>
        <w:topLinePunct/>
        <w:jc w:val="center"/>
        <w:rPr>
          <w:rFonts w:hint="eastAsia" w:ascii="宋体" w:hAnsi="Arial Narrow" w:eastAsia="宋体"/>
          <w:b/>
          <w:sz w:val="44"/>
        </w:rPr>
      </w:pPr>
    </w:p>
    <w:p>
      <w:pPr>
        <w:kinsoku w:val="0"/>
        <w:wordWrap w:val="0"/>
        <w:topLinePunct/>
        <w:adjustRightInd w:val="0"/>
        <w:snapToGrid w:val="0"/>
        <w:spacing w:before="50" w:after="50"/>
        <w:rPr>
          <w:rFonts w:hint="eastAsia" w:ascii="宋体" w:hAnsi="Arial Narrow" w:eastAsia="宋体"/>
          <w:b/>
          <w:sz w:val="32"/>
        </w:rPr>
      </w:pPr>
      <w:r>
        <w:rPr>
          <w:rFonts w:hint="eastAsia" w:ascii="宋体" w:hAnsi="Arial Narrow" w:eastAsia="宋体"/>
          <w:b/>
          <w:sz w:val="32"/>
        </w:rPr>
        <w:t>第一部分  投标须知、招标项目说明</w:t>
      </w:r>
    </w:p>
    <w:p>
      <w:pPr>
        <w:numPr>
          <w:ilvl w:val="0"/>
          <w:numId w:val="3"/>
        </w:numPr>
        <w:kinsoku w:val="0"/>
        <w:wordWrap w:val="0"/>
        <w:topLinePunct/>
        <w:rPr>
          <w:rFonts w:hint="eastAsia" w:ascii="宋体" w:hAnsi="Arial Narrow" w:eastAsia="宋体"/>
        </w:rPr>
      </w:pPr>
      <w:r>
        <w:rPr>
          <w:rFonts w:hint="eastAsia" w:ascii="宋体" w:hAnsi="Arial Narrow" w:eastAsia="宋体"/>
        </w:rPr>
        <w:t>投标人须知</w:t>
      </w:r>
    </w:p>
    <w:p>
      <w:pPr>
        <w:numPr>
          <w:ilvl w:val="0"/>
          <w:numId w:val="3"/>
        </w:numPr>
        <w:kinsoku w:val="0"/>
        <w:wordWrap w:val="0"/>
        <w:topLinePunct/>
        <w:rPr>
          <w:rFonts w:hint="eastAsia" w:ascii="宋体" w:hAnsi="Arial Narrow" w:eastAsia="宋体"/>
        </w:rPr>
      </w:pPr>
      <w:r>
        <w:rPr>
          <w:rFonts w:hint="eastAsia" w:ascii="宋体" w:hAnsi="Arial Narrow" w:eastAsia="宋体"/>
        </w:rPr>
        <w:t>招标项目的名称、性质和数量</w:t>
      </w:r>
    </w:p>
    <w:p>
      <w:pPr>
        <w:numPr>
          <w:ilvl w:val="0"/>
          <w:numId w:val="3"/>
        </w:numPr>
        <w:kinsoku w:val="0"/>
        <w:wordWrap w:val="0"/>
        <w:topLinePunct/>
        <w:rPr>
          <w:rFonts w:hint="eastAsia" w:ascii="宋体" w:hAnsi="Arial Narrow" w:eastAsia="宋体"/>
        </w:rPr>
      </w:pPr>
      <w:r>
        <w:rPr>
          <w:rFonts w:hint="eastAsia" w:ascii="宋体" w:hAnsi="Arial Narrow" w:eastAsia="宋体"/>
        </w:rPr>
        <w:t>投标报价方式及报价要求</w:t>
      </w:r>
    </w:p>
    <w:p>
      <w:pPr>
        <w:numPr>
          <w:ilvl w:val="0"/>
          <w:numId w:val="3"/>
        </w:numPr>
        <w:kinsoku w:val="0"/>
        <w:wordWrap w:val="0"/>
        <w:topLinePunct/>
        <w:rPr>
          <w:rFonts w:hint="eastAsia" w:ascii="宋体" w:hAnsi="Arial Narrow" w:eastAsia="宋体"/>
        </w:rPr>
      </w:pPr>
      <w:r>
        <w:rPr>
          <w:rFonts w:hint="eastAsia" w:ascii="宋体" w:hAnsi="Arial Narrow" w:eastAsia="宋体"/>
        </w:rPr>
        <w:t>提交投标书的方式、地点和截止日期</w:t>
      </w:r>
    </w:p>
    <w:p>
      <w:pPr>
        <w:numPr>
          <w:ilvl w:val="0"/>
          <w:numId w:val="3"/>
        </w:numPr>
        <w:kinsoku w:val="0"/>
        <w:wordWrap w:val="0"/>
        <w:topLinePunct/>
        <w:rPr>
          <w:rFonts w:hint="eastAsia" w:ascii="宋体" w:hAnsi="Arial Narrow" w:eastAsia="宋体"/>
        </w:rPr>
      </w:pPr>
      <w:r>
        <w:rPr>
          <w:rFonts w:hint="eastAsia" w:ascii="宋体" w:hAnsi="Arial Narrow" w:eastAsia="宋体"/>
        </w:rPr>
        <w:t>评（议）标原则</w:t>
      </w:r>
    </w:p>
    <w:p>
      <w:pPr>
        <w:numPr>
          <w:ilvl w:val="0"/>
          <w:numId w:val="3"/>
        </w:numPr>
        <w:kinsoku w:val="0"/>
        <w:wordWrap w:val="0"/>
        <w:topLinePunct/>
        <w:rPr>
          <w:rFonts w:hint="eastAsia" w:ascii="宋体" w:hAnsi="Arial Narrow" w:eastAsia="宋体"/>
        </w:rPr>
      </w:pPr>
      <w:r>
        <w:rPr>
          <w:rFonts w:hint="eastAsia" w:ascii="宋体" w:hAnsi="Arial Narrow" w:eastAsia="宋体"/>
        </w:rPr>
        <w:t>开标、评标、定标</w:t>
      </w:r>
    </w:p>
    <w:p>
      <w:pPr>
        <w:numPr>
          <w:ilvl w:val="0"/>
          <w:numId w:val="3"/>
        </w:numPr>
        <w:kinsoku w:val="0"/>
        <w:wordWrap w:val="0"/>
        <w:topLinePunct/>
        <w:rPr>
          <w:rFonts w:ascii="宋体" w:hAnsi="宋体" w:eastAsia="宋体"/>
        </w:rPr>
      </w:pPr>
      <w:r>
        <w:rPr>
          <w:rFonts w:hint="eastAsia" w:ascii="宋体" w:hAnsi="宋体" w:eastAsia="宋体"/>
        </w:rPr>
        <w:t>评标过程的保密性</w:t>
      </w:r>
    </w:p>
    <w:p>
      <w:pPr>
        <w:kinsoku w:val="0"/>
        <w:wordWrap w:val="0"/>
        <w:topLinePunct/>
        <w:adjustRightInd w:val="0"/>
        <w:snapToGrid w:val="0"/>
        <w:spacing w:before="50" w:after="50"/>
        <w:rPr>
          <w:rFonts w:hint="eastAsia" w:ascii="宋体" w:hAnsi="Arial Narrow" w:eastAsia="宋体"/>
          <w:sz w:val="32"/>
        </w:rPr>
      </w:pPr>
    </w:p>
    <w:p>
      <w:pPr>
        <w:kinsoku w:val="0"/>
        <w:wordWrap w:val="0"/>
        <w:topLinePunct/>
        <w:adjustRightInd w:val="0"/>
        <w:snapToGrid w:val="0"/>
        <w:spacing w:before="50" w:after="50"/>
        <w:rPr>
          <w:rFonts w:hint="eastAsia" w:ascii="宋体" w:hAnsi="Arial Narrow" w:eastAsia="宋体"/>
          <w:b/>
          <w:sz w:val="32"/>
        </w:rPr>
      </w:pPr>
      <w:r>
        <w:rPr>
          <w:rFonts w:hint="eastAsia" w:ascii="宋体" w:hAnsi="Arial Narrow" w:eastAsia="宋体"/>
          <w:b/>
          <w:sz w:val="32"/>
        </w:rPr>
        <w:t>第二部分  技术规格要求和交货日期等</w:t>
      </w:r>
    </w:p>
    <w:p>
      <w:pPr>
        <w:numPr>
          <w:ilvl w:val="0"/>
          <w:numId w:val="4"/>
        </w:numPr>
        <w:kinsoku w:val="0"/>
        <w:wordWrap w:val="0"/>
        <w:topLinePunct/>
        <w:adjustRightInd w:val="0"/>
        <w:snapToGrid w:val="0"/>
        <w:spacing w:before="50" w:after="50"/>
        <w:rPr>
          <w:rFonts w:hint="eastAsia" w:ascii="宋体" w:hAnsi="Arial Narrow" w:eastAsia="宋体"/>
        </w:rPr>
      </w:pPr>
      <w:r>
        <w:rPr>
          <w:rFonts w:hint="eastAsia" w:ascii="宋体" w:hAnsi="Arial Narrow" w:eastAsia="宋体"/>
        </w:rPr>
        <w:t>项目内容数量</w:t>
      </w:r>
    </w:p>
    <w:p>
      <w:pPr>
        <w:numPr>
          <w:ilvl w:val="0"/>
          <w:numId w:val="4"/>
        </w:numPr>
        <w:kinsoku w:val="0"/>
        <w:wordWrap w:val="0"/>
        <w:topLinePunct/>
        <w:adjustRightInd w:val="0"/>
        <w:snapToGrid w:val="0"/>
        <w:spacing w:before="50" w:after="50"/>
        <w:rPr>
          <w:rFonts w:hint="eastAsia" w:ascii="宋体" w:hAnsi="Arial Narrow" w:eastAsia="宋体"/>
        </w:rPr>
      </w:pPr>
      <w:r>
        <w:rPr>
          <w:rFonts w:hint="eastAsia" w:ascii="宋体" w:hAnsi="Arial Narrow" w:eastAsia="宋体"/>
        </w:rPr>
        <w:t>主要技术指标、技术服务要求、时间</w:t>
      </w:r>
    </w:p>
    <w:p>
      <w:pPr>
        <w:numPr>
          <w:ilvl w:val="0"/>
          <w:numId w:val="4"/>
        </w:numPr>
        <w:kinsoku w:val="0"/>
        <w:wordWrap w:val="0"/>
        <w:topLinePunct/>
        <w:adjustRightInd w:val="0"/>
        <w:snapToGrid w:val="0"/>
        <w:spacing w:before="50" w:after="50"/>
        <w:rPr>
          <w:rFonts w:hint="eastAsia" w:ascii="宋体" w:hAnsi="Arial Narrow" w:eastAsia="宋体"/>
        </w:rPr>
      </w:pPr>
      <w:r>
        <w:rPr>
          <w:rFonts w:hint="eastAsia" w:ascii="宋体" w:hAnsi="Arial Narrow" w:eastAsia="宋体"/>
        </w:rPr>
        <w:t>技术服务质量及售后服务要求</w:t>
      </w:r>
    </w:p>
    <w:p>
      <w:pPr>
        <w:kinsoku w:val="0"/>
        <w:wordWrap w:val="0"/>
        <w:topLinePunct/>
        <w:adjustRightInd w:val="0"/>
        <w:snapToGrid w:val="0"/>
        <w:spacing w:before="50" w:after="50"/>
        <w:rPr>
          <w:rFonts w:hint="eastAsia" w:ascii="宋体" w:hAnsi="Arial Narrow" w:eastAsia="宋体"/>
          <w:sz w:val="32"/>
        </w:rPr>
      </w:pPr>
    </w:p>
    <w:p>
      <w:pPr>
        <w:kinsoku w:val="0"/>
        <w:wordWrap w:val="0"/>
        <w:topLinePunct/>
        <w:adjustRightInd w:val="0"/>
        <w:snapToGrid w:val="0"/>
        <w:spacing w:before="50" w:after="50"/>
        <w:rPr>
          <w:rFonts w:hint="eastAsia" w:ascii="宋体" w:hAnsi="Arial Narrow" w:eastAsia="宋体"/>
          <w:b/>
          <w:sz w:val="32"/>
        </w:rPr>
      </w:pPr>
      <w:r>
        <w:rPr>
          <w:rFonts w:hint="eastAsia" w:ascii="宋体" w:hAnsi="Arial Narrow" w:eastAsia="宋体"/>
          <w:b/>
          <w:sz w:val="32"/>
        </w:rPr>
        <w:t>第三部分  合同样本</w:t>
      </w:r>
    </w:p>
    <w:p>
      <w:pPr>
        <w:kinsoku w:val="0"/>
        <w:wordWrap w:val="0"/>
        <w:topLinePunct/>
        <w:adjustRightInd w:val="0"/>
        <w:snapToGrid w:val="0"/>
        <w:spacing w:before="50" w:after="50"/>
        <w:rPr>
          <w:rFonts w:hint="eastAsia" w:ascii="宋体" w:hAnsi="Arial Narrow" w:eastAsia="宋体"/>
          <w:b/>
          <w:sz w:val="32"/>
        </w:rPr>
      </w:pPr>
    </w:p>
    <w:p>
      <w:pPr>
        <w:kinsoku w:val="0"/>
        <w:wordWrap w:val="0"/>
        <w:topLinePunct/>
        <w:adjustRightInd w:val="0"/>
        <w:snapToGrid w:val="0"/>
        <w:spacing w:before="50" w:after="50"/>
        <w:rPr>
          <w:rFonts w:hint="eastAsia" w:ascii="宋体" w:hAnsi="Arial Narrow" w:eastAsia="宋体"/>
          <w:b/>
          <w:sz w:val="32"/>
        </w:rPr>
      </w:pPr>
      <w:r>
        <w:rPr>
          <w:rFonts w:hint="eastAsia" w:ascii="宋体" w:hAnsi="Arial Narrow" w:eastAsia="宋体"/>
          <w:b/>
          <w:sz w:val="32"/>
        </w:rPr>
        <w:t>第四部分  投标书格式</w:t>
      </w:r>
    </w:p>
    <w:p>
      <w:pPr>
        <w:kinsoku w:val="0"/>
        <w:wordWrap w:val="0"/>
        <w:topLinePunct/>
        <w:adjustRightInd w:val="0"/>
        <w:snapToGrid w:val="0"/>
        <w:spacing w:before="50" w:after="50"/>
        <w:rPr>
          <w:rFonts w:hint="eastAsia" w:ascii="宋体" w:hAnsi="Arial Narrow" w:eastAsia="宋体"/>
          <w:b/>
          <w:sz w:val="32"/>
        </w:rPr>
      </w:pPr>
    </w:p>
    <w:p>
      <w:pPr>
        <w:kinsoku w:val="0"/>
        <w:wordWrap w:val="0"/>
        <w:topLinePunct/>
        <w:jc w:val="center"/>
        <w:rPr>
          <w:rFonts w:hint="eastAsia" w:ascii="宋体" w:hAnsi="Arial Narrow" w:eastAsia="宋体"/>
          <w:b/>
          <w:sz w:val="30"/>
        </w:rPr>
      </w:pPr>
      <w:r>
        <w:rPr>
          <w:rFonts w:ascii="宋体" w:hAnsi="Arial Narrow" w:eastAsia="宋体"/>
        </w:rPr>
        <w:br w:type="page"/>
      </w:r>
      <w:r>
        <w:rPr>
          <w:rFonts w:hint="eastAsia" w:ascii="宋体" w:hAnsi="Arial Narrow" w:eastAsia="宋体"/>
          <w:b/>
          <w:sz w:val="30"/>
        </w:rPr>
        <w:t>第一部分  投标须知、招标项目说明</w:t>
      </w:r>
    </w:p>
    <w:p>
      <w:pPr>
        <w:kinsoku w:val="0"/>
        <w:wordWrap w:val="0"/>
        <w:topLinePunct/>
        <w:rPr>
          <w:rFonts w:hint="eastAsia" w:ascii="宋体" w:hAnsi="Arial Narrow" w:eastAsia="宋体"/>
          <w:b/>
          <w:sz w:val="21"/>
        </w:rPr>
      </w:pPr>
      <w:r>
        <w:rPr>
          <w:rFonts w:hint="eastAsia" w:ascii="宋体" w:hAnsi="Arial Narrow" w:eastAsia="宋体"/>
          <w:b/>
          <w:sz w:val="21"/>
        </w:rPr>
        <w:t>一、投标人须知</w:t>
      </w:r>
    </w:p>
    <w:p>
      <w:pPr>
        <w:numPr>
          <w:ilvl w:val="0"/>
          <w:numId w:val="5"/>
        </w:numPr>
        <w:tabs>
          <w:tab w:val="left" w:pos="166"/>
          <w:tab w:val="clear" w:pos="425"/>
        </w:tabs>
        <w:kinsoku w:val="0"/>
        <w:wordWrap w:val="0"/>
        <w:topLinePunct/>
        <w:ind w:left="830" w:hanging="332"/>
        <w:rPr>
          <w:rFonts w:hint="eastAsia" w:ascii="宋体" w:hAnsi="Arial Narrow" w:eastAsia="宋体"/>
          <w:sz w:val="18"/>
        </w:rPr>
      </w:pPr>
      <w:r>
        <w:rPr>
          <w:rFonts w:hint="eastAsia" w:ascii="宋体" w:hAnsi="Arial Narrow" w:eastAsia="宋体"/>
          <w:sz w:val="18"/>
        </w:rPr>
        <w:t>投标文件要求：</w:t>
      </w:r>
      <w:r>
        <w:rPr>
          <w:rFonts w:hint="eastAsia" w:ascii="宋体" w:hAnsi="Arial Narrow" w:eastAsia="宋体"/>
          <w:b/>
          <w:bCs/>
          <w:sz w:val="18"/>
        </w:rPr>
        <w:t>正本（含资质文件）一份，副本七份[仅体现报价及技术服务方案等内容，在副本上不能出现公司名称及标识等任何可以体现出具体投标公司的内容（封面除外），否则视为废标]</w:t>
      </w:r>
      <w:r>
        <w:rPr>
          <w:rFonts w:hint="eastAsia" w:ascii="宋体" w:hAnsi="Arial Narrow" w:eastAsia="宋体"/>
          <w:sz w:val="18"/>
        </w:rPr>
        <w:t>。</w:t>
      </w:r>
    </w:p>
    <w:p>
      <w:pPr>
        <w:numPr>
          <w:ilvl w:val="0"/>
          <w:numId w:val="5"/>
        </w:numPr>
        <w:tabs>
          <w:tab w:val="left" w:pos="0"/>
          <w:tab w:val="clear" w:pos="425"/>
        </w:tabs>
        <w:kinsoku w:val="0"/>
        <w:wordWrap w:val="0"/>
        <w:topLinePunct/>
        <w:ind w:left="830" w:hanging="332"/>
        <w:rPr>
          <w:rFonts w:hint="eastAsia" w:ascii="宋体" w:hAnsi="Arial Narrow" w:eastAsia="宋体"/>
          <w:sz w:val="18"/>
        </w:rPr>
      </w:pPr>
      <w:r>
        <w:rPr>
          <w:rFonts w:hint="eastAsia" w:ascii="宋体" w:hAnsi="Arial Narrow" w:eastAsia="宋体"/>
          <w:sz w:val="18"/>
        </w:rPr>
        <w:t>投标人必须在规定时间内报名,经审查资格合格后,方可投标。</w:t>
      </w:r>
    </w:p>
    <w:p>
      <w:pPr>
        <w:numPr>
          <w:ilvl w:val="0"/>
          <w:numId w:val="5"/>
        </w:numPr>
        <w:tabs>
          <w:tab w:val="left" w:pos="0"/>
          <w:tab w:val="clear" w:pos="425"/>
        </w:tabs>
        <w:kinsoku w:val="0"/>
        <w:wordWrap w:val="0"/>
        <w:topLinePunct/>
        <w:ind w:left="830" w:hanging="332"/>
        <w:rPr>
          <w:rFonts w:hint="eastAsia" w:ascii="宋体" w:hAnsi="Arial Narrow" w:eastAsia="宋体"/>
          <w:sz w:val="18"/>
        </w:rPr>
      </w:pPr>
      <w:r>
        <w:rPr>
          <w:rFonts w:hint="eastAsia" w:ascii="宋体" w:hAnsi="Arial Narrow" w:eastAsia="宋体"/>
          <w:sz w:val="18"/>
        </w:rPr>
        <w:t>投标人拿到招标书后，如有疑问，可在投标截止日期内与招标有关联系人联系。</w:t>
      </w:r>
    </w:p>
    <w:p>
      <w:pPr>
        <w:numPr>
          <w:ilvl w:val="0"/>
          <w:numId w:val="5"/>
        </w:numPr>
        <w:kinsoku w:val="0"/>
        <w:wordWrap w:val="0"/>
        <w:topLinePunct/>
        <w:ind w:firstLine="73"/>
        <w:rPr>
          <w:rFonts w:hint="eastAsia" w:ascii="宋体" w:hAnsi="Arial Narrow" w:eastAsia="宋体"/>
          <w:sz w:val="18"/>
        </w:rPr>
      </w:pPr>
      <w:r>
        <w:rPr>
          <w:rFonts w:hint="eastAsia" w:ascii="宋体" w:hAnsi="Arial Narrow" w:eastAsia="宋体"/>
          <w:sz w:val="18"/>
        </w:rPr>
        <w:t>投标书和签定合同要求企业法人或企业法人授权委托代表签名方为有效。</w:t>
      </w:r>
    </w:p>
    <w:p>
      <w:pPr>
        <w:numPr>
          <w:ilvl w:val="0"/>
          <w:numId w:val="5"/>
        </w:numPr>
        <w:kinsoku w:val="0"/>
        <w:wordWrap w:val="0"/>
        <w:topLinePunct/>
        <w:ind w:firstLine="73"/>
        <w:rPr>
          <w:rFonts w:hint="eastAsia" w:ascii="宋体" w:hAnsi="Arial Narrow" w:eastAsia="宋体"/>
          <w:sz w:val="21"/>
        </w:rPr>
      </w:pPr>
      <w:r>
        <w:rPr>
          <w:rFonts w:hint="eastAsia" w:ascii="宋体" w:hAnsi="Arial Narrow" w:eastAsia="宋体"/>
          <w:sz w:val="18"/>
        </w:rPr>
        <w:t>如有必要，投标人应接受招标人的答辩要求。</w:t>
      </w:r>
    </w:p>
    <w:p>
      <w:pPr>
        <w:numPr>
          <w:ilvl w:val="0"/>
          <w:numId w:val="5"/>
        </w:numPr>
        <w:kinsoku w:val="0"/>
        <w:wordWrap w:val="0"/>
        <w:topLinePunct/>
        <w:ind w:firstLine="73"/>
        <w:rPr>
          <w:rFonts w:hint="eastAsia" w:ascii="宋体" w:hAnsi="Arial Narrow" w:eastAsia="宋体"/>
          <w:sz w:val="21"/>
        </w:rPr>
      </w:pPr>
      <w:r>
        <w:rPr>
          <w:rFonts w:hint="eastAsia" w:ascii="宋体" w:hAnsi="Arial Narrow" w:eastAsia="宋体"/>
          <w:sz w:val="18"/>
        </w:rPr>
        <w:t>投标时每个投标单位向我院缴交人民币一百五十元资料费</w:t>
      </w:r>
    </w:p>
    <w:p>
      <w:pPr>
        <w:numPr>
          <w:ilvl w:val="0"/>
          <w:numId w:val="5"/>
        </w:numPr>
        <w:kinsoku w:val="0"/>
        <w:wordWrap w:val="0"/>
        <w:topLinePunct/>
        <w:ind w:firstLine="73"/>
        <w:rPr>
          <w:rFonts w:hint="eastAsia" w:ascii="宋体" w:hAnsi="Arial Narrow" w:eastAsia="宋体"/>
          <w:b/>
          <w:sz w:val="21"/>
          <w:szCs w:val="21"/>
        </w:rPr>
      </w:pPr>
      <w:r>
        <w:rPr>
          <w:rFonts w:hint="eastAsia" w:ascii="宋体" w:hAnsi="Arial Narrow" w:eastAsia="宋体"/>
          <w:sz w:val="18"/>
        </w:rPr>
        <w:t>向我院缴交资料费时用此专用户头：</w:t>
      </w:r>
      <w:r>
        <w:rPr>
          <w:rFonts w:hint="eastAsia" w:ascii="宋体" w:hAnsi="Arial Narrow" w:eastAsia="宋体"/>
          <w:b/>
          <w:sz w:val="21"/>
          <w:szCs w:val="21"/>
        </w:rPr>
        <w:t xml:space="preserve">单位名称：（汕头大学医学院 ）  帐号：（705557744822 ）  开户行：（中行嘉泰支行） </w:t>
      </w:r>
    </w:p>
    <w:p>
      <w:pPr>
        <w:numPr>
          <w:ilvl w:val="0"/>
          <w:numId w:val="5"/>
        </w:numPr>
        <w:kinsoku w:val="0"/>
        <w:wordWrap w:val="0"/>
        <w:topLinePunct/>
        <w:ind w:firstLine="73"/>
        <w:rPr>
          <w:rFonts w:hint="eastAsia" w:ascii="宋体" w:hAnsi="Arial Narrow" w:eastAsia="宋体"/>
          <w:sz w:val="21"/>
        </w:rPr>
      </w:pPr>
      <w:r>
        <w:rPr>
          <w:rFonts w:hint="eastAsia" w:ascii="宋体" w:hAnsi="Arial Narrow" w:eastAsia="宋体"/>
          <w:sz w:val="18"/>
        </w:rPr>
        <w:t>投标人必须接受</w:t>
      </w:r>
      <w:r>
        <w:rPr>
          <w:rFonts w:hint="eastAsia" w:ascii="宋体" w:hAnsi="Arial Narrow" w:eastAsia="宋体"/>
          <w:b/>
          <w:bCs/>
          <w:sz w:val="18"/>
        </w:rPr>
        <w:t>货到后验收合格方给予付款</w:t>
      </w:r>
      <w:r>
        <w:rPr>
          <w:rFonts w:hint="eastAsia" w:ascii="宋体" w:hAnsi="Arial Narrow" w:eastAsia="宋体"/>
          <w:sz w:val="18"/>
        </w:rPr>
        <w:t>的条款。</w:t>
      </w:r>
    </w:p>
    <w:p>
      <w:pPr>
        <w:kinsoku w:val="0"/>
        <w:wordWrap w:val="0"/>
        <w:topLinePunct/>
        <w:ind w:left="425"/>
        <w:rPr>
          <w:rFonts w:hint="eastAsia" w:ascii="宋体" w:hAnsi="Arial Narrow" w:eastAsia="宋体"/>
          <w:sz w:val="21"/>
        </w:rPr>
      </w:pPr>
      <w:r>
        <w:rPr>
          <w:rFonts w:hint="eastAsia" w:ascii="宋体" w:hAnsi="Arial Narrow" w:eastAsia="宋体"/>
          <w:sz w:val="18"/>
        </w:rPr>
        <w:t xml:space="preserve">   </w:t>
      </w:r>
    </w:p>
    <w:p>
      <w:pPr>
        <w:kinsoku w:val="0"/>
        <w:wordWrap w:val="0"/>
        <w:topLinePunct/>
        <w:rPr>
          <w:rFonts w:hint="eastAsia" w:ascii="宋体" w:hAnsi="Arial Narrow" w:eastAsia="宋体"/>
          <w:b/>
          <w:sz w:val="21"/>
        </w:rPr>
      </w:pPr>
      <w:r>
        <w:rPr>
          <w:rFonts w:hint="eastAsia" w:ascii="宋体" w:hAnsi="Arial Narrow" w:eastAsia="宋体"/>
          <w:b/>
          <w:sz w:val="21"/>
        </w:rPr>
        <w:t>二、招标项目的名称</w:t>
      </w:r>
    </w:p>
    <w:p>
      <w:pPr>
        <w:kinsoku w:val="0"/>
        <w:wordWrap w:val="0"/>
        <w:topLinePunct/>
        <w:rPr>
          <w:rFonts w:hint="eastAsia" w:ascii="宋体" w:hAnsi="Arial Narrow" w:cs="Times New Roman"/>
          <w:b/>
          <w:sz w:val="21"/>
          <w:szCs w:val="21"/>
        </w:rPr>
      </w:pPr>
      <w:r>
        <w:rPr>
          <w:rFonts w:hint="eastAsia" w:ascii="宋体" w:hAnsi="Arial Narrow"/>
          <w:b/>
          <w:sz w:val="21"/>
          <w:szCs w:val="21"/>
        </w:rPr>
        <w:t>汕头大学医</w:t>
      </w:r>
      <w:r>
        <w:rPr>
          <w:rFonts w:hint="eastAsia" w:ascii="宋体" w:hAnsi="Arial Narrow" w:cs="Times New Roman"/>
          <w:b/>
          <w:sz w:val="21"/>
          <w:szCs w:val="21"/>
        </w:rPr>
        <w:t>学院</w:t>
      </w:r>
      <w:r>
        <w:rPr>
          <w:rFonts w:hint="eastAsia" w:ascii="宋体" w:hAnsi="Arial Narrow" w:cs="Times New Roman"/>
          <w:b/>
          <w:sz w:val="21"/>
          <w:szCs w:val="21"/>
          <w:lang w:eastAsia="zh-CN"/>
        </w:rPr>
        <w:t>肺上皮细胞功能测试及数据分析服务</w:t>
      </w:r>
      <w:r>
        <w:rPr>
          <w:rFonts w:hint="eastAsia" w:ascii="宋体" w:hAnsi="Arial Narrow" w:cs="Times New Roman"/>
          <w:b/>
          <w:sz w:val="21"/>
          <w:szCs w:val="21"/>
        </w:rPr>
        <w:t>招标项目</w:t>
      </w:r>
    </w:p>
    <w:p>
      <w:pPr>
        <w:kinsoku w:val="0"/>
        <w:wordWrap w:val="0"/>
        <w:topLinePunct/>
        <w:rPr>
          <w:rFonts w:hint="eastAsia" w:ascii="宋体" w:hAnsi="Arial Narrow" w:cs="Times New Roman"/>
          <w:b/>
          <w:sz w:val="21"/>
          <w:szCs w:val="21"/>
        </w:rPr>
      </w:pPr>
    </w:p>
    <w:p>
      <w:pPr>
        <w:kinsoku w:val="0"/>
        <w:wordWrap w:val="0"/>
        <w:topLinePunct/>
        <w:rPr>
          <w:rFonts w:hint="eastAsia" w:ascii="宋体" w:hAnsi="Arial Narrow" w:eastAsia="宋体"/>
          <w:b/>
          <w:sz w:val="21"/>
        </w:rPr>
      </w:pPr>
      <w:r>
        <w:rPr>
          <w:rFonts w:hint="eastAsia" w:ascii="宋体" w:hAnsi="Arial Narrow" w:eastAsia="宋体"/>
          <w:b/>
          <w:sz w:val="21"/>
        </w:rPr>
        <w:t>三、投标报价方式及报价要求</w:t>
      </w:r>
    </w:p>
    <w:p>
      <w:pPr>
        <w:tabs>
          <w:tab w:val="left" w:pos="0"/>
        </w:tabs>
        <w:kinsoku w:val="0"/>
        <w:wordWrap w:val="0"/>
        <w:topLinePunct/>
        <w:rPr>
          <w:rFonts w:hint="eastAsia" w:ascii="宋体" w:hAnsi="Arial Narrow" w:eastAsia="宋体"/>
          <w:sz w:val="18"/>
        </w:rPr>
      </w:pPr>
      <w:r>
        <w:rPr>
          <w:rFonts w:hint="eastAsia" w:ascii="宋体" w:hAnsi="Arial Narrow" w:eastAsia="宋体"/>
          <w:sz w:val="18"/>
        </w:rPr>
        <w:t>报价方式：</w:t>
      </w:r>
      <w:r>
        <w:rPr>
          <w:rFonts w:hint="eastAsia" w:ascii="宋体" w:hAnsi="Arial Narrow" w:eastAsia="宋体"/>
          <w:b/>
          <w:szCs w:val="28"/>
        </w:rPr>
        <w:t>仅以</w:t>
      </w:r>
      <w:r>
        <w:rPr>
          <w:rFonts w:hint="eastAsia" w:ascii="宋体" w:hAnsi="Arial Narrow" w:eastAsia="宋体"/>
          <w:b/>
          <w:bCs/>
          <w:szCs w:val="28"/>
        </w:rPr>
        <w:t>人民币</w:t>
      </w:r>
      <w:r>
        <w:rPr>
          <w:rFonts w:hint="eastAsia" w:ascii="宋体" w:hAnsi="Arial Narrow" w:eastAsia="宋体"/>
          <w:b/>
          <w:szCs w:val="28"/>
        </w:rPr>
        <w:t>报价</w:t>
      </w:r>
      <w:r>
        <w:rPr>
          <w:rFonts w:hint="eastAsia" w:ascii="宋体" w:hAnsi="Arial Narrow" w:eastAsia="宋体"/>
          <w:sz w:val="18"/>
        </w:rPr>
        <w:t>。</w:t>
      </w:r>
    </w:p>
    <w:p>
      <w:pPr>
        <w:kinsoku w:val="0"/>
        <w:wordWrap w:val="0"/>
        <w:topLinePunct/>
        <w:rPr>
          <w:rFonts w:hint="eastAsia" w:ascii="宋体" w:hAnsi="Arial Narrow" w:eastAsia="宋体"/>
          <w:b/>
          <w:sz w:val="21"/>
        </w:rPr>
      </w:pPr>
    </w:p>
    <w:p>
      <w:pPr>
        <w:kinsoku w:val="0"/>
        <w:wordWrap w:val="0"/>
        <w:topLinePunct/>
        <w:rPr>
          <w:rFonts w:hint="eastAsia" w:ascii="宋体" w:hAnsi="Arial Narrow" w:eastAsia="宋体"/>
          <w:b/>
          <w:sz w:val="21"/>
        </w:rPr>
      </w:pPr>
      <w:r>
        <w:rPr>
          <w:rFonts w:hint="eastAsia" w:ascii="宋体" w:hAnsi="Arial Narrow" w:eastAsia="宋体"/>
          <w:b/>
          <w:sz w:val="21"/>
        </w:rPr>
        <w:t>四、提交投标书的方式、地点和截止时间</w:t>
      </w:r>
    </w:p>
    <w:p>
      <w:pPr>
        <w:numPr>
          <w:ilvl w:val="0"/>
          <w:numId w:val="6"/>
        </w:numPr>
        <w:kinsoku w:val="0"/>
        <w:wordWrap w:val="0"/>
        <w:topLinePunct/>
        <w:ind w:firstLine="73"/>
        <w:rPr>
          <w:rFonts w:hint="eastAsia" w:ascii="宋体" w:hAnsi="Arial Narrow" w:eastAsia="宋体"/>
          <w:sz w:val="18"/>
        </w:rPr>
      </w:pPr>
      <w:r>
        <w:rPr>
          <w:rFonts w:hint="eastAsia" w:ascii="宋体" w:hAnsi="Arial Narrow" w:eastAsia="宋体"/>
          <w:sz w:val="18"/>
        </w:rPr>
        <w:t>投标书必须以密封加盖骑缝章的形式送达汕头新陵路22号汕头大学医学院设备科</w:t>
      </w:r>
    </w:p>
    <w:p>
      <w:pPr>
        <w:kinsoku w:val="0"/>
        <w:wordWrap w:val="0"/>
        <w:topLinePunct/>
        <w:ind w:firstLine="830"/>
        <w:rPr>
          <w:rFonts w:hint="eastAsia" w:ascii="宋体" w:hAnsi="Arial Narrow" w:eastAsia="宋体"/>
          <w:sz w:val="18"/>
        </w:rPr>
      </w:pPr>
      <w:r>
        <w:rPr>
          <w:rFonts w:hint="eastAsia" w:ascii="宋体" w:hAnsi="Arial Narrow" w:eastAsia="宋体"/>
          <w:sz w:val="18"/>
        </w:rPr>
        <w:t>联系人：方冶、杨成瑜</w:t>
      </w:r>
    </w:p>
    <w:p>
      <w:pPr>
        <w:kinsoku w:val="0"/>
        <w:wordWrap w:val="0"/>
        <w:topLinePunct/>
        <w:ind w:firstLine="830"/>
        <w:rPr>
          <w:rFonts w:hint="eastAsia" w:ascii="宋体" w:hAnsi="Arial Narrow" w:eastAsia="宋体"/>
          <w:sz w:val="18"/>
        </w:rPr>
      </w:pPr>
      <w:r>
        <w:rPr>
          <w:rFonts w:hint="eastAsia" w:ascii="宋体" w:hAnsi="Arial Narrow" w:eastAsia="宋体"/>
          <w:sz w:val="18"/>
        </w:rPr>
        <w:t>联系电话：（0754）88900477</w:t>
      </w:r>
    </w:p>
    <w:p>
      <w:pPr>
        <w:kinsoku w:val="0"/>
        <w:wordWrap w:val="0"/>
        <w:topLinePunct/>
        <w:ind w:firstLine="830"/>
        <w:rPr>
          <w:rFonts w:hint="eastAsia" w:ascii="宋体" w:hAnsi="Arial Narrow" w:eastAsia="宋体"/>
          <w:sz w:val="18"/>
        </w:rPr>
      </w:pPr>
      <w:r>
        <w:rPr>
          <w:rFonts w:hint="eastAsia" w:ascii="宋体" w:hAnsi="Arial Narrow" w:eastAsia="宋体"/>
          <w:sz w:val="18"/>
        </w:rPr>
        <w:t>传真电话：（0754）88900305</w:t>
      </w:r>
    </w:p>
    <w:p>
      <w:pPr>
        <w:kinsoku w:val="0"/>
        <w:wordWrap w:val="0"/>
        <w:topLinePunct/>
        <w:ind w:firstLine="780"/>
        <w:rPr>
          <w:rFonts w:hint="eastAsia" w:ascii="宋体" w:hAnsi="Arial Narrow" w:eastAsia="宋体"/>
          <w:b/>
          <w:bCs/>
          <w:i/>
          <w:iCs/>
          <w:sz w:val="24"/>
        </w:rPr>
      </w:pPr>
    </w:p>
    <w:p>
      <w:pPr>
        <w:kinsoku w:val="0"/>
        <w:wordWrap w:val="0"/>
        <w:topLinePunct/>
        <w:ind w:firstLine="780"/>
        <w:rPr>
          <w:rFonts w:hint="eastAsia" w:ascii="宋体" w:hAnsi="Arial Narrow" w:eastAsia="宋体"/>
          <w:b/>
          <w:bCs/>
          <w:i/>
          <w:iCs/>
          <w:sz w:val="24"/>
        </w:rPr>
      </w:pPr>
      <w:r>
        <w:rPr>
          <w:rFonts w:hint="eastAsia" w:ascii="宋体" w:hAnsi="Arial Narrow" w:eastAsia="宋体"/>
          <w:b/>
          <w:bCs/>
          <w:i/>
          <w:iCs/>
          <w:sz w:val="24"/>
        </w:rPr>
        <w:t>投标截止时间：2017年7月</w:t>
      </w:r>
      <w:r>
        <w:rPr>
          <w:rFonts w:hint="eastAsia" w:ascii="宋体" w:hAnsi="Arial Narrow" w:eastAsia="宋体"/>
          <w:b/>
          <w:bCs/>
          <w:i/>
          <w:iCs/>
          <w:sz w:val="24"/>
          <w:lang w:val="en-US" w:eastAsia="zh-CN"/>
        </w:rPr>
        <w:t>22</w:t>
      </w:r>
      <w:bookmarkStart w:id="0" w:name="_GoBack"/>
      <w:bookmarkEnd w:id="0"/>
      <w:r>
        <w:rPr>
          <w:rFonts w:hint="eastAsia" w:ascii="宋体" w:hAnsi="Arial Narrow" w:eastAsia="宋体"/>
          <w:b/>
          <w:bCs/>
          <w:i/>
          <w:iCs/>
          <w:sz w:val="24"/>
        </w:rPr>
        <w:t>日上午</w:t>
      </w:r>
      <w:r>
        <w:rPr>
          <w:rFonts w:hint="eastAsia" w:ascii="宋体" w:hAnsi="Arial Narrow" w:eastAsia="宋体"/>
          <w:b/>
          <w:bCs/>
          <w:i/>
          <w:iCs/>
          <w:sz w:val="24"/>
          <w:lang w:val="en-US" w:eastAsia="zh-CN"/>
        </w:rPr>
        <w:t>9点30分</w:t>
      </w:r>
      <w:r>
        <w:rPr>
          <w:rFonts w:hint="eastAsia" w:ascii="宋体" w:hAnsi="Arial Narrow" w:eastAsia="宋体"/>
          <w:b/>
          <w:bCs/>
          <w:i/>
          <w:iCs/>
          <w:sz w:val="24"/>
        </w:rPr>
        <w:t>(北京时间)</w:t>
      </w:r>
    </w:p>
    <w:p>
      <w:pPr>
        <w:kinsoku w:val="0"/>
        <w:wordWrap w:val="0"/>
        <w:topLinePunct/>
        <w:rPr>
          <w:rFonts w:hint="eastAsia" w:ascii="宋体" w:hAnsi="Arial Narrow" w:eastAsia="宋体"/>
          <w:b/>
          <w:sz w:val="21"/>
        </w:rPr>
      </w:pPr>
      <w:r>
        <w:rPr>
          <w:rFonts w:hint="eastAsia" w:ascii="宋体" w:hAnsi="Arial Narrow" w:eastAsia="宋体"/>
          <w:b/>
          <w:sz w:val="21"/>
        </w:rPr>
        <w:t>五、评（议）标原则</w:t>
      </w:r>
    </w:p>
    <w:p>
      <w:pPr>
        <w:pStyle w:val="17"/>
        <w:tabs>
          <w:tab w:val="left" w:pos="-166"/>
        </w:tabs>
        <w:kinsoku w:val="0"/>
        <w:wordWrap w:val="0"/>
        <w:topLinePunct/>
        <w:ind w:left="498" w:leftChars="150" w:firstLine="440" w:firstLineChars="190"/>
        <w:rPr>
          <w:rFonts w:hint="eastAsia" w:ascii="宋体" w:eastAsia="宋体"/>
          <w:sz w:val="18"/>
        </w:rPr>
      </w:pPr>
      <w:r>
        <w:rPr>
          <w:rFonts w:hint="eastAsia" w:ascii="宋体" w:eastAsia="宋体"/>
          <w:sz w:val="18"/>
        </w:rPr>
        <w:t>1.争取最优的性能价格比，不一定接受最低报价，不接受不符合招标书要求的投标书。</w:t>
      </w:r>
    </w:p>
    <w:p>
      <w:pPr>
        <w:pStyle w:val="17"/>
        <w:tabs>
          <w:tab w:val="left" w:pos="-166"/>
        </w:tabs>
        <w:kinsoku w:val="0"/>
        <w:wordWrap w:val="0"/>
        <w:topLinePunct/>
        <w:ind w:left="498" w:leftChars="150" w:firstLine="440" w:firstLineChars="190"/>
        <w:rPr>
          <w:rFonts w:hint="eastAsia" w:ascii="宋体" w:eastAsia="宋体"/>
          <w:sz w:val="18"/>
        </w:rPr>
      </w:pPr>
      <w:r>
        <w:rPr>
          <w:rFonts w:hint="eastAsia" w:ascii="宋体" w:eastAsia="宋体"/>
          <w:sz w:val="18"/>
        </w:rPr>
        <w:t>2.在同样服务同等报价情况下优先选择有出具技术实力、科研实力证明资料的且最优秀投标人。</w:t>
      </w:r>
    </w:p>
    <w:p>
      <w:pPr>
        <w:pStyle w:val="17"/>
        <w:tabs>
          <w:tab w:val="left" w:pos="-166"/>
        </w:tabs>
        <w:kinsoku w:val="0"/>
        <w:wordWrap w:val="0"/>
        <w:topLinePunct/>
        <w:ind w:left="498" w:leftChars="150" w:firstLine="440" w:firstLineChars="190"/>
        <w:rPr>
          <w:rFonts w:hint="eastAsia" w:ascii="宋体" w:eastAsia="宋体"/>
          <w:sz w:val="18"/>
        </w:rPr>
      </w:pPr>
    </w:p>
    <w:p>
      <w:pPr>
        <w:pStyle w:val="17"/>
        <w:tabs>
          <w:tab w:val="left" w:pos="-166"/>
        </w:tabs>
        <w:kinsoku w:val="0"/>
        <w:wordWrap w:val="0"/>
        <w:topLinePunct/>
        <w:ind w:left="498" w:leftChars="150" w:firstLine="440" w:firstLineChars="190"/>
        <w:rPr>
          <w:rFonts w:hint="eastAsia" w:ascii="宋体" w:eastAsia="宋体"/>
          <w:sz w:val="18"/>
        </w:rPr>
      </w:pPr>
    </w:p>
    <w:p>
      <w:pPr>
        <w:kinsoku w:val="0"/>
        <w:wordWrap w:val="0"/>
        <w:topLinePunct/>
        <w:rPr>
          <w:rFonts w:hint="eastAsia" w:ascii="宋体" w:hAnsi="Arial Narrow" w:eastAsia="宋体"/>
          <w:b/>
          <w:sz w:val="21"/>
        </w:rPr>
      </w:pPr>
    </w:p>
    <w:p>
      <w:pPr>
        <w:kinsoku w:val="0"/>
        <w:wordWrap w:val="0"/>
        <w:topLinePunct/>
        <w:rPr>
          <w:rFonts w:hint="eastAsia" w:ascii="宋体" w:hAnsi="Arial Narrow" w:eastAsia="宋体"/>
          <w:b/>
          <w:sz w:val="21"/>
        </w:rPr>
      </w:pPr>
      <w:r>
        <w:rPr>
          <w:rFonts w:hint="eastAsia" w:ascii="宋体" w:hAnsi="Arial Narrow" w:eastAsia="宋体"/>
          <w:b/>
          <w:sz w:val="21"/>
        </w:rPr>
        <w:t>六、开标、评标、定标</w:t>
      </w:r>
    </w:p>
    <w:p>
      <w:pPr>
        <w:numPr>
          <w:ilvl w:val="0"/>
          <w:numId w:val="7"/>
        </w:numPr>
        <w:tabs>
          <w:tab w:val="left" w:pos="0"/>
          <w:tab w:val="clear" w:pos="425"/>
        </w:tabs>
        <w:kinsoku w:val="0"/>
        <w:wordWrap w:val="0"/>
        <w:topLinePunct/>
        <w:ind w:left="830" w:hanging="332"/>
        <w:rPr>
          <w:rFonts w:ascii="宋体" w:hAnsi="宋体" w:eastAsia="宋体"/>
          <w:sz w:val="18"/>
        </w:rPr>
      </w:pPr>
      <w:r>
        <w:rPr>
          <w:rFonts w:hint="eastAsia" w:ascii="宋体" w:hAnsi="宋体" w:eastAsia="宋体"/>
          <w:sz w:val="18"/>
        </w:rPr>
        <w:t>招标人将组织公开开标,必要时通知投标人现场答辩。</w:t>
      </w:r>
    </w:p>
    <w:p>
      <w:pPr>
        <w:numPr>
          <w:ilvl w:val="0"/>
          <w:numId w:val="7"/>
        </w:numPr>
        <w:tabs>
          <w:tab w:val="left" w:pos="0"/>
          <w:tab w:val="clear" w:pos="425"/>
        </w:tabs>
        <w:kinsoku w:val="0"/>
        <w:wordWrap w:val="0"/>
        <w:topLinePunct/>
        <w:ind w:left="830" w:hanging="332"/>
        <w:rPr>
          <w:rFonts w:hint="eastAsia" w:ascii="宋体" w:hAnsi="宋体" w:eastAsia="宋体"/>
          <w:sz w:val="18"/>
        </w:rPr>
      </w:pPr>
      <w:r>
        <w:rPr>
          <w:rFonts w:hint="eastAsia" w:ascii="宋体" w:hAnsi="宋体" w:eastAsia="宋体"/>
          <w:sz w:val="18"/>
        </w:rPr>
        <w:t>招标人将仅对确认为符合招标文件要求的投标进行评价和比较。</w:t>
      </w:r>
    </w:p>
    <w:p>
      <w:pPr>
        <w:numPr>
          <w:ilvl w:val="0"/>
          <w:numId w:val="7"/>
        </w:numPr>
        <w:tabs>
          <w:tab w:val="left" w:pos="0"/>
          <w:tab w:val="clear" w:pos="425"/>
        </w:tabs>
        <w:kinsoku w:val="0"/>
        <w:wordWrap w:val="0"/>
        <w:topLinePunct/>
        <w:ind w:left="830" w:hanging="332"/>
        <w:rPr>
          <w:rFonts w:ascii="宋体" w:hAnsi="宋体" w:eastAsia="宋体"/>
          <w:sz w:val="18"/>
        </w:rPr>
      </w:pPr>
      <w:r>
        <w:rPr>
          <w:rFonts w:hint="eastAsia" w:ascii="宋体" w:hAnsi="宋体" w:eastAsia="宋体"/>
          <w:sz w:val="18"/>
        </w:rPr>
        <w:t>合同将授予符合招标文件条件并对买方最为有利的投标人，招标人没有义务必须接受最低报价的投标。</w:t>
      </w:r>
    </w:p>
    <w:p>
      <w:pPr>
        <w:numPr>
          <w:ilvl w:val="0"/>
          <w:numId w:val="7"/>
        </w:numPr>
        <w:tabs>
          <w:tab w:val="left" w:pos="0"/>
          <w:tab w:val="clear" w:pos="425"/>
        </w:tabs>
        <w:kinsoku w:val="0"/>
        <w:wordWrap w:val="0"/>
        <w:topLinePunct/>
        <w:ind w:left="830" w:hanging="332"/>
        <w:rPr>
          <w:rFonts w:ascii="宋体" w:hAnsi="宋体" w:eastAsia="宋体"/>
          <w:sz w:val="18"/>
        </w:rPr>
      </w:pPr>
      <w:r>
        <w:rPr>
          <w:rFonts w:hint="eastAsia" w:ascii="宋体" w:hAnsi="宋体" w:eastAsia="宋体"/>
          <w:sz w:val="18"/>
        </w:rPr>
        <w:t>招标人有权在定标以前拒绝任何或全部投标，对由此造成对投标人的影响不负任何责任，同时对此不做任何解释。</w:t>
      </w:r>
    </w:p>
    <w:p>
      <w:pPr>
        <w:numPr>
          <w:ilvl w:val="0"/>
          <w:numId w:val="7"/>
        </w:numPr>
        <w:tabs>
          <w:tab w:val="left" w:pos="0"/>
          <w:tab w:val="clear" w:pos="425"/>
        </w:tabs>
        <w:kinsoku w:val="0"/>
        <w:wordWrap w:val="0"/>
        <w:topLinePunct/>
        <w:ind w:left="830" w:hanging="332"/>
        <w:rPr>
          <w:rFonts w:hint="eastAsia" w:ascii="宋体" w:hAnsi="宋体" w:eastAsia="宋体"/>
          <w:sz w:val="18"/>
        </w:rPr>
      </w:pPr>
      <w:r>
        <w:rPr>
          <w:rFonts w:hint="eastAsia" w:ascii="宋体" w:hAnsi="宋体" w:eastAsia="宋体"/>
          <w:sz w:val="18"/>
        </w:rPr>
        <w:t>招标人可以接受投标货物中的任何一项、几项或全部，并有权在授予合同时改变订货的数量。</w:t>
      </w:r>
    </w:p>
    <w:p>
      <w:pPr>
        <w:kinsoku w:val="0"/>
        <w:wordWrap w:val="0"/>
        <w:topLinePunct/>
        <w:ind w:left="851" w:hanging="851"/>
        <w:rPr>
          <w:rFonts w:ascii="宋体" w:hAnsi="宋体" w:eastAsia="宋体"/>
          <w:b/>
          <w:sz w:val="21"/>
        </w:rPr>
      </w:pPr>
      <w:r>
        <w:rPr>
          <w:rFonts w:hint="eastAsia" w:ascii="宋体" w:hAnsi="宋体" w:eastAsia="宋体"/>
          <w:b/>
          <w:sz w:val="21"/>
        </w:rPr>
        <w:t>七、评标过程的保密性</w:t>
      </w:r>
    </w:p>
    <w:p>
      <w:pPr>
        <w:numPr>
          <w:ilvl w:val="0"/>
          <w:numId w:val="8"/>
        </w:numPr>
        <w:tabs>
          <w:tab w:val="left" w:pos="0"/>
          <w:tab w:val="clear" w:pos="425"/>
        </w:tabs>
        <w:kinsoku w:val="0"/>
        <w:wordWrap w:val="0"/>
        <w:topLinePunct/>
        <w:ind w:left="830" w:hanging="332"/>
        <w:rPr>
          <w:rFonts w:ascii="宋体" w:hAnsi="宋体" w:eastAsia="宋体"/>
          <w:sz w:val="18"/>
        </w:rPr>
      </w:pPr>
      <w:r>
        <w:rPr>
          <w:rFonts w:hint="eastAsia" w:ascii="宋体" w:hAnsi="宋体" w:eastAsia="宋体"/>
          <w:sz w:val="18"/>
        </w:rPr>
        <w:t>公开开标后，直至向中标的投标人授予合同时止，凡与审查、澄清、评价和比较投标有关的资料以及授标意见等，均不得向投标人及与评标无关的其他人透露。</w:t>
      </w:r>
    </w:p>
    <w:p>
      <w:pPr>
        <w:numPr>
          <w:ilvl w:val="0"/>
          <w:numId w:val="8"/>
        </w:numPr>
        <w:tabs>
          <w:tab w:val="left" w:pos="0"/>
          <w:tab w:val="clear" w:pos="425"/>
        </w:tabs>
        <w:kinsoku w:val="0"/>
        <w:wordWrap w:val="0"/>
        <w:topLinePunct/>
        <w:ind w:left="830" w:hanging="332"/>
        <w:rPr>
          <w:rFonts w:hint="eastAsia" w:ascii="宋体" w:hAnsi="宋体" w:eastAsia="宋体"/>
          <w:sz w:val="21"/>
        </w:rPr>
      </w:pPr>
      <w:r>
        <w:rPr>
          <w:rFonts w:hint="eastAsia" w:ascii="宋体" w:hAnsi="宋体" w:eastAsia="宋体"/>
          <w:sz w:val="18"/>
        </w:rPr>
        <w:t>在评标过程中，如果投标人试图在投标文件审查、澄清、比较及授予合同方面向买方施加任何影响，其投标将被拒绝。</w:t>
      </w:r>
    </w:p>
    <w:p>
      <w:pPr>
        <w:kinsoku w:val="0"/>
        <w:wordWrap w:val="0"/>
        <w:topLinePunct/>
        <w:jc w:val="center"/>
        <w:rPr>
          <w:rFonts w:hint="eastAsia" w:ascii="宋体" w:hAnsi="Arial Narrow" w:eastAsia="宋体"/>
          <w:b/>
          <w:sz w:val="32"/>
        </w:rPr>
      </w:pPr>
      <w:r>
        <w:rPr>
          <w:rFonts w:hint="eastAsia" w:ascii="宋体" w:hAnsi="Arial Narrow" w:eastAsia="宋体"/>
          <w:b/>
          <w:sz w:val="32"/>
        </w:rPr>
        <w:t>第二部分  技术服务内容、技术指标要求等</w:t>
      </w:r>
    </w:p>
    <w:p>
      <w:pPr>
        <w:kinsoku w:val="0"/>
        <w:topLinePunct/>
        <w:rPr>
          <w:rFonts w:hint="eastAsia" w:ascii="宋体" w:hAnsi="Arial Narrow" w:eastAsia="宋体"/>
          <w:b/>
          <w:sz w:val="30"/>
          <w:szCs w:val="30"/>
        </w:rPr>
      </w:pPr>
      <w:r>
        <w:rPr>
          <w:rFonts w:hint="eastAsia" w:ascii="宋体" w:hAnsi="Arial Narrow" w:eastAsia="宋体"/>
          <w:b/>
          <w:sz w:val="30"/>
          <w:szCs w:val="30"/>
        </w:rPr>
        <w:t xml:space="preserve"> 预算：</w:t>
      </w:r>
      <w:r>
        <w:rPr>
          <w:rFonts w:hint="eastAsia" w:ascii="宋体" w:hAnsi="Arial Narrow" w:eastAsia="宋体"/>
          <w:b/>
          <w:sz w:val="30"/>
          <w:szCs w:val="30"/>
          <w:lang w:val="en-US" w:eastAsia="zh-CN"/>
        </w:rPr>
        <w:t>122000</w:t>
      </w:r>
      <w:r>
        <w:rPr>
          <w:rFonts w:hint="eastAsia" w:ascii="宋体" w:hAnsi="Arial Narrow" w:eastAsia="宋体"/>
          <w:b/>
          <w:sz w:val="30"/>
          <w:szCs w:val="30"/>
        </w:rPr>
        <w:t>元</w:t>
      </w:r>
    </w:p>
    <w:p>
      <w:pPr>
        <w:kinsoku w:val="0"/>
        <w:topLinePunct/>
        <w:rPr>
          <w:rFonts w:hint="eastAsia" w:ascii="宋体" w:hAnsi="Arial Narrow" w:eastAsia="宋体"/>
          <w:b/>
          <w:sz w:val="32"/>
          <w:lang w:eastAsia="zh-CN"/>
        </w:rPr>
      </w:pPr>
      <w:r>
        <w:rPr>
          <w:rFonts w:hint="eastAsia" w:ascii="宋体" w:hAnsi="Arial Narrow" w:eastAsia="宋体"/>
          <w:b/>
          <w:sz w:val="30"/>
          <w:szCs w:val="30"/>
          <w:lang w:eastAsia="zh-CN"/>
        </w:rPr>
        <w:t>项目名称：肺上皮细胞功能测试及数据分析服务</w:t>
      </w:r>
    </w:p>
    <w:p>
      <w:pPr>
        <w:spacing w:line="360" w:lineRule="auto"/>
        <w:rPr>
          <w:rFonts w:ascii="Times New Roman" w:hAnsi="Times New Roman"/>
        </w:rPr>
      </w:pPr>
      <w:r>
        <w:rPr>
          <w:rFonts w:ascii="Times New Roman" w:hAnsi="宋体"/>
        </w:rPr>
        <w:t>一、实验内容</w:t>
      </w:r>
    </w:p>
    <w:p>
      <w:pPr>
        <w:spacing w:line="360" w:lineRule="auto"/>
        <w:jc w:val="center"/>
        <w:rPr>
          <w:rFonts w:ascii="Times New Roman" w:hAnsi="宋体"/>
        </w:rPr>
      </w:pPr>
      <w:r>
        <w:rPr>
          <w:rFonts w:hint="eastAsia" w:ascii="Times New Roman" w:hAnsi="宋体"/>
        </w:rPr>
        <w:t>褪黑素</w:t>
      </w:r>
      <w:r>
        <w:rPr>
          <w:rFonts w:ascii="Times New Roman" w:hAnsi="宋体"/>
        </w:rPr>
        <w:t>及</w:t>
      </w:r>
      <w:r>
        <w:rPr>
          <w:rFonts w:hint="eastAsia" w:ascii="Times New Roman" w:hAnsi="宋体"/>
        </w:rPr>
        <w:t>METTL14介导的miR-18a甲基化修饰</w:t>
      </w:r>
      <w:r>
        <w:rPr>
          <w:rFonts w:ascii="Times New Roman" w:hAnsi="宋体"/>
        </w:rPr>
        <w:t>靶向</w:t>
      </w:r>
      <w:r>
        <w:rPr>
          <w:rFonts w:hint="eastAsia" w:ascii="Times New Roman" w:hAnsi="宋体"/>
        </w:rPr>
        <w:t>EGR3-DUB3-Nrf2</w:t>
      </w:r>
      <w:r>
        <w:rPr>
          <w:rFonts w:ascii="Times New Roman" w:hAnsi="宋体"/>
        </w:rPr>
        <w:t>调控</w:t>
      </w:r>
      <w:r>
        <w:rPr>
          <w:rFonts w:hint="eastAsia" w:ascii="Times New Roman" w:hAnsi="宋体"/>
        </w:rPr>
        <w:t>高氧肺损伤</w:t>
      </w:r>
      <w:r>
        <w:rPr>
          <w:rFonts w:ascii="Times New Roman" w:hAnsi="宋体"/>
        </w:rPr>
        <w:t>状态下</w:t>
      </w:r>
      <w:r>
        <w:rPr>
          <w:rFonts w:hint="eastAsia" w:ascii="Times New Roman" w:hAnsi="宋体"/>
        </w:rPr>
        <w:t>肺上皮</w:t>
      </w:r>
      <w:r>
        <w:rPr>
          <w:rFonts w:ascii="Times New Roman" w:hAnsi="宋体"/>
        </w:rPr>
        <w:t>细胞功能</w:t>
      </w:r>
    </w:p>
    <w:p>
      <w:pPr>
        <w:spacing w:line="360" w:lineRule="auto"/>
        <w:jc w:val="center"/>
        <w:rPr>
          <w:rFonts w:ascii="Times New Roman" w:hAnsi="宋体"/>
        </w:rPr>
      </w:pPr>
    </w:p>
    <w:p>
      <w:pPr>
        <w:spacing w:line="360" w:lineRule="auto"/>
        <w:jc w:val="center"/>
        <w:rPr>
          <w:rFonts w:hint="eastAsia" w:ascii="Times New Roman" w:hAnsi="Times New Roman"/>
        </w:rPr>
      </w:pPr>
    </w:p>
    <w:p>
      <w:pPr>
        <w:pStyle w:val="86"/>
        <w:numPr>
          <w:ilvl w:val="0"/>
          <w:numId w:val="9"/>
        </w:numPr>
        <w:spacing w:line="360" w:lineRule="auto"/>
        <w:rPr>
          <w:rFonts w:ascii="Times New Roman" w:hAnsi="Times New Roman"/>
        </w:rPr>
      </w:pPr>
      <w:r>
        <w:rPr>
          <w:rFonts w:ascii="Times New Roman" w:hAnsi="宋体"/>
        </w:rPr>
        <w:t>购买</w:t>
      </w:r>
      <w:r>
        <w:rPr>
          <w:rFonts w:hint="eastAsia" w:ascii="Times New Roman" w:hAnsi="Times New Roman"/>
          <w:color w:val="000000"/>
        </w:rPr>
        <w:t>小鼠肺上皮细胞</w:t>
      </w:r>
      <w:r>
        <w:rPr>
          <w:rFonts w:ascii="Times New Roman" w:hAnsi="宋体"/>
          <w:color w:val="000000"/>
        </w:rPr>
        <w:t>及内皮细胞培养基，培养</w:t>
      </w:r>
      <w:r>
        <w:rPr>
          <w:rFonts w:hint="eastAsia" w:ascii="Times New Roman" w:hAnsi="Times New Roman"/>
          <w:color w:val="000000"/>
        </w:rPr>
        <w:t>小鼠肺上皮</w:t>
      </w:r>
      <w:r>
        <w:rPr>
          <w:rFonts w:ascii="Times New Roman" w:hAnsi="宋体"/>
          <w:color w:val="000000"/>
        </w:rPr>
        <w:t>细胞</w:t>
      </w:r>
    </w:p>
    <w:p>
      <w:pPr>
        <w:pStyle w:val="86"/>
        <w:numPr>
          <w:ilvl w:val="0"/>
          <w:numId w:val="9"/>
        </w:numPr>
        <w:spacing w:line="360" w:lineRule="auto"/>
        <w:rPr>
          <w:rFonts w:ascii="Times New Roman" w:hAnsi="Times New Roman"/>
        </w:rPr>
      </w:pPr>
      <w:r>
        <w:rPr>
          <w:rFonts w:hint="eastAsia" w:ascii="Times New Roman" w:hAnsi="宋体"/>
        </w:rPr>
        <w:t>鉴定间充质干细胞</w:t>
      </w:r>
    </w:p>
    <w:p>
      <w:pPr>
        <w:pStyle w:val="86"/>
        <w:spacing w:line="360" w:lineRule="auto"/>
        <w:ind w:left="420"/>
        <w:jc w:val="both"/>
        <w:rPr>
          <w:rFonts w:ascii="Times New Roman" w:hAnsi="Times New Roman"/>
        </w:rPr>
      </w:pPr>
      <w:r>
        <w:rPr>
          <w:rFonts w:hint="eastAsia" w:ascii="Times New Roman" w:hAnsi="宋体"/>
        </w:rPr>
        <w:t>小鼠骨髓来源的原代MSCs为研究对象，在显微镜下观察形态并拍照，使用流式细胞术检测CD90、CD105、CD73、CD45以及CD34等表面标记分子，使用茜素红染色检测其成骨特性，使用油红O染色检测其脂肪形成特性，使用阿尔新蓝染色检测其成骨分化特性</w:t>
      </w:r>
      <w:r>
        <w:rPr>
          <w:rFonts w:ascii="Times New Roman" w:hAnsi="宋体"/>
        </w:rPr>
        <w:t>。</w:t>
      </w:r>
    </w:p>
    <w:p>
      <w:pPr>
        <w:pStyle w:val="86"/>
        <w:numPr>
          <w:ilvl w:val="0"/>
          <w:numId w:val="9"/>
        </w:numPr>
        <w:spacing w:line="360" w:lineRule="auto"/>
        <w:rPr>
          <w:rFonts w:ascii="Times New Roman" w:hAnsi="Times New Roman"/>
        </w:rPr>
      </w:pPr>
      <w:r>
        <w:rPr>
          <w:rFonts w:hint="eastAsia" w:ascii="Times New Roman" w:hAnsi="Times New Roman"/>
          <w:bCs/>
          <w:color w:val="000000"/>
        </w:rPr>
        <w:t>MSCs外泌体的分离与鉴定</w:t>
      </w:r>
    </w:p>
    <w:p>
      <w:pPr>
        <w:pStyle w:val="86"/>
        <w:spacing w:line="360" w:lineRule="auto"/>
        <w:ind w:left="420"/>
        <w:rPr>
          <w:rFonts w:ascii="Times New Roman" w:hAnsi="Times New Roman"/>
        </w:rPr>
      </w:pPr>
      <w:r>
        <w:rPr>
          <w:rFonts w:hint="eastAsia" w:ascii="Times New Roman" w:hAnsi="Times New Roman"/>
        </w:rPr>
        <w:t>3</w:t>
      </w:r>
      <w:r>
        <w:rPr>
          <w:rFonts w:ascii="Times New Roman" w:hAnsi="Times New Roman"/>
        </w:rPr>
        <w:t>.1</w:t>
      </w:r>
      <w:r>
        <w:rPr>
          <w:rFonts w:hint="eastAsia" w:ascii="Times New Roman" w:hAnsi="Times New Roman"/>
        </w:rPr>
        <w:t>分为对照组和MT处理组，收集上清液用于提取外泌体，使用透射电镜对分离的外泌体进行拍照，进行外泌体粒径分析；</w:t>
      </w:r>
    </w:p>
    <w:p>
      <w:pPr>
        <w:pStyle w:val="86"/>
        <w:spacing w:line="360" w:lineRule="auto"/>
        <w:ind w:left="420"/>
        <w:rPr>
          <w:rFonts w:ascii="Times New Roman" w:hAnsi="Times New Roman"/>
        </w:rPr>
      </w:pPr>
      <w:r>
        <w:rPr>
          <w:rFonts w:hint="eastAsia" w:ascii="Times New Roman" w:hAnsi="Times New Roman"/>
        </w:rPr>
        <w:t>3</w:t>
      </w:r>
      <w:r>
        <w:rPr>
          <w:rFonts w:ascii="Times New Roman" w:hAnsi="Times New Roman"/>
        </w:rPr>
        <w:t xml:space="preserve">.2 </w:t>
      </w:r>
      <w:r>
        <w:rPr>
          <w:rFonts w:hint="eastAsia" w:ascii="Times New Roman" w:hAnsi="Times New Roman"/>
        </w:rPr>
        <w:t>使用Western Blot法检测外泌体标记分子TSG101、CD63、CD81、HSP70、Calreticulin、Syntenin的表达；</w:t>
      </w:r>
    </w:p>
    <w:p>
      <w:pPr>
        <w:pStyle w:val="86"/>
        <w:spacing w:line="360" w:lineRule="auto"/>
        <w:ind w:left="420"/>
        <w:rPr>
          <w:rFonts w:ascii="Times New Roman" w:hAnsi="Times New Roman"/>
        </w:rPr>
      </w:pPr>
      <w:r>
        <w:rPr>
          <w:rFonts w:hint="eastAsia" w:ascii="Times New Roman" w:hAnsi="Times New Roman"/>
        </w:rPr>
        <w:t>3</w:t>
      </w:r>
      <w:r>
        <w:rPr>
          <w:rFonts w:ascii="Times New Roman" w:hAnsi="Times New Roman"/>
        </w:rPr>
        <w:t>.3</w:t>
      </w:r>
      <w:r>
        <w:rPr>
          <w:rFonts w:hint="eastAsia" w:ascii="Times New Roman" w:hAnsi="Times New Roman"/>
        </w:rPr>
        <w:t>分析各组外泌体的平均细胞外囊泡粒径、细胞外囊泡蛋白含量、每mL颗粒数、每mg蛋白质颗粒数分析等；</w:t>
      </w:r>
    </w:p>
    <w:p>
      <w:pPr>
        <w:pStyle w:val="86"/>
        <w:spacing w:line="360" w:lineRule="auto"/>
        <w:ind w:left="420"/>
        <w:rPr>
          <w:rFonts w:ascii="Times New Roman" w:hAnsi="Times New Roman"/>
        </w:rPr>
      </w:pPr>
      <w:r>
        <w:rPr>
          <w:rFonts w:hint="eastAsia" w:ascii="Times New Roman" w:hAnsi="Times New Roman"/>
        </w:rPr>
        <w:t>3</w:t>
      </w:r>
      <w:r>
        <w:rPr>
          <w:rFonts w:ascii="Times New Roman" w:hAnsi="Times New Roman"/>
        </w:rPr>
        <w:t xml:space="preserve">.4 </w:t>
      </w:r>
      <w:r>
        <w:rPr>
          <w:rFonts w:hint="eastAsia" w:ascii="Times New Roman" w:hAnsi="Times New Roman"/>
        </w:rPr>
        <w:t>使用q-PCR法检测METTL14的表达情况；</w:t>
      </w:r>
    </w:p>
    <w:p>
      <w:pPr>
        <w:pStyle w:val="86"/>
        <w:spacing w:line="360" w:lineRule="auto"/>
        <w:ind w:left="420"/>
        <w:rPr>
          <w:rFonts w:hint="eastAsia" w:ascii="Times New Roman" w:hAnsi="Times New Roman"/>
        </w:rPr>
      </w:pPr>
      <w:r>
        <w:rPr>
          <w:rFonts w:ascii="Times New Roman" w:hAnsi="Times New Roman"/>
        </w:rPr>
        <w:t xml:space="preserve">3.5 </w:t>
      </w:r>
      <w:r>
        <w:rPr>
          <w:rFonts w:hint="eastAsia" w:ascii="Times New Roman" w:hAnsi="Times New Roman"/>
        </w:rPr>
        <w:t>使用免疫荧光法检测小鼠肺上皮细胞MLE-12对外泌体的内化作用。</w:t>
      </w:r>
    </w:p>
    <w:p>
      <w:pPr>
        <w:pStyle w:val="86"/>
        <w:numPr>
          <w:ilvl w:val="0"/>
          <w:numId w:val="9"/>
        </w:numPr>
        <w:spacing w:line="360" w:lineRule="auto"/>
        <w:rPr>
          <w:rFonts w:ascii="Times New Roman" w:hAnsi="Times New Roman"/>
        </w:rPr>
      </w:pPr>
      <w:r>
        <w:rPr>
          <w:rFonts w:hint="eastAsia" w:ascii="Times New Roman" w:hAnsi="宋体"/>
          <w:bCs/>
          <w:color w:val="000000"/>
        </w:rPr>
        <w:t>MT及MSCs来源的外泌体对高氧肺损伤条件下肺上皮细胞的影响</w:t>
      </w:r>
    </w:p>
    <w:p>
      <w:pPr>
        <w:pStyle w:val="86"/>
        <w:spacing w:line="360" w:lineRule="auto"/>
        <w:ind w:left="420"/>
        <w:rPr>
          <w:rFonts w:ascii="Times New Roman" w:hAnsi="Times New Roman"/>
          <w:szCs w:val="21"/>
        </w:rPr>
      </w:pPr>
      <w:r>
        <w:rPr>
          <w:rFonts w:ascii="Times New Roman" w:hAnsi="Times New Roman"/>
        </w:rPr>
        <w:t>4.1</w:t>
      </w:r>
      <w:r>
        <w:rPr>
          <w:rFonts w:hint="eastAsia" w:ascii="Times New Roman" w:hAnsi="宋体"/>
          <w:szCs w:val="21"/>
        </w:rPr>
        <w:t>对照组和MT处理组，收集上清液用于提取外泌体</w:t>
      </w:r>
    </w:p>
    <w:p>
      <w:pPr>
        <w:pStyle w:val="86"/>
        <w:spacing w:line="360" w:lineRule="auto"/>
        <w:ind w:left="420"/>
        <w:rPr>
          <w:rFonts w:ascii="Times New Roman" w:hAnsi="Times New Roman"/>
          <w:szCs w:val="21"/>
        </w:rPr>
      </w:pPr>
      <w:r>
        <w:rPr>
          <w:rFonts w:ascii="Times New Roman" w:hAnsi="Times New Roman"/>
          <w:szCs w:val="21"/>
        </w:rPr>
        <w:t>4.2</w:t>
      </w:r>
      <w:r>
        <w:rPr>
          <w:rFonts w:hint="eastAsia"/>
        </w:rPr>
        <w:t xml:space="preserve"> </w:t>
      </w:r>
      <w:r>
        <w:rPr>
          <w:rFonts w:hint="eastAsia" w:ascii="Times New Roman" w:hAnsi="宋体"/>
          <w:szCs w:val="21"/>
        </w:rPr>
        <w:t>CCK-8与EdU法估细胞增殖活性</w:t>
      </w:r>
    </w:p>
    <w:p>
      <w:pPr>
        <w:pStyle w:val="86"/>
        <w:spacing w:line="360" w:lineRule="auto"/>
        <w:ind w:left="420"/>
        <w:rPr>
          <w:rFonts w:ascii="Times New Roman" w:hAnsi="Times New Roman"/>
        </w:rPr>
      </w:pPr>
      <w:r>
        <w:rPr>
          <w:rFonts w:ascii="Times New Roman" w:hAnsi="Times New Roman"/>
          <w:szCs w:val="21"/>
        </w:rPr>
        <w:t>4.3</w:t>
      </w:r>
      <w:r>
        <w:rPr>
          <w:rFonts w:hint="eastAsia" w:ascii="Times New Roman" w:hAnsi="宋体"/>
          <w:szCs w:val="21"/>
        </w:rPr>
        <w:t>流式细胞术检测细胞凋亡</w:t>
      </w:r>
    </w:p>
    <w:p>
      <w:pPr>
        <w:pStyle w:val="86"/>
        <w:spacing w:line="360" w:lineRule="auto"/>
        <w:ind w:left="420"/>
        <w:rPr>
          <w:rFonts w:ascii="Times New Roman" w:hAnsi="Times New Roman"/>
        </w:rPr>
      </w:pPr>
      <w:r>
        <w:rPr>
          <w:rFonts w:ascii="Times New Roman" w:hAnsi="Times New Roman"/>
        </w:rPr>
        <w:t>4.4</w:t>
      </w:r>
      <w:r>
        <w:rPr>
          <w:rFonts w:hint="eastAsia"/>
        </w:rPr>
        <w:t xml:space="preserve"> </w:t>
      </w:r>
      <w:r>
        <w:rPr>
          <w:rFonts w:hint="eastAsia" w:ascii="Times New Roman" w:hAnsi="宋体"/>
        </w:rPr>
        <w:t>DCH-DA免疫荧光检测细胞内ROS水平</w:t>
      </w:r>
    </w:p>
    <w:p>
      <w:pPr>
        <w:pStyle w:val="86"/>
        <w:spacing w:line="360" w:lineRule="auto"/>
        <w:ind w:left="420"/>
        <w:rPr>
          <w:rFonts w:ascii="Times New Roman" w:hAnsi="Times New Roman"/>
        </w:rPr>
      </w:pPr>
      <w:r>
        <w:rPr>
          <w:rFonts w:ascii="Times New Roman" w:hAnsi="Times New Roman"/>
        </w:rPr>
        <w:t>4.5</w:t>
      </w:r>
      <w:r>
        <w:rPr>
          <w:rFonts w:hint="eastAsia"/>
        </w:rPr>
        <w:t xml:space="preserve"> </w:t>
      </w:r>
      <w:r>
        <w:rPr>
          <w:rFonts w:hint="eastAsia" w:ascii="Times New Roman" w:hAnsi="宋体"/>
        </w:rPr>
        <w:t>ELISA法检测炎性因子IL-18、IL-1β、IL-6、TNF-α等，使用q-PCR和Western Blot法检测Nrf2的表达水平</w:t>
      </w:r>
    </w:p>
    <w:p>
      <w:pPr>
        <w:pStyle w:val="86"/>
        <w:spacing w:line="360" w:lineRule="auto"/>
        <w:ind w:left="420"/>
        <w:rPr>
          <w:rFonts w:ascii="Times New Roman" w:hAnsi="Times New Roman"/>
        </w:rPr>
      </w:pPr>
      <w:r>
        <w:rPr>
          <w:rFonts w:ascii="Times New Roman" w:hAnsi="Times New Roman"/>
        </w:rPr>
        <mc:AlternateContent>
          <mc:Choice Requires="wps">
            <w:drawing>
              <wp:anchor distT="0" distB="0" distL="114300" distR="114300" simplePos="0" relativeHeight="251659264" behindDoc="0" locked="0" layoutInCell="1" allowOverlap="1">
                <wp:simplePos x="0" y="0"/>
                <wp:positionH relativeFrom="column">
                  <wp:posOffset>310515</wp:posOffset>
                </wp:positionH>
                <wp:positionV relativeFrom="paragraph">
                  <wp:posOffset>283210</wp:posOffset>
                </wp:positionV>
                <wp:extent cx="2641600" cy="1227455"/>
                <wp:effectExtent l="4445" t="4445" r="20955" b="6350"/>
                <wp:wrapNone/>
                <wp:docPr id="2" name="矩形 2"/>
                <wp:cNvGraphicFramePr/>
                <a:graphic xmlns:a="http://schemas.openxmlformats.org/drawingml/2006/main">
                  <a:graphicData uri="http://schemas.microsoft.com/office/word/2010/wordprocessingShape">
                    <wps:wsp>
                      <wps:cNvSpPr/>
                      <wps:spPr>
                        <a:xfrm>
                          <a:off x="0" y="0"/>
                          <a:ext cx="2641600" cy="122745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ascii="Times New Roman" w:hAnsi="Times New Roman"/>
                                <w:sz w:val="21"/>
                                <w:szCs w:val="21"/>
                              </w:rPr>
                            </w:pPr>
                            <w:r>
                              <w:rPr>
                                <w:rFonts w:ascii="Times New Roman" w:hAnsi="Times New Roman"/>
                              </w:rPr>
                              <w:t>A组：</w:t>
                            </w:r>
                            <w:r>
                              <w:rPr>
                                <w:rFonts w:ascii="Times New Roman" w:hAnsi="Times New Roman"/>
                                <w:bCs/>
                              </w:rPr>
                              <w:t>对照组</w:t>
                            </w:r>
                          </w:p>
                          <w:p>
                            <w:pPr>
                              <w:spacing w:line="360" w:lineRule="auto"/>
                              <w:rPr>
                                <w:rFonts w:hint="eastAsia" w:ascii="Times New Roman" w:hAnsi="Times New Roman"/>
                                <w:bCs/>
                              </w:rPr>
                            </w:pPr>
                            <w:r>
                              <w:rPr>
                                <w:rFonts w:ascii="Times New Roman" w:hAnsi="Times New Roman"/>
                                <w:bCs/>
                              </w:rPr>
                              <w:t>B组：PBS+MLE-12（高氧）</w:t>
                            </w:r>
                          </w:p>
                          <w:p>
                            <w:pPr>
                              <w:spacing w:line="360" w:lineRule="auto"/>
                              <w:rPr>
                                <w:rFonts w:ascii="Times New Roman" w:hAnsi="Times New Roman"/>
                                <w:bCs/>
                              </w:rPr>
                            </w:pPr>
                            <w:r>
                              <w:rPr>
                                <w:rFonts w:ascii="Times New Roman" w:hAnsi="Times New Roman"/>
                                <w:bCs/>
                              </w:rPr>
                              <w:t>C组：Exo+MLE-12（高氧）</w:t>
                            </w:r>
                          </w:p>
                          <w:p>
                            <w:pPr>
                              <w:spacing w:line="360" w:lineRule="auto"/>
                              <w:rPr>
                                <w:rFonts w:ascii="Times New Roman" w:hAnsi="Times New Roman"/>
                              </w:rPr>
                            </w:pPr>
                            <w:r>
                              <w:rPr>
                                <w:rFonts w:ascii="Times New Roman" w:hAnsi="Times New Roman"/>
                                <w:bCs/>
                              </w:rPr>
                              <w:t xml:space="preserve">D组：MT-Exo+MLE-12 </w:t>
                            </w:r>
                            <w:r>
                              <w:rPr>
                                <w:rFonts w:ascii="Times New Roman" w:hAnsi="Times New Roman"/>
                              </w:rPr>
                              <w:t>NC</w:t>
                            </w:r>
                            <w:r>
                              <w:rPr>
                                <w:rFonts w:ascii="Times New Roman" w:hAnsi="Times New Roman"/>
                                <w:bCs/>
                              </w:rPr>
                              <w:t>（高氧）</w:t>
                            </w:r>
                          </w:p>
                        </w:txbxContent>
                      </wps:txbx>
                      <wps:bodyPr vert="horz" wrap="square" anchor="t" anchorCtr="0" upright="1"/>
                    </wps:wsp>
                  </a:graphicData>
                </a:graphic>
              </wp:anchor>
            </w:drawing>
          </mc:Choice>
          <mc:Fallback>
            <w:pict>
              <v:rect id="_x0000_s1026" o:spid="_x0000_s1026" o:spt="1" style="position:absolute;left:0pt;margin-left:24.45pt;margin-top:22.3pt;height:96.65pt;width:208pt;z-index:251659264;mso-width-relative:page;mso-height-relative:page;" fillcolor="#FFFFFF" filled="t" stroked="t" coordsize="21600,21600" o:gfxdata="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6&#10;PvGn2AAAAAkBAAAPAAAAAAAAAAEAIAAAACIAAABkcnMvZG93bnJldi54bWxQSwECFAAUAAAACACH&#10;TuJArcJ2MSQCAABrBAAADgAAAAAAAAABACAAAAAnAQAAZHJzL2Uyb0RvYy54bWxQSwUGAAAAAAYA&#10;BgBZAQAAvQUAAAAA&#10;">
                <v:fill on="t" focussize="0,0"/>
                <v:stroke color="#000000" joinstyle="miter"/>
                <v:imagedata o:title=""/>
                <o:lock v:ext="edit" aspectratio="f"/>
                <v:textbox>
                  <w:txbxContent>
                    <w:p>
                      <w:pPr>
                        <w:rPr>
                          <w:rFonts w:ascii="Times New Roman" w:hAnsi="Times New Roman"/>
                          <w:sz w:val="21"/>
                          <w:szCs w:val="21"/>
                        </w:rPr>
                      </w:pPr>
                      <w:r>
                        <w:rPr>
                          <w:rFonts w:ascii="Times New Roman" w:hAnsi="Times New Roman"/>
                        </w:rPr>
                        <w:t>A组：</w:t>
                      </w:r>
                      <w:r>
                        <w:rPr>
                          <w:rFonts w:ascii="Times New Roman" w:hAnsi="Times New Roman"/>
                          <w:bCs/>
                        </w:rPr>
                        <w:t>对照组</w:t>
                      </w:r>
                    </w:p>
                    <w:p>
                      <w:pPr>
                        <w:spacing w:line="360" w:lineRule="auto"/>
                        <w:rPr>
                          <w:rFonts w:hint="eastAsia" w:ascii="Times New Roman" w:hAnsi="Times New Roman"/>
                          <w:bCs/>
                        </w:rPr>
                      </w:pPr>
                      <w:r>
                        <w:rPr>
                          <w:rFonts w:ascii="Times New Roman" w:hAnsi="Times New Roman"/>
                          <w:bCs/>
                        </w:rPr>
                        <w:t>B组：PBS+MLE-12（高氧）</w:t>
                      </w:r>
                    </w:p>
                    <w:p>
                      <w:pPr>
                        <w:spacing w:line="360" w:lineRule="auto"/>
                        <w:rPr>
                          <w:rFonts w:ascii="Times New Roman" w:hAnsi="Times New Roman"/>
                          <w:bCs/>
                        </w:rPr>
                      </w:pPr>
                      <w:r>
                        <w:rPr>
                          <w:rFonts w:ascii="Times New Roman" w:hAnsi="Times New Roman"/>
                          <w:bCs/>
                        </w:rPr>
                        <w:t>C组：Exo+MLE-12（高氧）</w:t>
                      </w:r>
                    </w:p>
                    <w:p>
                      <w:pPr>
                        <w:spacing w:line="360" w:lineRule="auto"/>
                        <w:rPr>
                          <w:rFonts w:ascii="Times New Roman" w:hAnsi="Times New Roman"/>
                        </w:rPr>
                      </w:pPr>
                      <w:r>
                        <w:rPr>
                          <w:rFonts w:ascii="Times New Roman" w:hAnsi="Times New Roman"/>
                          <w:bCs/>
                        </w:rPr>
                        <w:t xml:space="preserve">D组：MT-Exo+MLE-12 </w:t>
                      </w:r>
                      <w:r>
                        <w:rPr>
                          <w:rFonts w:ascii="Times New Roman" w:hAnsi="Times New Roman"/>
                        </w:rPr>
                        <w:t>NC</w:t>
                      </w:r>
                      <w:r>
                        <w:rPr>
                          <w:rFonts w:ascii="Times New Roman" w:hAnsi="Times New Roman"/>
                          <w:bCs/>
                        </w:rPr>
                        <w:t>（高氧）</w:t>
                      </w:r>
                    </w:p>
                  </w:txbxContent>
                </v:textbox>
              </v:rect>
            </w:pict>
          </mc:Fallback>
        </mc:AlternateContent>
      </w:r>
      <w:r>
        <w:rPr>
          <w:rFonts w:ascii="Times New Roman" w:hAnsi="宋体"/>
        </w:rPr>
        <w:t>实验分组：</w:t>
      </w:r>
    </w:p>
    <w:p>
      <w:pPr>
        <w:pStyle w:val="86"/>
        <w:ind w:left="420"/>
        <w:rPr>
          <w:rFonts w:ascii="Times New Roman" w:hAnsi="Times New Roman"/>
        </w:rPr>
      </w:pPr>
    </w:p>
    <w:p>
      <w:pPr>
        <w:pStyle w:val="86"/>
        <w:ind w:left="420"/>
        <w:rPr>
          <w:rFonts w:ascii="Times New Roman" w:hAnsi="Times New Roman"/>
        </w:rPr>
      </w:pPr>
    </w:p>
    <w:p>
      <w:pPr>
        <w:pStyle w:val="86"/>
        <w:numPr>
          <w:ilvl w:val="0"/>
          <w:numId w:val="9"/>
        </w:numPr>
        <w:spacing w:line="360" w:lineRule="auto"/>
        <w:rPr>
          <w:rFonts w:ascii="Times New Roman" w:hAnsi="Times New Roman"/>
        </w:rPr>
      </w:pPr>
      <w:r>
        <w:rPr>
          <w:rFonts w:hint="eastAsia" w:ascii="Times New Roman" w:hAnsi="Times New Roman"/>
        </w:rPr>
        <w:t>验证MT通过MSCs来源外泌体中的METTL14缓解高氧肺损伤，实验分组如下：</w:t>
      </w:r>
    </w:p>
    <w:p>
      <w:pPr>
        <w:pStyle w:val="86"/>
        <w:spacing w:line="360" w:lineRule="auto"/>
        <w:ind w:left="420"/>
        <w:rPr>
          <w:rFonts w:ascii="Times New Roman" w:hAnsi="Times New Roman"/>
        </w:rPr>
      </w:pPr>
      <w:r>
        <w:rPr>
          <w:rFonts w:ascii="Times New Roman" w:hAnsi="Times New Roman"/>
        </w:rPr>
        <mc:AlternateContent>
          <mc:Choice Requires="wps">
            <w:drawing>
              <wp:anchor distT="0" distB="0" distL="114300" distR="114300" simplePos="0" relativeHeight="251660288" behindDoc="0" locked="0" layoutInCell="1" allowOverlap="1">
                <wp:simplePos x="0" y="0"/>
                <wp:positionH relativeFrom="column">
                  <wp:posOffset>304800</wp:posOffset>
                </wp:positionH>
                <wp:positionV relativeFrom="paragraph">
                  <wp:posOffset>107315</wp:posOffset>
                </wp:positionV>
                <wp:extent cx="4754880" cy="1331595"/>
                <wp:effectExtent l="5080" t="5080" r="21590" b="15875"/>
                <wp:wrapNone/>
                <wp:docPr id="3" name="矩形 3"/>
                <wp:cNvGraphicFramePr/>
                <a:graphic xmlns:a="http://schemas.openxmlformats.org/drawingml/2006/main">
                  <a:graphicData uri="http://schemas.microsoft.com/office/word/2010/wordprocessingShape">
                    <wps:wsp>
                      <wps:cNvSpPr/>
                      <wps:spPr>
                        <a:xfrm>
                          <a:off x="0" y="0"/>
                          <a:ext cx="4754880" cy="1331367"/>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ascii="Times New Roman" w:hAnsi="Times New Roman"/>
                                <w:sz w:val="21"/>
                                <w:szCs w:val="21"/>
                              </w:rPr>
                            </w:pPr>
                            <w:r>
                              <w:rPr>
                                <w:rFonts w:ascii="Times New Roman" w:hAnsi="Times New Roman"/>
                                <w:szCs w:val="21"/>
                              </w:rPr>
                              <w:t>A组：</w:t>
                            </w:r>
                            <w:r>
                              <w:rPr>
                                <w:rFonts w:ascii="Times New Roman" w:hAnsi="Times New Roman"/>
                                <w:bCs/>
                              </w:rPr>
                              <w:t>对照组</w:t>
                            </w:r>
                          </w:p>
                          <w:p>
                            <w:pPr>
                              <w:rPr>
                                <w:rFonts w:ascii="Times New Roman" w:hAnsi="Times New Roman"/>
                                <w:sz w:val="21"/>
                                <w:szCs w:val="21"/>
                              </w:rPr>
                            </w:pPr>
                            <w:r>
                              <w:rPr>
                                <w:rFonts w:ascii="Times New Roman" w:hAnsi="Times New Roman"/>
                                <w:bCs/>
                                <w:color w:val="000000"/>
                                <w:szCs w:val="21"/>
                              </w:rPr>
                              <w:t>B组：</w:t>
                            </w:r>
                            <w:r>
                              <w:rPr>
                                <w:rFonts w:ascii="Times New Roman" w:hAnsi="Times New Roman"/>
                                <w:bCs/>
                              </w:rPr>
                              <w:t>PBS+ MLE-12（高氧）</w:t>
                            </w:r>
                          </w:p>
                          <w:p>
                            <w:pPr>
                              <w:rPr>
                                <w:rFonts w:ascii="Times New Roman" w:hAnsi="Times New Roman"/>
                                <w:bCs/>
                              </w:rPr>
                            </w:pPr>
                            <w:r>
                              <w:rPr>
                                <w:rFonts w:ascii="Times New Roman" w:hAnsi="Times New Roman"/>
                                <w:bCs/>
                                <w:color w:val="000000"/>
                                <w:szCs w:val="21"/>
                              </w:rPr>
                              <w:t>C组：</w:t>
                            </w:r>
                            <w:r>
                              <w:rPr>
                                <w:rFonts w:ascii="Times New Roman" w:hAnsi="Times New Roman"/>
                                <w:bCs/>
                              </w:rPr>
                              <w:t>MT-Exo-shNC+MLE-12（高氧）</w:t>
                            </w:r>
                          </w:p>
                          <w:p>
                            <w:pPr>
                              <w:rPr>
                                <w:rFonts w:ascii="Times New Roman" w:hAnsi="Times New Roman"/>
                                <w:bCs/>
                              </w:rPr>
                            </w:pPr>
                            <w:r>
                              <w:rPr>
                                <w:rFonts w:ascii="Times New Roman" w:hAnsi="Times New Roman"/>
                                <w:bCs/>
                              </w:rPr>
                              <w:t>D</w:t>
                            </w:r>
                            <w:r>
                              <w:rPr>
                                <w:rFonts w:ascii="Times New Roman" w:hAnsi="Times New Roman"/>
                                <w:bCs/>
                                <w:color w:val="000000"/>
                                <w:szCs w:val="21"/>
                              </w:rPr>
                              <w:t>组</w:t>
                            </w:r>
                            <w:r>
                              <w:rPr>
                                <w:rFonts w:hint="eastAsia" w:ascii="Times New Roman" w:hAnsi="Times New Roman"/>
                                <w:bCs/>
                                <w:color w:val="000000"/>
                                <w:szCs w:val="21"/>
                              </w:rPr>
                              <w:t>：</w:t>
                            </w:r>
                            <w:r>
                              <w:rPr>
                                <w:rFonts w:ascii="Times New Roman" w:hAnsi="Times New Roman"/>
                                <w:bCs/>
                              </w:rPr>
                              <w:t>MT-Exo-shMETTL14+MLE-12（高氧）</w:t>
                            </w:r>
                          </w:p>
                          <w:p>
                            <w:pPr>
                              <w:rPr>
                                <w:rFonts w:ascii="Times New Roman" w:hAnsi="Times New Roman"/>
                                <w:bCs/>
                              </w:rPr>
                            </w:pPr>
                            <w:r>
                              <w:rPr>
                                <w:rFonts w:ascii="Times New Roman" w:hAnsi="Times New Roman"/>
                                <w:bCs/>
                              </w:rPr>
                              <w:t>E</w:t>
                            </w:r>
                            <w:r>
                              <w:rPr>
                                <w:rFonts w:ascii="Times New Roman" w:hAnsi="Times New Roman"/>
                                <w:bCs/>
                                <w:color w:val="000000"/>
                                <w:szCs w:val="21"/>
                              </w:rPr>
                              <w:t>组</w:t>
                            </w:r>
                            <w:r>
                              <w:rPr>
                                <w:rFonts w:hint="eastAsia" w:ascii="Times New Roman" w:hAnsi="Times New Roman"/>
                                <w:bCs/>
                                <w:color w:val="000000"/>
                                <w:szCs w:val="21"/>
                              </w:rPr>
                              <w:t>：</w:t>
                            </w:r>
                            <w:r>
                              <w:rPr>
                                <w:rFonts w:ascii="Times New Roman" w:hAnsi="Times New Roman"/>
                                <w:bCs/>
                              </w:rPr>
                              <w:t>MT-Exo-Vector+MLE-12（高氧）</w:t>
                            </w:r>
                          </w:p>
                          <w:p>
                            <w:pPr>
                              <w:rPr>
                                <w:rFonts w:ascii="Times New Roman" w:hAnsi="Times New Roman"/>
                                <w:sz w:val="21"/>
                                <w:szCs w:val="21"/>
                              </w:rPr>
                            </w:pPr>
                            <w:r>
                              <w:rPr>
                                <w:rFonts w:ascii="Times New Roman" w:hAnsi="Times New Roman"/>
                                <w:bCs/>
                              </w:rPr>
                              <w:t>F</w:t>
                            </w:r>
                            <w:r>
                              <w:rPr>
                                <w:rFonts w:ascii="Times New Roman" w:hAnsi="Times New Roman"/>
                                <w:bCs/>
                                <w:color w:val="000000"/>
                                <w:szCs w:val="21"/>
                              </w:rPr>
                              <w:t>组</w:t>
                            </w:r>
                            <w:r>
                              <w:rPr>
                                <w:rFonts w:hint="eastAsia" w:ascii="Times New Roman" w:hAnsi="Times New Roman"/>
                                <w:bCs/>
                                <w:color w:val="000000"/>
                                <w:szCs w:val="21"/>
                              </w:rPr>
                              <w:t>：</w:t>
                            </w:r>
                            <w:r>
                              <w:rPr>
                                <w:rFonts w:ascii="Times New Roman" w:hAnsi="Times New Roman"/>
                                <w:bCs/>
                              </w:rPr>
                              <w:t>MT-Exo-METTL14+MLE-12（高氧）</w:t>
                            </w:r>
                          </w:p>
                        </w:txbxContent>
                      </wps:txbx>
                      <wps:bodyPr vert="horz" wrap="square" anchor="t" anchorCtr="0" upright="1">
                        <a:noAutofit/>
                      </wps:bodyPr>
                    </wps:wsp>
                  </a:graphicData>
                </a:graphic>
              </wp:anchor>
            </w:drawing>
          </mc:Choice>
          <mc:Fallback>
            <w:pict>
              <v:rect id="_x0000_s1026" o:spid="_x0000_s1026" o:spt="1" style="position:absolute;left:0pt;margin-left:24pt;margin-top:8.45pt;height:104.85pt;width:374.4pt;z-index:251660288;mso-width-relative:page;mso-height-relative:page;" fillcolor="#FFFFFF" filled="t" stroked="t" coordsize="21600,21600" o:gfxdata="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MLJNf9cAAAAJAQAADwAAAAAAAAABACAAAAAiAAAAZHJzL2Rvd25yZXYueG1s&#10;UEsBAhQAFAAAAAgAh07iQLInkAUyAgAAhQQAAA4AAAAAAAAAAQAgAAAAJgEAAGRycy9lMm9Eb2Mu&#10;eG1sUEsFBgAAAAAGAAYAWQEAAMoFAAAAAA==&#10;">
                <v:fill on="t" focussize="0,0"/>
                <v:stroke color="#000000" joinstyle="miter"/>
                <v:imagedata o:title=""/>
                <o:lock v:ext="edit" aspectratio="f"/>
                <v:textbox>
                  <w:txbxContent>
                    <w:p>
                      <w:pPr>
                        <w:rPr>
                          <w:rFonts w:ascii="Times New Roman" w:hAnsi="Times New Roman"/>
                          <w:sz w:val="21"/>
                          <w:szCs w:val="21"/>
                        </w:rPr>
                      </w:pPr>
                      <w:r>
                        <w:rPr>
                          <w:rFonts w:ascii="Times New Roman" w:hAnsi="Times New Roman"/>
                          <w:szCs w:val="21"/>
                        </w:rPr>
                        <w:t>A组：</w:t>
                      </w:r>
                      <w:r>
                        <w:rPr>
                          <w:rFonts w:ascii="Times New Roman" w:hAnsi="Times New Roman"/>
                          <w:bCs/>
                        </w:rPr>
                        <w:t>对照组</w:t>
                      </w:r>
                    </w:p>
                    <w:p>
                      <w:pPr>
                        <w:rPr>
                          <w:rFonts w:ascii="Times New Roman" w:hAnsi="Times New Roman"/>
                          <w:sz w:val="21"/>
                          <w:szCs w:val="21"/>
                        </w:rPr>
                      </w:pPr>
                      <w:r>
                        <w:rPr>
                          <w:rFonts w:ascii="Times New Roman" w:hAnsi="Times New Roman"/>
                          <w:bCs/>
                          <w:color w:val="000000"/>
                          <w:szCs w:val="21"/>
                        </w:rPr>
                        <w:t>B组：</w:t>
                      </w:r>
                      <w:r>
                        <w:rPr>
                          <w:rFonts w:ascii="Times New Roman" w:hAnsi="Times New Roman"/>
                          <w:bCs/>
                        </w:rPr>
                        <w:t>PBS+ MLE-12（高氧）</w:t>
                      </w:r>
                    </w:p>
                    <w:p>
                      <w:pPr>
                        <w:rPr>
                          <w:rFonts w:ascii="Times New Roman" w:hAnsi="Times New Roman"/>
                          <w:bCs/>
                        </w:rPr>
                      </w:pPr>
                      <w:r>
                        <w:rPr>
                          <w:rFonts w:ascii="Times New Roman" w:hAnsi="Times New Roman"/>
                          <w:bCs/>
                          <w:color w:val="000000"/>
                          <w:szCs w:val="21"/>
                        </w:rPr>
                        <w:t>C组：</w:t>
                      </w:r>
                      <w:r>
                        <w:rPr>
                          <w:rFonts w:ascii="Times New Roman" w:hAnsi="Times New Roman"/>
                          <w:bCs/>
                        </w:rPr>
                        <w:t>MT-Exo-shNC+MLE-12（高氧）</w:t>
                      </w:r>
                    </w:p>
                    <w:p>
                      <w:pPr>
                        <w:rPr>
                          <w:rFonts w:ascii="Times New Roman" w:hAnsi="Times New Roman"/>
                          <w:bCs/>
                        </w:rPr>
                      </w:pPr>
                      <w:r>
                        <w:rPr>
                          <w:rFonts w:ascii="Times New Roman" w:hAnsi="Times New Roman"/>
                          <w:bCs/>
                        </w:rPr>
                        <w:t>D</w:t>
                      </w:r>
                      <w:r>
                        <w:rPr>
                          <w:rFonts w:ascii="Times New Roman" w:hAnsi="Times New Roman"/>
                          <w:bCs/>
                          <w:color w:val="000000"/>
                          <w:szCs w:val="21"/>
                        </w:rPr>
                        <w:t>组</w:t>
                      </w:r>
                      <w:r>
                        <w:rPr>
                          <w:rFonts w:hint="eastAsia" w:ascii="Times New Roman" w:hAnsi="Times New Roman"/>
                          <w:bCs/>
                          <w:color w:val="000000"/>
                          <w:szCs w:val="21"/>
                        </w:rPr>
                        <w:t>：</w:t>
                      </w:r>
                      <w:r>
                        <w:rPr>
                          <w:rFonts w:ascii="Times New Roman" w:hAnsi="Times New Roman"/>
                          <w:bCs/>
                        </w:rPr>
                        <w:t>MT-Exo-shMETTL14+MLE-12（高氧）</w:t>
                      </w:r>
                    </w:p>
                    <w:p>
                      <w:pPr>
                        <w:rPr>
                          <w:rFonts w:ascii="Times New Roman" w:hAnsi="Times New Roman"/>
                          <w:bCs/>
                        </w:rPr>
                      </w:pPr>
                      <w:r>
                        <w:rPr>
                          <w:rFonts w:ascii="Times New Roman" w:hAnsi="Times New Roman"/>
                          <w:bCs/>
                        </w:rPr>
                        <w:t>E</w:t>
                      </w:r>
                      <w:r>
                        <w:rPr>
                          <w:rFonts w:ascii="Times New Roman" w:hAnsi="Times New Roman"/>
                          <w:bCs/>
                          <w:color w:val="000000"/>
                          <w:szCs w:val="21"/>
                        </w:rPr>
                        <w:t>组</w:t>
                      </w:r>
                      <w:r>
                        <w:rPr>
                          <w:rFonts w:hint="eastAsia" w:ascii="Times New Roman" w:hAnsi="Times New Roman"/>
                          <w:bCs/>
                          <w:color w:val="000000"/>
                          <w:szCs w:val="21"/>
                        </w:rPr>
                        <w:t>：</w:t>
                      </w:r>
                      <w:r>
                        <w:rPr>
                          <w:rFonts w:ascii="Times New Roman" w:hAnsi="Times New Roman"/>
                          <w:bCs/>
                        </w:rPr>
                        <w:t>MT-Exo-Vector+MLE-12（高氧）</w:t>
                      </w:r>
                    </w:p>
                    <w:p>
                      <w:pPr>
                        <w:rPr>
                          <w:rFonts w:ascii="Times New Roman" w:hAnsi="Times New Roman"/>
                          <w:sz w:val="21"/>
                          <w:szCs w:val="21"/>
                        </w:rPr>
                      </w:pPr>
                      <w:r>
                        <w:rPr>
                          <w:rFonts w:ascii="Times New Roman" w:hAnsi="Times New Roman"/>
                          <w:bCs/>
                        </w:rPr>
                        <w:t>F</w:t>
                      </w:r>
                      <w:r>
                        <w:rPr>
                          <w:rFonts w:ascii="Times New Roman" w:hAnsi="Times New Roman"/>
                          <w:bCs/>
                          <w:color w:val="000000"/>
                          <w:szCs w:val="21"/>
                        </w:rPr>
                        <w:t>组</w:t>
                      </w:r>
                      <w:r>
                        <w:rPr>
                          <w:rFonts w:hint="eastAsia" w:ascii="Times New Roman" w:hAnsi="Times New Roman"/>
                          <w:bCs/>
                          <w:color w:val="000000"/>
                          <w:szCs w:val="21"/>
                        </w:rPr>
                        <w:t>：</w:t>
                      </w:r>
                      <w:r>
                        <w:rPr>
                          <w:rFonts w:ascii="Times New Roman" w:hAnsi="Times New Roman"/>
                          <w:bCs/>
                        </w:rPr>
                        <w:t>MT-Exo-METTL14+MLE-12（高氧）</w:t>
                      </w:r>
                    </w:p>
                  </w:txbxContent>
                </v:textbox>
              </v:rect>
            </w:pict>
          </mc:Fallback>
        </mc:AlternateContent>
      </w:r>
    </w:p>
    <w:p>
      <w:pPr>
        <w:pStyle w:val="86"/>
        <w:spacing w:line="360" w:lineRule="auto"/>
        <w:ind w:left="420"/>
        <w:rPr>
          <w:rFonts w:ascii="Times New Roman" w:hAnsi="Times New Roman"/>
        </w:rPr>
      </w:pPr>
    </w:p>
    <w:p>
      <w:pPr>
        <w:pStyle w:val="86"/>
        <w:spacing w:line="360" w:lineRule="auto"/>
        <w:ind w:left="420"/>
        <w:rPr>
          <w:rFonts w:ascii="Times New Roman" w:hAnsi="Times New Roman"/>
        </w:rPr>
      </w:pPr>
    </w:p>
    <w:p>
      <w:pPr>
        <w:pStyle w:val="86"/>
        <w:spacing w:line="360" w:lineRule="auto"/>
        <w:ind w:left="420"/>
        <w:rPr>
          <w:rFonts w:ascii="Times New Roman" w:hAnsi="Times New Roman"/>
        </w:rPr>
      </w:pPr>
    </w:p>
    <w:p>
      <w:pPr>
        <w:pStyle w:val="86"/>
        <w:spacing w:line="360" w:lineRule="auto"/>
        <w:ind w:left="420"/>
        <w:rPr>
          <w:rFonts w:ascii="Times New Roman" w:hAnsi="Times New Roman"/>
        </w:rPr>
      </w:pPr>
    </w:p>
    <w:p>
      <w:pPr>
        <w:spacing w:line="360" w:lineRule="auto"/>
        <w:rPr>
          <w:rFonts w:hint="eastAsia" w:ascii="Times New Roman" w:hAnsi="Times New Roman"/>
        </w:rPr>
      </w:pPr>
    </w:p>
    <w:p>
      <w:pPr>
        <w:pStyle w:val="86"/>
        <w:spacing w:line="360" w:lineRule="auto"/>
        <w:ind w:left="420"/>
        <w:rPr>
          <w:rFonts w:ascii="Times New Roman" w:hAnsi="Times New Roman"/>
        </w:rPr>
      </w:pPr>
      <w:r>
        <w:rPr>
          <w:rFonts w:hint="eastAsia" w:ascii="Times New Roman" w:hAnsi="Times New Roman"/>
        </w:rPr>
        <w:t>使用CCK-8与EdU法估细胞增殖活性，使用流式细胞术检测细胞凋亡；使用DCH-DA免疫荧光检测细胞内ROS水平；检测NO以及NOS水平；使用ELISA法检测炎性因子IL-18、IL-1β、IL-6、TNF-α等，使用q-PCR和Western Blot法检测Nrf2的表达水平。使用免疫荧光法检测Nrf2在细胞核内的富集情况。</w:t>
      </w:r>
    </w:p>
    <w:p>
      <w:pPr>
        <w:pStyle w:val="86"/>
        <w:numPr>
          <w:ilvl w:val="0"/>
          <w:numId w:val="9"/>
        </w:numPr>
        <w:rPr>
          <w:rFonts w:ascii="Times New Roman" w:hAnsi="Times New Roman"/>
        </w:rPr>
      </w:pPr>
      <w:r>
        <w:rPr>
          <w:rFonts w:hint="eastAsia" w:ascii="Times New Roman" w:hAnsi="Times New Roman"/>
        </w:rPr>
        <w:t>miR-18a参与METTL14介导的MLE-12细胞的表型调控</w:t>
      </w:r>
      <w:r>
        <w:rPr>
          <w:rFonts w:hint="eastAsia" w:ascii="Times New Roman" w:hAnsi="Times New Roman"/>
          <w:lang w:val="en-US" w:eastAsia="zh-CN"/>
        </w:rPr>
        <w:t>研究</w:t>
      </w:r>
    </w:p>
    <w:p>
      <w:pPr>
        <w:pStyle w:val="86"/>
        <w:spacing w:line="360" w:lineRule="auto"/>
        <w:ind w:left="420"/>
        <w:rPr>
          <w:rFonts w:hint="eastAsia" w:ascii="Times New Roman" w:hAnsi="Times New Roman"/>
        </w:rPr>
      </w:pPr>
      <w:r>
        <w:rPr>
          <w:rFonts w:ascii="Times New Roman" w:hAnsi="Times New Roman"/>
        </w:rPr>
        <mc:AlternateContent>
          <mc:Choice Requires="wps">
            <w:drawing>
              <wp:anchor distT="0" distB="0" distL="114300" distR="114300" simplePos="0" relativeHeight="251661312" behindDoc="0" locked="0" layoutInCell="1" allowOverlap="1">
                <wp:simplePos x="0" y="0"/>
                <wp:positionH relativeFrom="column">
                  <wp:posOffset>304800</wp:posOffset>
                </wp:positionH>
                <wp:positionV relativeFrom="paragraph">
                  <wp:posOffset>107950</wp:posOffset>
                </wp:positionV>
                <wp:extent cx="4754880" cy="1323975"/>
                <wp:effectExtent l="5080" t="4445" r="21590" b="5080"/>
                <wp:wrapNone/>
                <wp:docPr id="4" name="矩形 4"/>
                <wp:cNvGraphicFramePr/>
                <a:graphic xmlns:a="http://schemas.openxmlformats.org/drawingml/2006/main">
                  <a:graphicData uri="http://schemas.microsoft.com/office/word/2010/wordprocessingShape">
                    <wps:wsp>
                      <wps:cNvSpPr/>
                      <wps:spPr>
                        <a:xfrm>
                          <a:off x="0" y="0"/>
                          <a:ext cx="4754880" cy="1324051"/>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ascii="Times New Roman" w:hAnsi="Times New Roman"/>
                                <w:sz w:val="21"/>
                                <w:szCs w:val="21"/>
                              </w:rPr>
                            </w:pPr>
                            <w:r>
                              <w:rPr>
                                <w:rFonts w:ascii="Times New Roman" w:hAnsi="Times New Roman"/>
                                <w:szCs w:val="21"/>
                              </w:rPr>
                              <w:t>A组：</w:t>
                            </w:r>
                            <w:r>
                              <w:rPr>
                                <w:rFonts w:ascii="Times New Roman" w:hAnsi="Times New Roman"/>
                                <w:bCs/>
                              </w:rPr>
                              <w:t>对照组</w:t>
                            </w:r>
                          </w:p>
                          <w:p>
                            <w:pPr>
                              <w:rPr>
                                <w:rFonts w:ascii="Times New Roman" w:hAnsi="Times New Roman"/>
                                <w:bCs/>
                              </w:rPr>
                            </w:pPr>
                            <w:r>
                              <w:rPr>
                                <w:rFonts w:ascii="Times New Roman" w:hAnsi="Times New Roman"/>
                                <w:bCs/>
                                <w:color w:val="000000"/>
                                <w:szCs w:val="21"/>
                              </w:rPr>
                              <w:t>B组：</w:t>
                            </w:r>
                            <w:r>
                              <w:rPr>
                                <w:rFonts w:ascii="Times New Roman" w:hAnsi="Times New Roman"/>
                                <w:bCs/>
                              </w:rPr>
                              <w:t>PBS+MLE-12（高氧）</w:t>
                            </w:r>
                          </w:p>
                          <w:p>
                            <w:pPr>
                              <w:rPr>
                                <w:rFonts w:ascii="Times New Roman" w:hAnsi="Times New Roman"/>
                                <w:bCs/>
                              </w:rPr>
                            </w:pPr>
                            <w:r>
                              <w:rPr>
                                <w:rFonts w:ascii="Times New Roman" w:hAnsi="Times New Roman"/>
                                <w:bCs/>
                                <w:color w:val="000000"/>
                                <w:szCs w:val="21"/>
                              </w:rPr>
                              <w:t>C组：</w:t>
                            </w:r>
                            <w:r>
                              <w:rPr>
                                <w:rFonts w:ascii="Times New Roman" w:hAnsi="Times New Roman"/>
                                <w:bCs/>
                              </w:rPr>
                              <w:t>MT-Exo-shNC+MLE-12（高氧）处理组+miR-NC</w:t>
                            </w:r>
                          </w:p>
                          <w:p>
                            <w:pPr>
                              <w:ind w:left="120" w:hanging="140" w:hangingChars="50"/>
                              <w:rPr>
                                <w:rFonts w:ascii="Times New Roman" w:hAnsi="Times New Roman"/>
                                <w:bCs/>
                              </w:rPr>
                            </w:pPr>
                            <w:r>
                              <w:rPr>
                                <w:rFonts w:ascii="Times New Roman" w:hAnsi="Times New Roman"/>
                                <w:bCs/>
                              </w:rPr>
                              <w:t>D</w:t>
                            </w:r>
                            <w:r>
                              <w:rPr>
                                <w:rFonts w:ascii="Times New Roman" w:hAnsi="Times New Roman"/>
                                <w:bCs/>
                                <w:color w:val="000000"/>
                                <w:szCs w:val="21"/>
                              </w:rPr>
                              <w:t>组</w:t>
                            </w:r>
                            <w:r>
                              <w:rPr>
                                <w:rFonts w:hint="eastAsia" w:ascii="Times New Roman" w:hAnsi="Times New Roman"/>
                                <w:bCs/>
                                <w:color w:val="000000"/>
                                <w:szCs w:val="21"/>
                              </w:rPr>
                              <w:t>：</w:t>
                            </w:r>
                            <w:r>
                              <w:rPr>
                                <w:rFonts w:ascii="Times New Roman" w:hAnsi="Times New Roman"/>
                                <w:bCs/>
                              </w:rPr>
                              <w:t xml:space="preserve">MT-Exo-shNC+MLE-12（高氧）+miR-18a </w:t>
                            </w:r>
                          </w:p>
                          <w:p>
                            <w:pPr>
                              <w:ind w:left="120" w:hanging="140" w:hangingChars="50"/>
                              <w:rPr>
                                <w:rFonts w:ascii="Times New Roman" w:hAnsi="Times New Roman"/>
                                <w:bCs/>
                              </w:rPr>
                            </w:pPr>
                            <w:r>
                              <w:rPr>
                                <w:rFonts w:ascii="Times New Roman" w:hAnsi="Times New Roman"/>
                                <w:bCs/>
                              </w:rPr>
                              <w:t>E</w:t>
                            </w:r>
                            <w:r>
                              <w:rPr>
                                <w:rFonts w:ascii="Times New Roman" w:hAnsi="Times New Roman"/>
                                <w:bCs/>
                                <w:color w:val="000000"/>
                                <w:szCs w:val="21"/>
                              </w:rPr>
                              <w:t>组</w:t>
                            </w:r>
                            <w:r>
                              <w:rPr>
                                <w:rFonts w:hint="eastAsia" w:ascii="Times New Roman" w:hAnsi="Times New Roman"/>
                                <w:bCs/>
                                <w:color w:val="000000"/>
                                <w:szCs w:val="21"/>
                              </w:rPr>
                              <w:t>：</w:t>
                            </w:r>
                            <w:r>
                              <w:rPr>
                                <w:rFonts w:ascii="Times New Roman" w:hAnsi="Times New Roman"/>
                                <w:bCs/>
                              </w:rPr>
                              <w:t xml:space="preserve">MT-Exo-shMETTL14+MLE-12（高氧）miR-NC </w:t>
                            </w:r>
                          </w:p>
                          <w:p>
                            <w:pPr>
                              <w:ind w:left="120" w:hanging="140" w:hangingChars="50"/>
                              <w:rPr>
                                <w:rFonts w:ascii="Times New Roman" w:hAnsi="Times New Roman"/>
                                <w:sz w:val="21"/>
                                <w:szCs w:val="21"/>
                              </w:rPr>
                            </w:pPr>
                            <w:r>
                              <w:rPr>
                                <w:rFonts w:ascii="Times New Roman" w:hAnsi="Times New Roman"/>
                                <w:bCs/>
                              </w:rPr>
                              <w:t>F</w:t>
                            </w:r>
                            <w:r>
                              <w:rPr>
                                <w:rFonts w:ascii="Times New Roman" w:hAnsi="Times New Roman"/>
                                <w:bCs/>
                                <w:color w:val="000000"/>
                                <w:szCs w:val="21"/>
                              </w:rPr>
                              <w:t>组</w:t>
                            </w:r>
                            <w:r>
                              <w:rPr>
                                <w:rFonts w:hint="eastAsia" w:ascii="Times New Roman" w:hAnsi="Times New Roman"/>
                                <w:bCs/>
                                <w:color w:val="000000"/>
                                <w:szCs w:val="21"/>
                              </w:rPr>
                              <w:t>：</w:t>
                            </w:r>
                            <w:r>
                              <w:rPr>
                                <w:rFonts w:ascii="Times New Roman" w:hAnsi="Times New Roman"/>
                                <w:bCs/>
                              </w:rPr>
                              <w:t>MT-Exo-shMETTL14+MLE-12（高氧）+miR-18a</w:t>
                            </w:r>
                          </w:p>
                          <w:p>
                            <w:pPr>
                              <w:rPr>
                                <w:rFonts w:ascii="Times New Roman" w:hAnsi="Times New Roman"/>
                                <w:sz w:val="21"/>
                                <w:szCs w:val="21"/>
                              </w:rPr>
                            </w:pPr>
                          </w:p>
                        </w:txbxContent>
                      </wps:txbx>
                      <wps:bodyPr vert="horz" wrap="square" anchor="t" anchorCtr="0" upright="1">
                        <a:noAutofit/>
                      </wps:bodyPr>
                    </wps:wsp>
                  </a:graphicData>
                </a:graphic>
              </wp:anchor>
            </w:drawing>
          </mc:Choice>
          <mc:Fallback>
            <w:pict>
              <v:rect id="_x0000_s1026" o:spid="_x0000_s1026" o:spt="1" style="position:absolute;left:0pt;margin-left:24pt;margin-top:8.5pt;height:104.25pt;width:374.4pt;z-index:251661312;mso-width-relative:page;mso-height-relative:page;" fillcolor="#FFFFFF" filled="t" stroked="t" coordsize="21600,21600" o:gfxdata="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0D5sotgAAAAJAQAADwAAAAAAAAABACAAAAAiAAAAZHJzL2Rvd25yZXYueG1s&#10;UEsBAhQAFAAAAAgAh07iQJLUkkcxAgAAhQQAAA4AAAAAAAAAAQAgAAAAJwEAAGRycy9lMm9Eb2Mu&#10;eG1sUEsFBgAAAAAGAAYAWQEAAMoFAAAAAA==&#10;">
                <v:fill on="t" focussize="0,0"/>
                <v:stroke color="#000000" joinstyle="miter"/>
                <v:imagedata o:title=""/>
                <o:lock v:ext="edit" aspectratio="f"/>
                <v:textbox>
                  <w:txbxContent>
                    <w:p>
                      <w:pPr>
                        <w:rPr>
                          <w:rFonts w:ascii="Times New Roman" w:hAnsi="Times New Roman"/>
                          <w:sz w:val="21"/>
                          <w:szCs w:val="21"/>
                        </w:rPr>
                      </w:pPr>
                      <w:r>
                        <w:rPr>
                          <w:rFonts w:ascii="Times New Roman" w:hAnsi="Times New Roman"/>
                          <w:szCs w:val="21"/>
                        </w:rPr>
                        <w:t>A组：</w:t>
                      </w:r>
                      <w:r>
                        <w:rPr>
                          <w:rFonts w:ascii="Times New Roman" w:hAnsi="Times New Roman"/>
                          <w:bCs/>
                        </w:rPr>
                        <w:t>对照组</w:t>
                      </w:r>
                    </w:p>
                    <w:p>
                      <w:pPr>
                        <w:rPr>
                          <w:rFonts w:ascii="Times New Roman" w:hAnsi="Times New Roman"/>
                          <w:bCs/>
                        </w:rPr>
                      </w:pPr>
                      <w:r>
                        <w:rPr>
                          <w:rFonts w:ascii="Times New Roman" w:hAnsi="Times New Roman"/>
                          <w:bCs/>
                          <w:color w:val="000000"/>
                          <w:szCs w:val="21"/>
                        </w:rPr>
                        <w:t>B组：</w:t>
                      </w:r>
                      <w:r>
                        <w:rPr>
                          <w:rFonts w:ascii="Times New Roman" w:hAnsi="Times New Roman"/>
                          <w:bCs/>
                        </w:rPr>
                        <w:t>PBS+MLE-12（高氧）</w:t>
                      </w:r>
                    </w:p>
                    <w:p>
                      <w:pPr>
                        <w:rPr>
                          <w:rFonts w:ascii="Times New Roman" w:hAnsi="Times New Roman"/>
                          <w:bCs/>
                        </w:rPr>
                      </w:pPr>
                      <w:r>
                        <w:rPr>
                          <w:rFonts w:ascii="Times New Roman" w:hAnsi="Times New Roman"/>
                          <w:bCs/>
                          <w:color w:val="000000"/>
                          <w:szCs w:val="21"/>
                        </w:rPr>
                        <w:t>C组：</w:t>
                      </w:r>
                      <w:r>
                        <w:rPr>
                          <w:rFonts w:ascii="Times New Roman" w:hAnsi="Times New Roman"/>
                          <w:bCs/>
                        </w:rPr>
                        <w:t>MT-Exo-shNC+MLE-12（高氧）处理组+miR-NC</w:t>
                      </w:r>
                    </w:p>
                    <w:p>
                      <w:pPr>
                        <w:ind w:left="120" w:hanging="140" w:hangingChars="50"/>
                        <w:rPr>
                          <w:rFonts w:ascii="Times New Roman" w:hAnsi="Times New Roman"/>
                          <w:bCs/>
                        </w:rPr>
                      </w:pPr>
                      <w:r>
                        <w:rPr>
                          <w:rFonts w:ascii="Times New Roman" w:hAnsi="Times New Roman"/>
                          <w:bCs/>
                        </w:rPr>
                        <w:t>D</w:t>
                      </w:r>
                      <w:r>
                        <w:rPr>
                          <w:rFonts w:ascii="Times New Roman" w:hAnsi="Times New Roman"/>
                          <w:bCs/>
                          <w:color w:val="000000"/>
                          <w:szCs w:val="21"/>
                        </w:rPr>
                        <w:t>组</w:t>
                      </w:r>
                      <w:r>
                        <w:rPr>
                          <w:rFonts w:hint="eastAsia" w:ascii="Times New Roman" w:hAnsi="Times New Roman"/>
                          <w:bCs/>
                          <w:color w:val="000000"/>
                          <w:szCs w:val="21"/>
                        </w:rPr>
                        <w:t>：</w:t>
                      </w:r>
                      <w:r>
                        <w:rPr>
                          <w:rFonts w:ascii="Times New Roman" w:hAnsi="Times New Roman"/>
                          <w:bCs/>
                        </w:rPr>
                        <w:t xml:space="preserve">MT-Exo-shNC+MLE-12（高氧）+miR-18a </w:t>
                      </w:r>
                    </w:p>
                    <w:p>
                      <w:pPr>
                        <w:ind w:left="120" w:hanging="140" w:hangingChars="50"/>
                        <w:rPr>
                          <w:rFonts w:ascii="Times New Roman" w:hAnsi="Times New Roman"/>
                          <w:bCs/>
                        </w:rPr>
                      </w:pPr>
                      <w:r>
                        <w:rPr>
                          <w:rFonts w:ascii="Times New Roman" w:hAnsi="Times New Roman"/>
                          <w:bCs/>
                        </w:rPr>
                        <w:t>E</w:t>
                      </w:r>
                      <w:r>
                        <w:rPr>
                          <w:rFonts w:ascii="Times New Roman" w:hAnsi="Times New Roman"/>
                          <w:bCs/>
                          <w:color w:val="000000"/>
                          <w:szCs w:val="21"/>
                        </w:rPr>
                        <w:t>组</w:t>
                      </w:r>
                      <w:r>
                        <w:rPr>
                          <w:rFonts w:hint="eastAsia" w:ascii="Times New Roman" w:hAnsi="Times New Roman"/>
                          <w:bCs/>
                          <w:color w:val="000000"/>
                          <w:szCs w:val="21"/>
                        </w:rPr>
                        <w:t>：</w:t>
                      </w:r>
                      <w:r>
                        <w:rPr>
                          <w:rFonts w:ascii="Times New Roman" w:hAnsi="Times New Roman"/>
                          <w:bCs/>
                        </w:rPr>
                        <w:t xml:space="preserve">MT-Exo-shMETTL14+MLE-12（高氧）miR-NC </w:t>
                      </w:r>
                    </w:p>
                    <w:p>
                      <w:pPr>
                        <w:ind w:left="120" w:hanging="140" w:hangingChars="50"/>
                        <w:rPr>
                          <w:rFonts w:ascii="Times New Roman" w:hAnsi="Times New Roman"/>
                          <w:sz w:val="21"/>
                          <w:szCs w:val="21"/>
                        </w:rPr>
                      </w:pPr>
                      <w:r>
                        <w:rPr>
                          <w:rFonts w:ascii="Times New Roman" w:hAnsi="Times New Roman"/>
                          <w:bCs/>
                        </w:rPr>
                        <w:t>F</w:t>
                      </w:r>
                      <w:r>
                        <w:rPr>
                          <w:rFonts w:ascii="Times New Roman" w:hAnsi="Times New Roman"/>
                          <w:bCs/>
                          <w:color w:val="000000"/>
                          <w:szCs w:val="21"/>
                        </w:rPr>
                        <w:t>组</w:t>
                      </w:r>
                      <w:r>
                        <w:rPr>
                          <w:rFonts w:hint="eastAsia" w:ascii="Times New Roman" w:hAnsi="Times New Roman"/>
                          <w:bCs/>
                          <w:color w:val="000000"/>
                          <w:szCs w:val="21"/>
                        </w:rPr>
                        <w:t>：</w:t>
                      </w:r>
                      <w:r>
                        <w:rPr>
                          <w:rFonts w:ascii="Times New Roman" w:hAnsi="Times New Roman"/>
                          <w:bCs/>
                        </w:rPr>
                        <w:t>MT-Exo-shMETTL14+MLE-12（高氧）+miR-18a</w:t>
                      </w:r>
                    </w:p>
                    <w:p>
                      <w:pPr>
                        <w:rPr>
                          <w:rFonts w:ascii="Times New Roman" w:hAnsi="Times New Roman"/>
                          <w:sz w:val="21"/>
                          <w:szCs w:val="21"/>
                        </w:rPr>
                      </w:pPr>
                    </w:p>
                  </w:txbxContent>
                </v:textbox>
              </v:rect>
            </w:pict>
          </mc:Fallback>
        </mc:AlternateContent>
      </w:r>
    </w:p>
    <w:p>
      <w:pPr>
        <w:pStyle w:val="86"/>
        <w:spacing w:line="360" w:lineRule="auto"/>
        <w:ind w:left="420"/>
        <w:rPr>
          <w:rFonts w:hint="eastAsia" w:ascii="Times New Roman" w:hAnsi="Times New Roman"/>
        </w:rPr>
      </w:pPr>
    </w:p>
    <w:p>
      <w:pPr>
        <w:pStyle w:val="86"/>
        <w:spacing w:line="360" w:lineRule="auto"/>
        <w:ind w:left="420"/>
        <w:rPr>
          <w:rFonts w:hint="eastAsia" w:ascii="Times New Roman" w:hAnsi="Times New Roman"/>
        </w:rPr>
      </w:pPr>
    </w:p>
    <w:p>
      <w:pPr>
        <w:pStyle w:val="86"/>
        <w:spacing w:line="360" w:lineRule="auto"/>
        <w:ind w:left="420"/>
        <w:rPr>
          <w:rFonts w:hint="eastAsia" w:ascii="Times New Roman" w:hAnsi="Times New Roman"/>
        </w:rPr>
      </w:pPr>
    </w:p>
    <w:p>
      <w:pPr>
        <w:pStyle w:val="86"/>
        <w:spacing w:line="360" w:lineRule="auto"/>
        <w:ind w:left="420"/>
        <w:rPr>
          <w:rFonts w:hint="eastAsia" w:ascii="Times New Roman" w:hAnsi="Times New Roman"/>
        </w:rPr>
      </w:pPr>
    </w:p>
    <w:p>
      <w:pPr>
        <w:pStyle w:val="86"/>
        <w:spacing w:line="360" w:lineRule="auto"/>
        <w:ind w:left="420"/>
        <w:rPr>
          <w:rFonts w:hint="eastAsia" w:ascii="Times New Roman" w:hAnsi="Times New Roman"/>
        </w:rPr>
      </w:pPr>
    </w:p>
    <w:p>
      <w:pPr>
        <w:pStyle w:val="86"/>
        <w:spacing w:line="360" w:lineRule="auto"/>
        <w:ind w:left="420"/>
        <w:rPr>
          <w:rFonts w:ascii="Times New Roman" w:hAnsi="Times New Roman"/>
        </w:rPr>
      </w:pPr>
      <w:r>
        <w:rPr>
          <w:rFonts w:hint="eastAsia" w:ascii="Times New Roman" w:hAnsi="Times New Roman"/>
        </w:rPr>
        <w:t>CCK-8与EdU法估细胞增殖活性，使用流式细胞术检测细胞凋亡；使用DCH-DA免疫荧光检测细胞内ROS水平；检测NO以及NOS水平；使用ELISA法检测炎性因子IL-18、IL-1β、IL-6、TNF-α等，使用q-PCR和Western Blot法检测Nrf2的表达水平。使用免疫荧光法检测Nrf2在细胞核内的富集情况。</w:t>
      </w:r>
    </w:p>
    <w:p>
      <w:pPr>
        <w:pStyle w:val="86"/>
        <w:numPr>
          <w:ilvl w:val="0"/>
          <w:numId w:val="9"/>
        </w:numPr>
        <w:spacing w:line="360" w:lineRule="auto"/>
        <w:rPr>
          <w:rFonts w:ascii="Times New Roman" w:hAnsi="Times New Roman"/>
        </w:rPr>
      </w:pPr>
      <w:r>
        <w:rPr>
          <w:rFonts w:ascii="Times New Roman" w:hAnsi="Times New Roman"/>
        </w:rPr>
        <w:t>分析miR-18a下游调控详细分子机制</w:t>
      </w:r>
    </w:p>
    <w:p>
      <w:pPr>
        <w:spacing w:line="360" w:lineRule="auto"/>
        <w:ind w:firstLine="664" w:firstLineChars="200"/>
        <w:rPr>
          <w:rFonts w:ascii="Times New Roman" w:hAnsi="Times New Roman"/>
        </w:rPr>
      </w:pPr>
      <w:r>
        <w:rPr>
          <w:rFonts w:ascii="Times New Roman" w:hAnsi="Times New Roman"/>
        </w:rPr>
        <w:t>7.1 Starbase预测miR-18a与转录因子EGR3的潜在互补结合位点</w:t>
      </w:r>
    </w:p>
    <w:p>
      <w:pPr>
        <w:spacing w:line="360" w:lineRule="auto"/>
        <w:ind w:firstLine="664" w:firstLineChars="200"/>
        <w:rPr>
          <w:rFonts w:ascii="Times New Roman" w:hAnsi="Times New Roman"/>
        </w:rPr>
      </w:pPr>
      <w:r>
        <w:rPr>
          <w:rFonts w:ascii="Times New Roman" w:hAnsi="Times New Roman"/>
        </w:rPr>
        <w:t>7.2 验证miR-18a对转录因子EGR3的靶向抑制作用</w:t>
      </w:r>
    </w:p>
    <w:p>
      <w:pPr>
        <w:spacing w:line="360" w:lineRule="auto"/>
        <w:ind w:firstLine="664" w:firstLineChars="200"/>
        <w:rPr>
          <w:rFonts w:ascii="Times New Roman" w:hAnsi="Times New Roman"/>
        </w:rPr>
      </w:pPr>
      <w:r>
        <w:rPr>
          <w:rFonts w:ascii="Times New Roman" w:hAnsi="Times New Roman"/>
        </w:rPr>
        <w:t>7.3 预测转录因子EGR3与DUB3启动子区的潜在互补结合序列</w:t>
      </w:r>
    </w:p>
    <w:p>
      <w:pPr>
        <w:spacing w:line="360" w:lineRule="auto"/>
        <w:ind w:firstLine="664" w:firstLineChars="200"/>
        <w:rPr>
          <w:rFonts w:ascii="Times New Roman" w:hAnsi="Times New Roman"/>
        </w:rPr>
      </w:pPr>
      <w:r>
        <w:rPr>
          <w:rFonts w:ascii="Times New Roman" w:hAnsi="Times New Roman"/>
        </w:rPr>
        <w:t>7.4 验证转录因子EGR3与DUB3启动子区的直接结合关系及其对DUB3启动子区转录活性的负向调控</w:t>
      </w:r>
    </w:p>
    <w:p>
      <w:pPr>
        <w:spacing w:line="360" w:lineRule="auto"/>
        <w:ind w:firstLine="664" w:firstLineChars="200"/>
        <w:rPr>
          <w:rFonts w:ascii="Times New Roman" w:hAnsi="Times New Roman"/>
        </w:rPr>
      </w:pPr>
      <w:r>
        <w:rPr>
          <w:rFonts w:ascii="Times New Roman" w:hAnsi="Times New Roman"/>
        </w:rPr>
        <w:t>7.5 转染shNC和shEGR3，使用q-PCR和Western Blot法检测EGR3、DUB3的水平</w:t>
      </w:r>
    </w:p>
    <w:p>
      <w:pPr>
        <w:spacing w:line="360" w:lineRule="auto"/>
        <w:ind w:firstLine="664" w:firstLineChars="200"/>
        <w:rPr>
          <w:rFonts w:ascii="Times New Roman" w:hAnsi="Times New Roman"/>
        </w:rPr>
      </w:pPr>
      <w:r>
        <w:rPr>
          <w:rFonts w:ascii="Times New Roman" w:hAnsi="Times New Roman"/>
        </w:rPr>
        <w:t>7.6 敲降和过表达DUB3，使用q-PCR和Western Blot法检测Nrf2的水平</w:t>
      </w:r>
    </w:p>
    <w:p>
      <w:pPr>
        <w:spacing w:line="360" w:lineRule="auto"/>
        <w:ind w:firstLine="664" w:firstLineChars="200"/>
        <w:rPr>
          <w:rFonts w:hint="eastAsia" w:ascii="Times New Roman" w:hAnsi="Times New Roman"/>
        </w:rPr>
      </w:pPr>
      <w:r>
        <w:rPr>
          <w:rFonts w:ascii="Times New Roman" w:hAnsi="Times New Roman"/>
        </w:rPr>
        <w:t>7.7  RNA-FISH探究DUB3与Nrf2的共定位情况，使用Co-IP法探究Nrf2与DUB3、Keap1与DUB3、以及Nrf2、Keap1与DUB3之间的结合关系</w:t>
      </w:r>
    </w:p>
    <w:p>
      <w:pPr>
        <w:rPr>
          <w:rFonts w:hint="eastAsia"/>
        </w:rPr>
      </w:pPr>
    </w:p>
    <w:p>
      <w:pPr>
        <w:numPr>
          <w:ilvl w:val="0"/>
          <w:numId w:val="10"/>
        </w:numPr>
        <w:rPr>
          <w:rFonts w:ascii="Times New Roman" w:hAnsi="Times New Roman"/>
        </w:rPr>
      </w:pPr>
      <w:r>
        <w:rPr>
          <w:rFonts w:hint="eastAsia" w:ascii="Times New Roman" w:hAnsi="Times New Roman"/>
        </w:rPr>
        <w:t>检测内容清单：</w:t>
      </w:r>
    </w:p>
    <w:p>
      <w:pPr>
        <w:rPr>
          <w:rFonts w:ascii="Times New Roman" w:hAnsi="Times New Roman"/>
        </w:rPr>
      </w:pPr>
    </w:p>
    <w:p>
      <w:pPr>
        <w:numPr>
          <w:ilvl w:val="0"/>
          <w:numId w:val="11"/>
        </w:numPr>
        <w:rPr>
          <w:rFonts w:ascii="Times New Roman" w:hAnsi="Times New Roman"/>
        </w:rPr>
      </w:pPr>
      <w:r>
        <w:rPr>
          <w:rFonts w:hint="eastAsia" w:ascii="Times New Roman" w:hAnsi="Times New Roman"/>
        </w:rPr>
        <w:t>肺上皮</w:t>
      </w:r>
      <w:r>
        <w:rPr>
          <w:rFonts w:ascii="Times New Roman" w:hAnsi="Times New Roman"/>
        </w:rPr>
        <w:t>细胞</w:t>
      </w:r>
      <w:r>
        <w:rPr>
          <w:rFonts w:hint="eastAsia" w:ascii="Times New Roman" w:hAnsi="Times New Roman"/>
        </w:rPr>
        <w:t xml:space="preserve">  1</w:t>
      </w:r>
      <w:r>
        <w:rPr>
          <w:rFonts w:ascii="Times New Roman" w:hAnsi="Times New Roman"/>
        </w:rPr>
        <w:t>×</w:t>
      </w:r>
      <w:r>
        <w:rPr>
          <w:rFonts w:hint="eastAsia" w:ascii="Times New Roman" w:hAnsi="Times New Roman"/>
        </w:rPr>
        <w:t>10</w:t>
      </w:r>
      <w:r>
        <w:rPr>
          <w:rFonts w:hint="eastAsia" w:ascii="Times New Roman" w:hAnsi="Times New Roman"/>
          <w:vertAlign w:val="superscript"/>
        </w:rPr>
        <w:t>6</w:t>
      </w:r>
      <w:r>
        <w:rPr>
          <w:rFonts w:hint="eastAsia" w:ascii="Times New Roman" w:hAnsi="Times New Roman"/>
        </w:rPr>
        <w:t>/ml HFL-1细胞系</w:t>
      </w:r>
    </w:p>
    <w:p>
      <w:pPr>
        <w:ind w:left="120"/>
        <w:rPr>
          <w:rFonts w:hint="eastAsia" w:ascii="Times New Roman" w:hAnsi="Times New Roman"/>
        </w:rPr>
      </w:pPr>
    </w:p>
    <w:p>
      <w:pPr>
        <w:numPr>
          <w:ilvl w:val="0"/>
          <w:numId w:val="11"/>
        </w:numPr>
        <w:rPr>
          <w:rFonts w:ascii="Times New Roman" w:hAnsi="Times New Roman"/>
        </w:rPr>
      </w:pPr>
      <w:r>
        <w:rPr>
          <w:rFonts w:hint="eastAsia" w:ascii="Times New Roman" w:hAnsi="Times New Roman"/>
        </w:rPr>
        <w:t xml:space="preserve">小鼠骨髓干细胞 </w:t>
      </w:r>
      <w:r>
        <w:rPr>
          <w:rFonts w:ascii="Times New Roman" w:hAnsi="Times New Roman"/>
        </w:rPr>
        <w:t>5×10</w:t>
      </w:r>
      <w:r>
        <w:rPr>
          <w:rFonts w:ascii="Times New Roman" w:hAnsi="Times New Roman"/>
          <w:vertAlign w:val="superscript"/>
        </w:rPr>
        <w:t>5</w:t>
      </w:r>
      <w:r>
        <w:rPr>
          <w:rFonts w:hint="eastAsia" w:ascii="Times New Roman" w:hAnsi="Times New Roman"/>
        </w:rPr>
        <w:t>细胞每瓶</w:t>
      </w:r>
    </w:p>
    <w:p>
      <w:pPr>
        <w:ind w:left="120"/>
        <w:rPr>
          <w:rFonts w:ascii="Times New Roman" w:hAnsi="Times New Roman"/>
        </w:rPr>
      </w:pPr>
    </w:p>
    <w:p>
      <w:pPr>
        <w:numPr>
          <w:ilvl w:val="0"/>
          <w:numId w:val="11"/>
        </w:numPr>
        <w:rPr>
          <w:rFonts w:ascii="Times New Roman" w:hAnsi="Times New Roman"/>
        </w:rPr>
      </w:pPr>
      <w:r>
        <w:rPr>
          <w:rFonts w:hint="eastAsia" w:ascii="Times New Roman" w:hAnsi="Times New Roman"/>
        </w:rPr>
        <w:t>HE染色检测</w:t>
      </w:r>
    </w:p>
    <w:p>
      <w:pPr>
        <w:pStyle w:val="86"/>
        <w:rPr>
          <w:rFonts w:ascii="Times New Roman" w:hAnsi="Times New Roman"/>
        </w:rPr>
      </w:pPr>
    </w:p>
    <w:p>
      <w:pPr>
        <w:numPr>
          <w:ilvl w:val="0"/>
          <w:numId w:val="11"/>
        </w:numPr>
        <w:rPr>
          <w:rFonts w:ascii="Times New Roman" w:hAnsi="Times New Roman"/>
        </w:rPr>
      </w:pPr>
      <w:r>
        <w:rPr>
          <w:rFonts w:hint="eastAsia" w:ascii="Times New Roman" w:hAnsi="Times New Roman"/>
        </w:rPr>
        <w:t>油红O染色检测</w:t>
      </w:r>
    </w:p>
    <w:p>
      <w:pPr>
        <w:pStyle w:val="86"/>
        <w:rPr>
          <w:rFonts w:ascii="Times New Roman" w:hAnsi="Times New Roman"/>
        </w:rPr>
      </w:pPr>
    </w:p>
    <w:p>
      <w:pPr>
        <w:numPr>
          <w:ilvl w:val="0"/>
          <w:numId w:val="11"/>
        </w:numPr>
        <w:rPr>
          <w:rFonts w:ascii="Times New Roman" w:hAnsi="Times New Roman"/>
        </w:rPr>
      </w:pPr>
      <w:r>
        <w:rPr>
          <w:rFonts w:hint="eastAsia" w:ascii="Times New Roman" w:hAnsi="Times New Roman"/>
        </w:rPr>
        <w:t>阿尔新蓝染色检测</w:t>
      </w:r>
    </w:p>
    <w:p>
      <w:pPr>
        <w:numPr>
          <w:ilvl w:val="0"/>
          <w:numId w:val="11"/>
        </w:numPr>
        <w:rPr>
          <w:rFonts w:ascii="Times New Roman" w:hAnsi="Times New Roman"/>
        </w:rPr>
      </w:pPr>
    </w:p>
    <w:p>
      <w:pPr>
        <w:numPr>
          <w:ilvl w:val="0"/>
          <w:numId w:val="11"/>
        </w:numPr>
        <w:rPr>
          <w:rFonts w:ascii="Times New Roman" w:hAnsi="Times New Roman"/>
        </w:rPr>
      </w:pPr>
      <w:r>
        <w:rPr>
          <w:rFonts w:hint="eastAsia" w:ascii="Times New Roman" w:hAnsi="Times New Roman"/>
        </w:rPr>
        <w:t>免疫荧光</w:t>
      </w:r>
    </w:p>
    <w:p>
      <w:pPr>
        <w:numPr>
          <w:ilvl w:val="0"/>
          <w:numId w:val="11"/>
        </w:numPr>
        <w:rPr>
          <w:rFonts w:ascii="Times New Roman" w:hAnsi="Times New Roman"/>
        </w:rPr>
      </w:pPr>
    </w:p>
    <w:p>
      <w:pPr>
        <w:numPr>
          <w:ilvl w:val="0"/>
          <w:numId w:val="11"/>
        </w:numPr>
        <w:rPr>
          <w:rFonts w:ascii="Times New Roman" w:hAnsi="Times New Roman"/>
        </w:rPr>
      </w:pPr>
      <w:r>
        <w:rPr>
          <w:rFonts w:ascii="Times New Roman" w:hAnsi="Times New Roman"/>
        </w:rPr>
        <w:t>CCK-8</w:t>
      </w:r>
      <w:r>
        <w:rPr>
          <w:rFonts w:hint="eastAsia" w:ascii="Times New Roman" w:hAnsi="Times New Roman"/>
        </w:rPr>
        <w:t>检测</w:t>
      </w:r>
    </w:p>
    <w:p>
      <w:pPr>
        <w:numPr>
          <w:ilvl w:val="0"/>
          <w:numId w:val="11"/>
        </w:numPr>
        <w:rPr>
          <w:rFonts w:ascii="Times New Roman" w:hAnsi="Times New Roman"/>
        </w:rPr>
      </w:pPr>
    </w:p>
    <w:p>
      <w:pPr>
        <w:numPr>
          <w:ilvl w:val="0"/>
          <w:numId w:val="11"/>
        </w:numPr>
        <w:rPr>
          <w:rFonts w:ascii="Times New Roman" w:hAnsi="Times New Roman"/>
        </w:rPr>
      </w:pPr>
      <w:r>
        <w:rPr>
          <w:rFonts w:ascii="Times New Roman" w:hAnsi="Times New Roman"/>
        </w:rPr>
        <w:t>双荧光素酶报告系统检测</w:t>
      </w:r>
    </w:p>
    <w:p>
      <w:pPr>
        <w:numPr>
          <w:ilvl w:val="0"/>
          <w:numId w:val="11"/>
        </w:numPr>
        <w:rPr>
          <w:rFonts w:ascii="Times New Roman" w:hAnsi="Times New Roman"/>
        </w:rPr>
      </w:pPr>
    </w:p>
    <w:p>
      <w:pPr>
        <w:numPr>
          <w:ilvl w:val="0"/>
          <w:numId w:val="11"/>
        </w:numPr>
        <w:rPr>
          <w:rFonts w:ascii="Times New Roman" w:hAnsi="Times New Roman"/>
        </w:rPr>
      </w:pPr>
      <w:r>
        <w:rPr>
          <w:rFonts w:ascii="Times New Roman" w:hAnsi="Times New Roman"/>
        </w:rPr>
        <w:t xml:space="preserve">q-PCR检测  </w:t>
      </w:r>
    </w:p>
    <w:p>
      <w:pPr>
        <w:numPr>
          <w:ilvl w:val="0"/>
          <w:numId w:val="11"/>
        </w:numPr>
        <w:rPr>
          <w:rFonts w:ascii="Times New Roman" w:hAnsi="Times New Roman"/>
        </w:rPr>
      </w:pPr>
    </w:p>
    <w:p>
      <w:pPr>
        <w:numPr>
          <w:ilvl w:val="0"/>
          <w:numId w:val="11"/>
        </w:numPr>
        <w:rPr>
          <w:rFonts w:ascii="Times New Roman" w:hAnsi="Times New Roman"/>
        </w:rPr>
      </w:pPr>
      <w:r>
        <w:rPr>
          <w:rFonts w:ascii="Times New Roman" w:hAnsi="Times New Roman"/>
        </w:rPr>
        <w:t>Western blot 检测</w:t>
      </w:r>
    </w:p>
    <w:p>
      <w:pPr>
        <w:ind w:left="120"/>
        <w:rPr>
          <w:rFonts w:ascii="Times New Roman" w:hAnsi="Times New Roman"/>
        </w:rPr>
      </w:pPr>
    </w:p>
    <w:p>
      <w:pPr>
        <w:numPr>
          <w:ilvl w:val="0"/>
          <w:numId w:val="11"/>
        </w:numPr>
        <w:rPr>
          <w:rFonts w:ascii="Times New Roman" w:hAnsi="Times New Roman"/>
        </w:rPr>
      </w:pPr>
      <w:r>
        <w:rPr>
          <w:rFonts w:ascii="Times New Roman" w:hAnsi="Times New Roman"/>
        </w:rPr>
        <w:t>电镜检测</w:t>
      </w:r>
    </w:p>
    <w:p>
      <w:pPr>
        <w:numPr>
          <w:ilvl w:val="0"/>
          <w:numId w:val="11"/>
        </w:numPr>
        <w:rPr>
          <w:rFonts w:ascii="Times New Roman" w:hAnsi="Times New Roman"/>
        </w:rPr>
      </w:pPr>
    </w:p>
    <w:p>
      <w:pPr>
        <w:numPr>
          <w:ilvl w:val="0"/>
          <w:numId w:val="11"/>
        </w:numPr>
        <w:rPr>
          <w:rFonts w:ascii="Times New Roman" w:hAnsi="Times New Roman"/>
        </w:rPr>
      </w:pPr>
      <w:r>
        <w:rPr>
          <w:rFonts w:ascii="Times New Roman" w:hAnsi="Times New Roman"/>
        </w:rPr>
        <w:t>ELISA</w:t>
      </w:r>
    </w:p>
    <w:p>
      <w:pPr>
        <w:numPr>
          <w:ilvl w:val="0"/>
          <w:numId w:val="11"/>
        </w:numPr>
        <w:rPr>
          <w:rFonts w:ascii="Times New Roman" w:hAnsi="Times New Roman"/>
        </w:rPr>
      </w:pPr>
    </w:p>
    <w:p>
      <w:pPr>
        <w:numPr>
          <w:ilvl w:val="0"/>
          <w:numId w:val="11"/>
        </w:numPr>
        <w:rPr>
          <w:rFonts w:ascii="Times New Roman" w:hAnsi="Times New Roman"/>
        </w:rPr>
      </w:pPr>
      <w:r>
        <w:rPr>
          <w:rFonts w:ascii="Times New Roman" w:hAnsi="Times New Roman"/>
        </w:rPr>
        <w:t>流式检测细胞凋亡</w:t>
      </w:r>
    </w:p>
    <w:p>
      <w:pPr>
        <w:numPr>
          <w:ilvl w:val="0"/>
          <w:numId w:val="11"/>
        </w:numPr>
        <w:rPr>
          <w:rFonts w:ascii="Times New Roman" w:hAnsi="Times New Roman"/>
        </w:rPr>
      </w:pPr>
    </w:p>
    <w:p>
      <w:pPr>
        <w:numPr>
          <w:ilvl w:val="0"/>
          <w:numId w:val="11"/>
        </w:numPr>
        <w:rPr>
          <w:rFonts w:ascii="Times New Roman" w:hAnsi="Times New Roman"/>
        </w:rPr>
      </w:pPr>
      <w:r>
        <w:rPr>
          <w:rFonts w:ascii="Times New Roman" w:hAnsi="Times New Roman"/>
        </w:rPr>
        <w:t>NO、NOS水平检测</w:t>
      </w:r>
    </w:p>
    <w:p>
      <w:pPr>
        <w:ind w:left="120"/>
        <w:rPr>
          <w:rFonts w:ascii="Times New Roman" w:hAnsi="Times New Roman"/>
        </w:rPr>
      </w:pPr>
    </w:p>
    <w:p>
      <w:pPr>
        <w:numPr>
          <w:ilvl w:val="0"/>
          <w:numId w:val="11"/>
        </w:numPr>
        <w:rPr>
          <w:rFonts w:ascii="Times New Roman" w:hAnsi="Times New Roman"/>
        </w:rPr>
      </w:pPr>
      <w:r>
        <w:rPr>
          <w:rFonts w:ascii="Times New Roman" w:hAnsi="Times New Roman"/>
          <w:color w:val="000000"/>
          <w:szCs w:val="21"/>
        </w:rPr>
        <w:t>细胞转染</w:t>
      </w:r>
    </w:p>
    <w:p>
      <w:pPr>
        <w:pStyle w:val="86"/>
        <w:rPr>
          <w:rFonts w:ascii="Times New Roman" w:hAnsi="Times New Roman"/>
        </w:rPr>
      </w:pPr>
    </w:p>
    <w:p>
      <w:pPr>
        <w:numPr>
          <w:ilvl w:val="0"/>
          <w:numId w:val="11"/>
        </w:numPr>
        <w:rPr>
          <w:rFonts w:ascii="Times New Roman" w:hAnsi="Times New Roman"/>
        </w:rPr>
      </w:pPr>
      <w:r>
        <w:rPr>
          <w:rFonts w:ascii="Times New Roman" w:hAnsi="Times New Roman"/>
        </w:rPr>
        <w:t>Co-IP检测</w:t>
      </w:r>
    </w:p>
    <w:p>
      <w:pPr>
        <w:pStyle w:val="86"/>
        <w:rPr>
          <w:rFonts w:ascii="Times New Roman" w:hAnsi="Times New Roman"/>
        </w:rPr>
      </w:pPr>
    </w:p>
    <w:p>
      <w:pPr>
        <w:numPr>
          <w:ilvl w:val="0"/>
          <w:numId w:val="11"/>
        </w:numPr>
        <w:rPr>
          <w:rFonts w:ascii="Times New Roman" w:hAnsi="Times New Roman"/>
        </w:rPr>
      </w:pPr>
      <w:r>
        <w:rPr>
          <w:rFonts w:ascii="Times New Roman" w:hAnsi="Times New Roman"/>
        </w:rPr>
        <w:t>FISH 检测</w:t>
      </w:r>
    </w:p>
    <w:p>
      <w:pPr>
        <w:pStyle w:val="86"/>
        <w:rPr>
          <w:rFonts w:ascii="Times New Roman" w:hAnsi="Times New Roman"/>
        </w:rPr>
      </w:pPr>
    </w:p>
    <w:p>
      <w:pPr>
        <w:numPr>
          <w:ilvl w:val="0"/>
          <w:numId w:val="11"/>
        </w:numPr>
        <w:rPr>
          <w:rFonts w:ascii="Times New Roman" w:hAnsi="Times New Roman"/>
        </w:rPr>
      </w:pPr>
      <w:r>
        <w:rPr>
          <w:rFonts w:ascii="Times New Roman" w:hAnsi="Times New Roman"/>
        </w:rPr>
        <w:t>IHC 检测</w:t>
      </w:r>
    </w:p>
    <w:p/>
    <w:p>
      <w:pPr>
        <w:numPr>
          <w:ilvl w:val="0"/>
          <w:numId w:val="12"/>
        </w:numPr>
        <w:kinsoku w:val="0"/>
        <w:topLinePunct/>
        <w:rPr>
          <w:rFonts w:hint="eastAsia" w:ascii="宋体" w:hAnsi="Arial Narrow" w:eastAsia="宋体"/>
          <w:b/>
          <w:sz w:val="32"/>
          <w:lang w:eastAsia="zh-CN"/>
        </w:rPr>
      </w:pPr>
      <w:r>
        <w:rPr>
          <w:rFonts w:hint="eastAsia" w:ascii="宋体" w:hAnsi="Arial Narrow" w:eastAsia="宋体"/>
          <w:b/>
          <w:sz w:val="32"/>
          <w:lang w:eastAsia="zh-CN"/>
        </w:rPr>
        <w:t>完成时间</w:t>
      </w:r>
    </w:p>
    <w:p>
      <w:pPr>
        <w:numPr>
          <w:ilvl w:val="0"/>
          <w:numId w:val="0"/>
        </w:numPr>
        <w:kinsoku w:val="0"/>
        <w:topLinePunct/>
        <w:rPr>
          <w:rFonts w:hint="eastAsia" w:ascii="宋体" w:hAnsi="Arial Narrow" w:eastAsia="宋体"/>
          <w:b w:val="0"/>
          <w:bCs/>
          <w:sz w:val="28"/>
          <w:szCs w:val="28"/>
          <w:lang w:val="en-US" w:eastAsia="zh-CN"/>
        </w:rPr>
      </w:pPr>
      <w:r>
        <w:rPr>
          <w:rFonts w:hint="eastAsia" w:ascii="宋体" w:hAnsi="Arial Narrow" w:eastAsia="宋体"/>
          <w:b/>
          <w:sz w:val="32"/>
          <w:lang w:val="en-US" w:eastAsia="zh-CN"/>
        </w:rPr>
        <w:t xml:space="preserve"> </w:t>
      </w:r>
      <w:r>
        <w:rPr>
          <w:rFonts w:hint="eastAsia" w:ascii="宋体" w:hAnsi="Arial Narrow" w:eastAsia="宋体"/>
          <w:b w:val="0"/>
          <w:bCs/>
          <w:sz w:val="28"/>
          <w:szCs w:val="28"/>
          <w:lang w:val="en-US" w:eastAsia="zh-CN"/>
        </w:rPr>
        <w:t>需在签订合同后2个月内完成</w:t>
      </w:r>
    </w:p>
    <w:p>
      <w:pPr>
        <w:numPr>
          <w:ilvl w:val="0"/>
          <w:numId w:val="12"/>
        </w:numPr>
        <w:kinsoku w:val="0"/>
        <w:topLinePunct/>
        <w:ind w:left="0" w:leftChars="0" w:firstLine="0" w:firstLineChars="0"/>
        <w:rPr>
          <w:rFonts w:hint="eastAsia" w:ascii="宋体" w:hAnsi="Arial Narrow" w:eastAsia="宋体"/>
          <w:b w:val="0"/>
          <w:bCs/>
          <w:sz w:val="32"/>
          <w:szCs w:val="32"/>
          <w:lang w:val="en-US" w:eastAsia="zh-CN"/>
        </w:rPr>
      </w:pPr>
      <w:r>
        <w:rPr>
          <w:rFonts w:hint="eastAsia" w:ascii="宋体" w:hAnsi="Arial Narrow" w:eastAsia="宋体"/>
          <w:b w:val="0"/>
          <w:bCs/>
          <w:sz w:val="32"/>
          <w:szCs w:val="32"/>
          <w:lang w:val="en-US" w:eastAsia="zh-CN"/>
        </w:rPr>
        <w:t>付款</w:t>
      </w:r>
    </w:p>
    <w:p>
      <w:pPr>
        <w:numPr>
          <w:ilvl w:val="0"/>
          <w:numId w:val="0"/>
        </w:numPr>
        <w:kinsoku w:val="0"/>
        <w:topLinePunct/>
        <w:ind w:leftChars="0"/>
        <w:rPr>
          <w:rFonts w:hint="default" w:ascii="宋体" w:hAnsi="Arial Narrow" w:eastAsia="宋体"/>
          <w:b w:val="0"/>
          <w:bCs/>
          <w:sz w:val="28"/>
          <w:szCs w:val="28"/>
          <w:lang w:val="en-US" w:eastAsia="zh-CN"/>
        </w:rPr>
      </w:pPr>
      <w:r>
        <w:rPr>
          <w:rFonts w:hint="eastAsia" w:ascii="宋体" w:hAnsi="Arial Narrow" w:eastAsia="宋体"/>
          <w:b w:val="0"/>
          <w:bCs/>
          <w:sz w:val="28"/>
          <w:szCs w:val="28"/>
          <w:lang w:val="en-US" w:eastAsia="zh-CN"/>
        </w:rPr>
        <w:t xml:space="preserve"> 合同签订后凭发票支付中标金额30%货款，实验结束后凭发票支付剩余70%货款。</w:t>
      </w:r>
    </w:p>
    <w:p>
      <w:pPr>
        <w:numPr>
          <w:ilvl w:val="0"/>
          <w:numId w:val="0"/>
        </w:numPr>
        <w:kinsoku w:val="0"/>
        <w:topLinePunct/>
        <w:ind w:leftChars="0"/>
        <w:rPr>
          <w:rFonts w:hint="default" w:ascii="宋体" w:hAnsi="Arial Narrow" w:eastAsia="宋体"/>
          <w:b w:val="0"/>
          <w:bCs/>
          <w:sz w:val="28"/>
          <w:szCs w:val="28"/>
          <w:lang w:val="en-US" w:eastAsia="zh-CN"/>
        </w:rPr>
      </w:pPr>
      <w:r>
        <w:rPr>
          <w:rFonts w:hint="eastAsia" w:ascii="宋体" w:hAnsi="Arial Narrow" w:eastAsia="宋体"/>
          <w:b w:val="0"/>
          <w:bCs/>
          <w:sz w:val="28"/>
          <w:szCs w:val="28"/>
          <w:lang w:val="en-US" w:eastAsia="zh-CN"/>
        </w:rPr>
        <w:t xml:space="preserve">  </w:t>
      </w:r>
    </w:p>
    <w:p>
      <w:pPr>
        <w:framePr w:hSpace="180" w:wrap="around" w:vAnchor="text" w:hAnchor="margin" w:y="605"/>
        <w:rPr>
          <w:rFonts w:hint="eastAsia" w:ascii="宋体" w:hAnsi="宋体" w:eastAsia="宋体"/>
        </w:rPr>
      </w:pPr>
      <w:r>
        <w:rPr>
          <w:rFonts w:hint="eastAsia"/>
          <w:sz w:val="24"/>
        </w:rPr>
        <w:t xml:space="preserve">   </w:t>
      </w:r>
    </w:p>
    <w:p>
      <w:pPr>
        <w:kinsoku w:val="0"/>
        <w:wordWrap w:val="0"/>
        <w:topLinePunct/>
        <w:spacing w:line="340" w:lineRule="exact"/>
        <w:jc w:val="center"/>
        <w:rPr>
          <w:rFonts w:hint="eastAsia" w:ascii="宋体" w:hAnsi="宋体" w:eastAsia="宋体"/>
          <w:b/>
          <w:sz w:val="32"/>
        </w:rPr>
      </w:pPr>
    </w:p>
    <w:p>
      <w:pPr>
        <w:kinsoku w:val="0"/>
        <w:wordWrap w:val="0"/>
        <w:topLinePunct/>
        <w:spacing w:line="340" w:lineRule="exact"/>
        <w:jc w:val="center"/>
        <w:rPr>
          <w:rFonts w:ascii="宋体" w:hAnsi="宋体" w:eastAsia="宋体"/>
          <w:b/>
          <w:sz w:val="32"/>
        </w:rPr>
      </w:pPr>
      <w:r>
        <w:rPr>
          <w:rFonts w:hint="eastAsia" w:ascii="宋体" w:hAnsi="宋体" w:eastAsia="宋体"/>
          <w:b/>
          <w:sz w:val="32"/>
        </w:rPr>
        <w:t xml:space="preserve">第三部分   </w:t>
      </w:r>
      <w:r>
        <w:rPr>
          <w:rFonts w:hint="eastAsia" w:ascii="宋体" w:hAnsi="宋体" w:eastAsia="宋体"/>
          <w:b/>
          <w:sz w:val="32"/>
          <w:u w:val="single"/>
        </w:rPr>
        <w:t xml:space="preserve">       </w:t>
      </w:r>
      <w:r>
        <w:rPr>
          <w:rFonts w:hint="eastAsia" w:ascii="宋体" w:hAnsi="宋体" w:eastAsia="宋体"/>
          <w:b/>
          <w:sz w:val="32"/>
        </w:rPr>
        <w:t>合同（参考样本）</w:t>
      </w:r>
    </w:p>
    <w:p>
      <w:pPr>
        <w:kinsoku w:val="0"/>
        <w:wordWrap w:val="0"/>
        <w:topLinePunct/>
        <w:spacing w:line="340" w:lineRule="exact"/>
        <w:jc w:val="right"/>
        <w:rPr>
          <w:rFonts w:ascii="仿宋_GB2312" w:hAnsi="宋体"/>
          <w:sz w:val="24"/>
        </w:rPr>
      </w:pPr>
      <w:r>
        <w:rPr>
          <w:rFonts w:ascii="仿宋_GB2312" w:hAnsi="宋体"/>
          <w:sz w:val="24"/>
        </w:rPr>
        <w:t xml:space="preserve">                                     </w:t>
      </w:r>
      <w:r>
        <w:rPr>
          <w:rFonts w:hint="eastAsia" w:ascii="仿宋_GB2312" w:hAnsi="宋体"/>
          <w:sz w:val="24"/>
        </w:rPr>
        <w:t>合同编号：</w:t>
      </w:r>
      <w:r>
        <w:rPr>
          <w:rFonts w:ascii="仿宋_GB2312" w:hAnsi="宋体"/>
          <w:sz w:val="24"/>
          <w:u w:val="single"/>
        </w:rPr>
        <w:t xml:space="preserve">         </w:t>
      </w:r>
      <w:r>
        <w:rPr>
          <w:rFonts w:ascii="仿宋_GB2312" w:hAnsi="宋体"/>
          <w:sz w:val="24"/>
        </w:rPr>
        <w:t>.</w:t>
      </w:r>
    </w:p>
    <w:p>
      <w:pPr>
        <w:kinsoku w:val="0"/>
        <w:wordWrap w:val="0"/>
        <w:topLinePunct/>
        <w:spacing w:line="340" w:lineRule="exact"/>
        <w:rPr>
          <w:rFonts w:ascii="仿宋_GB2312" w:hAnsi="宋体"/>
          <w:sz w:val="24"/>
        </w:rPr>
      </w:pPr>
    </w:p>
    <w:p>
      <w:pPr>
        <w:kinsoku w:val="0"/>
        <w:wordWrap w:val="0"/>
        <w:topLinePunct/>
        <w:spacing w:line="340" w:lineRule="exact"/>
        <w:rPr>
          <w:rFonts w:ascii="仿宋_GB2312" w:hAnsi="宋体"/>
          <w:sz w:val="24"/>
        </w:rPr>
      </w:pPr>
      <w:r>
        <w:rPr>
          <w:rFonts w:hint="eastAsia" w:ascii="仿宋_GB2312" w:hAnsi="宋体"/>
          <w:sz w:val="24"/>
        </w:rPr>
        <w:t>需</w:t>
      </w:r>
      <w:r>
        <w:rPr>
          <w:rFonts w:ascii="仿宋_GB2312" w:hAnsi="宋体"/>
          <w:sz w:val="24"/>
        </w:rPr>
        <w:t xml:space="preserve">  </w:t>
      </w:r>
      <w:r>
        <w:rPr>
          <w:rFonts w:hint="eastAsia" w:ascii="仿宋_GB2312" w:hAnsi="宋体"/>
          <w:sz w:val="24"/>
        </w:rPr>
        <w:t>方（甲方）：</w:t>
      </w:r>
      <w:r>
        <w:rPr>
          <w:rFonts w:ascii="仿宋_GB2312" w:hAnsi="宋体"/>
          <w:sz w:val="24"/>
        </w:rPr>
        <w:t xml:space="preserve">                       </w:t>
      </w:r>
      <w:r>
        <w:rPr>
          <w:rFonts w:hint="eastAsia" w:ascii="仿宋_GB2312" w:hAnsi="宋体"/>
          <w:sz w:val="24"/>
        </w:rPr>
        <w:t>签订时间：</w:t>
      </w:r>
    </w:p>
    <w:p>
      <w:pPr>
        <w:kinsoku w:val="0"/>
        <w:wordWrap w:val="0"/>
        <w:topLinePunct/>
        <w:spacing w:line="340" w:lineRule="exact"/>
        <w:rPr>
          <w:rFonts w:ascii="仿宋_GB2312" w:hAnsi="宋体"/>
          <w:sz w:val="24"/>
        </w:rPr>
      </w:pPr>
      <w:r>
        <w:rPr>
          <w:rFonts w:hint="eastAsia" w:ascii="仿宋_GB2312" w:hAnsi="宋体"/>
          <w:sz w:val="24"/>
        </w:rPr>
        <w:t>供</w:t>
      </w:r>
      <w:r>
        <w:rPr>
          <w:rFonts w:ascii="仿宋_GB2312" w:hAnsi="宋体"/>
          <w:sz w:val="24"/>
        </w:rPr>
        <w:t xml:space="preserve">  </w:t>
      </w:r>
      <w:r>
        <w:rPr>
          <w:rFonts w:hint="eastAsia" w:ascii="仿宋_GB2312" w:hAnsi="宋体"/>
          <w:sz w:val="24"/>
        </w:rPr>
        <w:t xml:space="preserve">方（乙方）：  </w:t>
      </w:r>
      <w:r>
        <w:rPr>
          <w:rFonts w:ascii="仿宋_GB2312" w:hAnsi="宋体"/>
          <w:sz w:val="24"/>
        </w:rPr>
        <w:t xml:space="preserve">                     </w:t>
      </w:r>
      <w:r>
        <w:rPr>
          <w:rFonts w:hint="eastAsia" w:ascii="仿宋_GB2312" w:hAnsi="宋体"/>
          <w:sz w:val="24"/>
        </w:rPr>
        <w:t>签订地点：</w:t>
      </w:r>
    </w:p>
    <w:p>
      <w:pPr>
        <w:kinsoku w:val="0"/>
        <w:wordWrap w:val="0"/>
        <w:topLinePunct/>
        <w:spacing w:line="340" w:lineRule="exact"/>
        <w:rPr>
          <w:rFonts w:ascii="仿宋_GB2312" w:hAnsi="宋体"/>
          <w:sz w:val="24"/>
        </w:rPr>
      </w:pPr>
    </w:p>
    <w:p>
      <w:pPr>
        <w:kinsoku w:val="0"/>
        <w:wordWrap w:val="0"/>
        <w:topLinePunct/>
        <w:spacing w:line="340" w:lineRule="exact"/>
        <w:rPr>
          <w:rFonts w:ascii="仿宋_GB2312" w:hAnsi="宋体"/>
          <w:sz w:val="21"/>
        </w:rPr>
      </w:pPr>
      <w:r>
        <w:rPr>
          <w:rFonts w:ascii="仿宋_GB2312" w:hAnsi="宋体"/>
          <w:sz w:val="24"/>
        </w:rPr>
        <w:t xml:space="preserve">    </w:t>
      </w:r>
      <w:r>
        <w:rPr>
          <w:rFonts w:hint="eastAsia" w:ascii="仿宋_GB2312" w:hAnsi="宋体"/>
          <w:sz w:val="21"/>
        </w:rPr>
        <w:t>根据《中华人民共和国经济合同法》及</w:t>
      </w:r>
      <w:r>
        <w:rPr>
          <w:rFonts w:ascii="仿宋_GB2312" w:hAnsi="宋体"/>
          <w:sz w:val="21"/>
        </w:rPr>
        <w:softHyphen/>
      </w:r>
      <w:r>
        <w:rPr>
          <w:rFonts w:ascii="仿宋_GB2312" w:hAnsi="宋体"/>
          <w:sz w:val="21"/>
        </w:rPr>
        <w:softHyphen/>
      </w:r>
      <w:r>
        <w:rPr>
          <w:rFonts w:ascii="仿宋_GB2312" w:hAnsi="宋体"/>
          <w:sz w:val="21"/>
        </w:rPr>
        <w:softHyphen/>
      </w:r>
      <w:r>
        <w:rPr>
          <w:rFonts w:ascii="仿宋_GB2312" w:hAnsi="宋体"/>
          <w:sz w:val="21"/>
        </w:rPr>
        <w:softHyphen/>
      </w:r>
      <w:r>
        <w:rPr>
          <w:rFonts w:ascii="仿宋_GB2312" w:hAnsi="宋体"/>
          <w:sz w:val="21"/>
        </w:rPr>
        <w:t>______</w:t>
      </w:r>
      <w:r>
        <w:rPr>
          <w:rFonts w:hint="eastAsia" w:ascii="仿宋_GB2312" w:hAnsi="宋体"/>
          <w:sz w:val="21"/>
        </w:rPr>
        <w:t>年__月__日汕头大学医学院“</w:t>
      </w:r>
      <w:r>
        <w:rPr>
          <w:rFonts w:hint="eastAsia" w:ascii="华文仿宋" w:hAnsi="华文仿宋" w:eastAsia="华文仿宋"/>
          <w:sz w:val="21"/>
        </w:rPr>
        <w:t>医学仪器与办公设备______号</w:t>
      </w:r>
      <w:r>
        <w:rPr>
          <w:rFonts w:hint="eastAsia" w:ascii="仿宋_GB2312" w:hAnsi="宋体"/>
          <w:sz w:val="21"/>
        </w:rPr>
        <w:t>”招标文件和依据次文件产生的中标结果，经甲、乙双方平等协商，签订本合同。</w:t>
      </w:r>
    </w:p>
    <w:p>
      <w:pPr>
        <w:kinsoku w:val="0"/>
        <w:wordWrap w:val="0"/>
        <w:topLinePunct/>
        <w:spacing w:line="340" w:lineRule="exact"/>
        <w:rPr>
          <w:rFonts w:ascii="仿宋_GB2312" w:hAnsi="宋体"/>
          <w:sz w:val="21"/>
        </w:rPr>
      </w:pPr>
    </w:p>
    <w:p>
      <w:pPr>
        <w:numPr>
          <w:ilvl w:val="0"/>
          <w:numId w:val="13"/>
        </w:numPr>
        <w:kinsoku w:val="0"/>
        <w:wordWrap w:val="0"/>
        <w:topLinePunct/>
        <w:spacing w:line="340" w:lineRule="exact"/>
        <w:rPr>
          <w:rFonts w:ascii="仿宋_GB2312" w:hAnsi="宋体"/>
          <w:b/>
          <w:sz w:val="21"/>
        </w:rPr>
      </w:pPr>
      <w:r>
        <w:rPr>
          <w:rFonts w:hint="eastAsia" w:ascii="仿宋_GB2312" w:hAnsi="宋体"/>
          <w:b/>
          <w:sz w:val="21"/>
        </w:rPr>
        <w:t>设备或服务具体技术指标以供方投标书为准</w:t>
      </w:r>
    </w:p>
    <w:p>
      <w:pPr>
        <w:numPr>
          <w:ilvl w:val="0"/>
          <w:numId w:val="13"/>
        </w:numPr>
        <w:kinsoku w:val="0"/>
        <w:wordWrap w:val="0"/>
        <w:topLinePunct/>
        <w:spacing w:line="340" w:lineRule="exact"/>
        <w:rPr>
          <w:rFonts w:hint="eastAsia" w:ascii="仿宋_GB2312" w:hAnsi="宋体"/>
          <w:b/>
          <w:sz w:val="21"/>
        </w:rPr>
      </w:pPr>
      <w:r>
        <w:rPr>
          <w:rFonts w:hint="eastAsia" w:ascii="仿宋_GB2312" w:hAnsi="宋体"/>
          <w:b/>
          <w:sz w:val="21"/>
        </w:rPr>
        <w:t>服务费用报价</w:t>
      </w:r>
    </w:p>
    <w:p>
      <w:pPr>
        <w:kinsoku w:val="0"/>
        <w:wordWrap w:val="0"/>
        <w:topLinePunct/>
        <w:spacing w:line="340" w:lineRule="exact"/>
        <w:ind w:firstLine="662" w:firstLineChars="253"/>
        <w:rPr>
          <w:rFonts w:hint="eastAsia" w:ascii="仿宋_GB2312" w:hAnsi="宋体"/>
          <w:b/>
          <w:sz w:val="21"/>
        </w:rPr>
      </w:pPr>
      <w:r>
        <w:rPr>
          <w:rFonts w:hint="eastAsia" w:ascii="仿宋_GB2312" w:hAnsi="宋体"/>
          <w:b/>
          <w:sz w:val="21"/>
        </w:rPr>
        <w:t>1、服务报价：</w:t>
      </w:r>
    </w:p>
    <w:tbl>
      <w:tblPr>
        <w:tblStyle w:val="21"/>
        <w:tblW w:w="0" w:type="auto"/>
        <w:tblInd w:w="692" w:type="dxa"/>
        <w:tblLayout w:type="fixed"/>
        <w:tblCellMar>
          <w:top w:w="0" w:type="dxa"/>
          <w:left w:w="28" w:type="dxa"/>
          <w:bottom w:w="0" w:type="dxa"/>
          <w:right w:w="28" w:type="dxa"/>
        </w:tblCellMar>
      </w:tblPr>
      <w:tblGrid>
        <w:gridCol w:w="1328"/>
        <w:gridCol w:w="1031"/>
        <w:gridCol w:w="483"/>
        <w:gridCol w:w="468"/>
        <w:gridCol w:w="2323"/>
        <w:gridCol w:w="830"/>
        <w:gridCol w:w="1162"/>
      </w:tblGrid>
      <w:tr>
        <w:tblPrEx>
          <w:tblCellMar>
            <w:top w:w="0" w:type="dxa"/>
            <w:left w:w="28" w:type="dxa"/>
            <w:bottom w:w="0" w:type="dxa"/>
            <w:right w:w="28" w:type="dxa"/>
          </w:tblCellMar>
        </w:tblPrEx>
        <w:tc>
          <w:tcPr>
            <w:tcW w:w="1328" w:type="dxa"/>
            <w:tcBorders>
              <w:top w:val="single" w:color="auto" w:sz="12" w:space="0"/>
              <w:left w:val="single" w:color="auto" w:sz="12" w:space="0"/>
              <w:bottom w:val="single" w:color="auto" w:sz="6" w:space="0"/>
              <w:right w:val="single" w:color="auto" w:sz="6" w:space="0"/>
            </w:tcBorders>
            <w:noWrap w:val="0"/>
            <w:vAlign w:val="top"/>
          </w:tcPr>
          <w:p>
            <w:pPr>
              <w:kinsoku w:val="0"/>
              <w:wordWrap w:val="0"/>
              <w:topLinePunct/>
              <w:spacing w:line="340" w:lineRule="exact"/>
              <w:jc w:val="center"/>
              <w:rPr>
                <w:rFonts w:ascii="仿宋_GB2312" w:hAnsi="宋体"/>
                <w:sz w:val="21"/>
              </w:rPr>
            </w:pPr>
          </w:p>
          <w:p>
            <w:pPr>
              <w:kinsoku w:val="0"/>
              <w:wordWrap w:val="0"/>
              <w:topLinePunct/>
              <w:spacing w:line="340" w:lineRule="exact"/>
              <w:jc w:val="center"/>
              <w:rPr>
                <w:rFonts w:ascii="仿宋_GB2312" w:hAnsi="宋体"/>
                <w:sz w:val="21"/>
              </w:rPr>
            </w:pPr>
            <w:r>
              <w:rPr>
                <w:rFonts w:hint="eastAsia" w:ascii="仿宋_GB2312" w:hAnsi="宋体"/>
                <w:sz w:val="21"/>
              </w:rPr>
              <w:t>服务名称</w:t>
            </w:r>
          </w:p>
        </w:tc>
        <w:tc>
          <w:tcPr>
            <w:tcW w:w="1031" w:type="dxa"/>
            <w:tcBorders>
              <w:top w:val="single" w:color="auto" w:sz="12" w:space="0"/>
              <w:left w:val="single" w:color="auto" w:sz="6" w:space="0"/>
              <w:bottom w:val="single" w:color="auto" w:sz="6" w:space="0"/>
              <w:right w:val="single" w:color="auto" w:sz="6" w:space="0"/>
            </w:tcBorders>
            <w:noWrap w:val="0"/>
            <w:vAlign w:val="top"/>
          </w:tcPr>
          <w:p>
            <w:pPr>
              <w:kinsoku w:val="0"/>
              <w:wordWrap w:val="0"/>
              <w:topLinePunct/>
              <w:spacing w:line="340" w:lineRule="exact"/>
              <w:jc w:val="center"/>
              <w:rPr>
                <w:rFonts w:ascii="仿宋_GB2312" w:hAnsi="宋体"/>
                <w:sz w:val="21"/>
              </w:rPr>
            </w:pPr>
          </w:p>
          <w:p>
            <w:pPr>
              <w:kinsoku w:val="0"/>
              <w:wordWrap w:val="0"/>
              <w:topLinePunct/>
              <w:spacing w:line="340" w:lineRule="exact"/>
              <w:jc w:val="center"/>
              <w:rPr>
                <w:rFonts w:ascii="仿宋_GB2312" w:hAnsi="宋体"/>
                <w:sz w:val="21"/>
              </w:rPr>
            </w:pPr>
            <w:r>
              <w:rPr>
                <w:rFonts w:hint="eastAsia" w:ascii="仿宋_GB2312" w:hAnsi="宋体"/>
                <w:sz w:val="21"/>
              </w:rPr>
              <w:t>类型</w:t>
            </w:r>
          </w:p>
        </w:tc>
        <w:tc>
          <w:tcPr>
            <w:tcW w:w="483" w:type="dxa"/>
            <w:tcBorders>
              <w:top w:val="single" w:color="auto" w:sz="12" w:space="0"/>
              <w:left w:val="single" w:color="auto" w:sz="6" w:space="0"/>
              <w:bottom w:val="single" w:color="auto" w:sz="6" w:space="0"/>
              <w:right w:val="single" w:color="auto" w:sz="6" w:space="0"/>
            </w:tcBorders>
            <w:noWrap w:val="0"/>
            <w:vAlign w:val="top"/>
          </w:tcPr>
          <w:p>
            <w:pPr>
              <w:kinsoku w:val="0"/>
              <w:wordWrap w:val="0"/>
              <w:topLinePunct/>
              <w:spacing w:line="340" w:lineRule="exact"/>
              <w:jc w:val="center"/>
              <w:rPr>
                <w:rFonts w:ascii="仿宋_GB2312" w:hAnsi="宋体"/>
                <w:sz w:val="21"/>
              </w:rPr>
            </w:pPr>
            <w:r>
              <w:rPr>
                <w:rFonts w:hint="eastAsia" w:ascii="仿宋_GB2312" w:hAnsi="宋体"/>
                <w:sz w:val="21"/>
              </w:rPr>
              <w:t>数量</w:t>
            </w:r>
          </w:p>
        </w:tc>
        <w:tc>
          <w:tcPr>
            <w:tcW w:w="468" w:type="dxa"/>
            <w:tcBorders>
              <w:top w:val="single" w:color="auto" w:sz="12" w:space="0"/>
              <w:left w:val="single" w:color="auto" w:sz="6" w:space="0"/>
              <w:bottom w:val="single" w:color="auto" w:sz="6" w:space="0"/>
              <w:right w:val="single" w:color="auto" w:sz="6" w:space="0"/>
            </w:tcBorders>
            <w:noWrap w:val="0"/>
            <w:vAlign w:val="top"/>
          </w:tcPr>
          <w:p>
            <w:pPr>
              <w:kinsoku w:val="0"/>
              <w:wordWrap w:val="0"/>
              <w:topLinePunct/>
              <w:spacing w:line="340" w:lineRule="exact"/>
              <w:jc w:val="center"/>
              <w:rPr>
                <w:rFonts w:ascii="仿宋_GB2312" w:hAnsi="宋体"/>
                <w:sz w:val="21"/>
              </w:rPr>
            </w:pPr>
            <w:r>
              <w:rPr>
                <w:rFonts w:hint="eastAsia" w:ascii="仿宋_GB2312" w:hAnsi="宋体"/>
                <w:sz w:val="21"/>
              </w:rPr>
              <w:t>单位</w:t>
            </w:r>
          </w:p>
        </w:tc>
        <w:tc>
          <w:tcPr>
            <w:tcW w:w="2323" w:type="dxa"/>
            <w:tcBorders>
              <w:top w:val="single" w:color="auto" w:sz="12" w:space="0"/>
              <w:left w:val="single" w:color="auto" w:sz="6" w:space="0"/>
              <w:bottom w:val="single" w:color="auto" w:sz="6" w:space="0"/>
              <w:right w:val="single" w:color="auto" w:sz="6" w:space="0"/>
            </w:tcBorders>
            <w:noWrap w:val="0"/>
            <w:vAlign w:val="top"/>
          </w:tcPr>
          <w:p>
            <w:pPr>
              <w:kinsoku w:val="0"/>
              <w:wordWrap w:val="0"/>
              <w:topLinePunct/>
              <w:spacing w:line="340" w:lineRule="exact"/>
              <w:jc w:val="center"/>
              <w:rPr>
                <w:rFonts w:ascii="仿宋_GB2312" w:hAnsi="宋体"/>
                <w:sz w:val="21"/>
              </w:rPr>
            </w:pPr>
            <w:r>
              <w:rPr>
                <w:rFonts w:hint="eastAsia" w:ascii="仿宋_GB2312" w:hAnsi="宋体"/>
                <w:sz w:val="21"/>
              </w:rPr>
              <w:t>提供服务期限</w:t>
            </w:r>
          </w:p>
        </w:tc>
        <w:tc>
          <w:tcPr>
            <w:tcW w:w="830" w:type="dxa"/>
            <w:tcBorders>
              <w:top w:val="single" w:color="auto" w:sz="12" w:space="0"/>
              <w:left w:val="single" w:color="auto" w:sz="6" w:space="0"/>
              <w:bottom w:val="single" w:color="auto" w:sz="6" w:space="0"/>
              <w:right w:val="single" w:color="auto" w:sz="6" w:space="0"/>
            </w:tcBorders>
            <w:noWrap w:val="0"/>
            <w:vAlign w:val="top"/>
          </w:tcPr>
          <w:p>
            <w:pPr>
              <w:kinsoku w:val="0"/>
              <w:wordWrap w:val="0"/>
              <w:topLinePunct/>
              <w:spacing w:line="340" w:lineRule="exact"/>
              <w:jc w:val="center"/>
              <w:rPr>
                <w:rFonts w:ascii="仿宋_GB2312" w:hAnsi="宋体"/>
                <w:sz w:val="21"/>
              </w:rPr>
            </w:pPr>
            <w:r>
              <w:rPr>
                <w:rFonts w:hint="eastAsia" w:ascii="仿宋_GB2312" w:hAnsi="宋体"/>
                <w:sz w:val="21"/>
              </w:rPr>
              <w:t>单价</w:t>
            </w:r>
          </w:p>
          <w:p>
            <w:pPr>
              <w:kinsoku w:val="0"/>
              <w:wordWrap w:val="0"/>
              <w:topLinePunct/>
              <w:spacing w:line="340" w:lineRule="exact"/>
              <w:jc w:val="center"/>
              <w:rPr>
                <w:rFonts w:ascii="仿宋_GB2312" w:hAnsi="宋体"/>
                <w:sz w:val="21"/>
              </w:rPr>
            </w:pPr>
            <w:r>
              <w:rPr>
                <w:rFonts w:hint="eastAsia" w:ascii="仿宋_GB2312" w:hAnsi="宋体"/>
                <w:sz w:val="21"/>
              </w:rPr>
              <w:t>(元)</w:t>
            </w:r>
          </w:p>
        </w:tc>
        <w:tc>
          <w:tcPr>
            <w:tcW w:w="1162" w:type="dxa"/>
            <w:tcBorders>
              <w:top w:val="single" w:color="auto" w:sz="12" w:space="0"/>
              <w:left w:val="single" w:color="auto" w:sz="6" w:space="0"/>
              <w:bottom w:val="single" w:color="auto" w:sz="6" w:space="0"/>
              <w:right w:val="single" w:color="auto" w:sz="12" w:space="0"/>
            </w:tcBorders>
            <w:noWrap w:val="0"/>
            <w:vAlign w:val="top"/>
          </w:tcPr>
          <w:p>
            <w:pPr>
              <w:kinsoku w:val="0"/>
              <w:wordWrap w:val="0"/>
              <w:topLinePunct/>
              <w:spacing w:line="340" w:lineRule="exact"/>
              <w:jc w:val="center"/>
              <w:rPr>
                <w:rFonts w:ascii="仿宋_GB2312" w:hAnsi="宋体"/>
                <w:sz w:val="21"/>
              </w:rPr>
            </w:pPr>
            <w:r>
              <w:rPr>
                <w:rFonts w:hint="eastAsia" w:ascii="仿宋_GB2312" w:hAnsi="宋体"/>
                <w:sz w:val="21"/>
              </w:rPr>
              <w:t>总价</w:t>
            </w:r>
          </w:p>
          <w:p>
            <w:pPr>
              <w:kinsoku w:val="0"/>
              <w:wordWrap w:val="0"/>
              <w:topLinePunct/>
              <w:spacing w:line="340" w:lineRule="exact"/>
              <w:jc w:val="center"/>
              <w:rPr>
                <w:rFonts w:ascii="仿宋_GB2312" w:hAnsi="宋体"/>
                <w:sz w:val="21"/>
              </w:rPr>
            </w:pPr>
            <w:r>
              <w:rPr>
                <w:rFonts w:hint="eastAsia" w:ascii="仿宋_GB2312" w:hAnsi="宋体"/>
                <w:sz w:val="21"/>
              </w:rPr>
              <w:t>(元)</w:t>
            </w:r>
          </w:p>
        </w:tc>
      </w:tr>
      <w:tr>
        <w:tblPrEx>
          <w:tblCellMar>
            <w:top w:w="0" w:type="dxa"/>
            <w:left w:w="28" w:type="dxa"/>
            <w:bottom w:w="0" w:type="dxa"/>
            <w:right w:w="28" w:type="dxa"/>
          </w:tblCellMar>
        </w:tblPrEx>
        <w:trPr>
          <w:trHeight w:val="1005" w:hRule="atLeast"/>
        </w:trPr>
        <w:tc>
          <w:tcPr>
            <w:tcW w:w="1328" w:type="dxa"/>
            <w:tcBorders>
              <w:top w:val="single" w:color="auto" w:sz="6" w:space="0"/>
              <w:left w:val="single" w:color="auto" w:sz="12" w:space="0"/>
              <w:bottom w:val="single" w:color="auto" w:sz="6" w:space="0"/>
              <w:right w:val="single" w:color="auto" w:sz="6" w:space="0"/>
            </w:tcBorders>
            <w:noWrap w:val="0"/>
            <w:vAlign w:val="top"/>
          </w:tcPr>
          <w:p>
            <w:pPr>
              <w:kinsoku w:val="0"/>
              <w:wordWrap w:val="0"/>
              <w:topLinePunct/>
              <w:spacing w:line="340" w:lineRule="exact"/>
              <w:rPr>
                <w:rFonts w:ascii="仿宋_GB2312" w:hAnsi="宋体"/>
                <w:sz w:val="21"/>
              </w:rPr>
            </w:pPr>
          </w:p>
        </w:tc>
        <w:tc>
          <w:tcPr>
            <w:tcW w:w="1031" w:type="dxa"/>
            <w:tcBorders>
              <w:top w:val="single" w:color="auto" w:sz="6" w:space="0"/>
              <w:left w:val="single" w:color="auto" w:sz="6" w:space="0"/>
              <w:bottom w:val="single" w:color="auto" w:sz="6" w:space="0"/>
              <w:right w:val="single" w:color="auto" w:sz="6" w:space="0"/>
            </w:tcBorders>
            <w:noWrap w:val="0"/>
            <w:vAlign w:val="top"/>
          </w:tcPr>
          <w:p>
            <w:pPr>
              <w:kinsoku w:val="0"/>
              <w:wordWrap w:val="0"/>
              <w:topLinePunct/>
              <w:spacing w:line="340" w:lineRule="exact"/>
              <w:rPr>
                <w:rFonts w:ascii="仿宋_GB2312" w:hAnsi="宋体"/>
                <w:sz w:val="21"/>
              </w:rPr>
            </w:pPr>
          </w:p>
        </w:tc>
        <w:tc>
          <w:tcPr>
            <w:tcW w:w="483" w:type="dxa"/>
            <w:tcBorders>
              <w:top w:val="single" w:color="auto" w:sz="6" w:space="0"/>
              <w:left w:val="single" w:color="auto" w:sz="6" w:space="0"/>
              <w:bottom w:val="single" w:color="auto" w:sz="6" w:space="0"/>
              <w:right w:val="single" w:color="auto" w:sz="6" w:space="0"/>
            </w:tcBorders>
            <w:noWrap w:val="0"/>
            <w:vAlign w:val="top"/>
          </w:tcPr>
          <w:p>
            <w:pPr>
              <w:kinsoku w:val="0"/>
              <w:wordWrap w:val="0"/>
              <w:topLinePunct/>
              <w:spacing w:line="340" w:lineRule="exact"/>
              <w:rPr>
                <w:rFonts w:ascii="仿宋_GB2312" w:hAnsi="宋体"/>
                <w:sz w:val="21"/>
              </w:rPr>
            </w:pPr>
          </w:p>
        </w:tc>
        <w:tc>
          <w:tcPr>
            <w:tcW w:w="468" w:type="dxa"/>
            <w:tcBorders>
              <w:top w:val="single" w:color="auto" w:sz="6" w:space="0"/>
              <w:left w:val="single" w:color="auto" w:sz="6" w:space="0"/>
              <w:bottom w:val="single" w:color="auto" w:sz="6" w:space="0"/>
              <w:right w:val="single" w:color="auto" w:sz="6" w:space="0"/>
            </w:tcBorders>
            <w:noWrap w:val="0"/>
            <w:vAlign w:val="top"/>
          </w:tcPr>
          <w:p>
            <w:pPr>
              <w:kinsoku w:val="0"/>
              <w:wordWrap w:val="0"/>
              <w:topLinePunct/>
              <w:spacing w:line="340" w:lineRule="exact"/>
              <w:rPr>
                <w:rFonts w:ascii="仿宋_GB2312" w:hAnsi="宋体"/>
                <w:sz w:val="21"/>
              </w:rPr>
            </w:pPr>
          </w:p>
        </w:tc>
        <w:tc>
          <w:tcPr>
            <w:tcW w:w="2323" w:type="dxa"/>
            <w:tcBorders>
              <w:top w:val="single" w:color="auto" w:sz="6" w:space="0"/>
              <w:left w:val="single" w:color="auto" w:sz="6" w:space="0"/>
              <w:bottom w:val="single" w:color="auto" w:sz="6" w:space="0"/>
              <w:right w:val="single" w:color="auto" w:sz="6" w:space="0"/>
            </w:tcBorders>
            <w:noWrap w:val="0"/>
            <w:vAlign w:val="top"/>
          </w:tcPr>
          <w:p>
            <w:pPr>
              <w:kinsoku w:val="0"/>
              <w:wordWrap w:val="0"/>
              <w:topLinePunct/>
              <w:spacing w:line="340" w:lineRule="exact"/>
              <w:rPr>
                <w:rFonts w:ascii="仿宋_GB2312" w:hAnsi="宋体"/>
                <w:sz w:val="21"/>
              </w:rPr>
            </w:pPr>
          </w:p>
        </w:tc>
        <w:tc>
          <w:tcPr>
            <w:tcW w:w="830" w:type="dxa"/>
            <w:tcBorders>
              <w:top w:val="single" w:color="auto" w:sz="6" w:space="0"/>
              <w:left w:val="single" w:color="auto" w:sz="6" w:space="0"/>
              <w:bottom w:val="single" w:color="auto" w:sz="6" w:space="0"/>
              <w:right w:val="single" w:color="auto" w:sz="6" w:space="0"/>
            </w:tcBorders>
            <w:noWrap w:val="0"/>
            <w:vAlign w:val="top"/>
          </w:tcPr>
          <w:p>
            <w:pPr>
              <w:kinsoku w:val="0"/>
              <w:wordWrap w:val="0"/>
              <w:topLinePunct/>
              <w:spacing w:line="340" w:lineRule="exact"/>
              <w:rPr>
                <w:rFonts w:ascii="仿宋_GB2312" w:hAnsi="宋体"/>
                <w:sz w:val="21"/>
              </w:rPr>
            </w:pPr>
          </w:p>
        </w:tc>
        <w:tc>
          <w:tcPr>
            <w:tcW w:w="1162" w:type="dxa"/>
            <w:tcBorders>
              <w:top w:val="single" w:color="auto" w:sz="6" w:space="0"/>
              <w:left w:val="single" w:color="auto" w:sz="6" w:space="0"/>
              <w:bottom w:val="single" w:color="auto" w:sz="6" w:space="0"/>
              <w:right w:val="single" w:color="auto" w:sz="12" w:space="0"/>
            </w:tcBorders>
            <w:noWrap w:val="0"/>
            <w:vAlign w:val="top"/>
          </w:tcPr>
          <w:p>
            <w:pPr>
              <w:kinsoku w:val="0"/>
              <w:wordWrap w:val="0"/>
              <w:topLinePunct/>
              <w:spacing w:line="340" w:lineRule="exact"/>
              <w:rPr>
                <w:rFonts w:ascii="仿宋_GB2312" w:hAnsi="宋体"/>
                <w:sz w:val="21"/>
              </w:rPr>
            </w:pPr>
          </w:p>
        </w:tc>
      </w:tr>
      <w:tr>
        <w:tblPrEx>
          <w:tblCellMar>
            <w:top w:w="0" w:type="dxa"/>
            <w:left w:w="28" w:type="dxa"/>
            <w:bottom w:w="0" w:type="dxa"/>
            <w:right w:w="28" w:type="dxa"/>
          </w:tblCellMar>
        </w:tblPrEx>
        <w:tc>
          <w:tcPr>
            <w:tcW w:w="1328" w:type="dxa"/>
            <w:tcBorders>
              <w:top w:val="single" w:color="auto" w:sz="6" w:space="0"/>
              <w:left w:val="single" w:color="auto" w:sz="12" w:space="0"/>
              <w:bottom w:val="single" w:color="auto" w:sz="6" w:space="0"/>
              <w:right w:val="single" w:color="auto" w:sz="6" w:space="0"/>
            </w:tcBorders>
            <w:noWrap w:val="0"/>
            <w:vAlign w:val="top"/>
          </w:tcPr>
          <w:p>
            <w:pPr>
              <w:kinsoku w:val="0"/>
              <w:wordWrap w:val="0"/>
              <w:topLinePunct/>
              <w:spacing w:line="340" w:lineRule="exact"/>
              <w:rPr>
                <w:rFonts w:ascii="仿宋_GB2312" w:hAnsi="宋体"/>
                <w:sz w:val="21"/>
              </w:rPr>
            </w:pPr>
          </w:p>
        </w:tc>
        <w:tc>
          <w:tcPr>
            <w:tcW w:w="1031" w:type="dxa"/>
            <w:tcBorders>
              <w:top w:val="single" w:color="auto" w:sz="6" w:space="0"/>
              <w:left w:val="single" w:color="auto" w:sz="6" w:space="0"/>
              <w:bottom w:val="single" w:color="auto" w:sz="6" w:space="0"/>
              <w:right w:val="single" w:color="auto" w:sz="6" w:space="0"/>
            </w:tcBorders>
            <w:noWrap w:val="0"/>
            <w:vAlign w:val="top"/>
          </w:tcPr>
          <w:p>
            <w:pPr>
              <w:kinsoku w:val="0"/>
              <w:wordWrap w:val="0"/>
              <w:topLinePunct/>
              <w:spacing w:line="340" w:lineRule="exact"/>
              <w:rPr>
                <w:rFonts w:ascii="仿宋_GB2312" w:hAnsi="宋体"/>
                <w:sz w:val="21"/>
              </w:rPr>
            </w:pPr>
          </w:p>
        </w:tc>
        <w:tc>
          <w:tcPr>
            <w:tcW w:w="483" w:type="dxa"/>
            <w:tcBorders>
              <w:top w:val="single" w:color="auto" w:sz="6" w:space="0"/>
              <w:left w:val="single" w:color="auto" w:sz="6" w:space="0"/>
              <w:bottom w:val="single" w:color="auto" w:sz="6" w:space="0"/>
              <w:right w:val="single" w:color="auto" w:sz="6" w:space="0"/>
            </w:tcBorders>
            <w:noWrap w:val="0"/>
            <w:vAlign w:val="top"/>
          </w:tcPr>
          <w:p>
            <w:pPr>
              <w:kinsoku w:val="0"/>
              <w:wordWrap w:val="0"/>
              <w:topLinePunct/>
              <w:spacing w:line="340" w:lineRule="exact"/>
              <w:rPr>
                <w:rFonts w:ascii="仿宋_GB2312" w:hAnsi="宋体"/>
                <w:sz w:val="21"/>
              </w:rPr>
            </w:pPr>
          </w:p>
        </w:tc>
        <w:tc>
          <w:tcPr>
            <w:tcW w:w="468" w:type="dxa"/>
            <w:tcBorders>
              <w:top w:val="single" w:color="auto" w:sz="6" w:space="0"/>
              <w:left w:val="single" w:color="auto" w:sz="6" w:space="0"/>
              <w:bottom w:val="single" w:color="auto" w:sz="6" w:space="0"/>
              <w:right w:val="single" w:color="auto" w:sz="6" w:space="0"/>
            </w:tcBorders>
            <w:noWrap w:val="0"/>
            <w:vAlign w:val="top"/>
          </w:tcPr>
          <w:p>
            <w:pPr>
              <w:kinsoku w:val="0"/>
              <w:wordWrap w:val="0"/>
              <w:topLinePunct/>
              <w:spacing w:line="340" w:lineRule="exact"/>
              <w:rPr>
                <w:rFonts w:ascii="仿宋_GB2312" w:hAnsi="宋体"/>
                <w:sz w:val="21"/>
              </w:rPr>
            </w:pPr>
          </w:p>
        </w:tc>
        <w:tc>
          <w:tcPr>
            <w:tcW w:w="2323" w:type="dxa"/>
            <w:tcBorders>
              <w:top w:val="single" w:color="auto" w:sz="6" w:space="0"/>
              <w:left w:val="single" w:color="auto" w:sz="6" w:space="0"/>
              <w:bottom w:val="single" w:color="auto" w:sz="6" w:space="0"/>
              <w:right w:val="single" w:color="auto" w:sz="6" w:space="0"/>
            </w:tcBorders>
            <w:noWrap w:val="0"/>
            <w:vAlign w:val="top"/>
          </w:tcPr>
          <w:p>
            <w:pPr>
              <w:kinsoku w:val="0"/>
              <w:wordWrap w:val="0"/>
              <w:topLinePunct/>
              <w:spacing w:line="340" w:lineRule="exact"/>
              <w:rPr>
                <w:rFonts w:ascii="仿宋_GB2312" w:hAnsi="宋体"/>
                <w:sz w:val="21"/>
              </w:rPr>
            </w:pPr>
          </w:p>
        </w:tc>
        <w:tc>
          <w:tcPr>
            <w:tcW w:w="830" w:type="dxa"/>
            <w:tcBorders>
              <w:top w:val="single" w:color="auto" w:sz="6" w:space="0"/>
              <w:left w:val="single" w:color="auto" w:sz="6" w:space="0"/>
              <w:bottom w:val="single" w:color="auto" w:sz="6" w:space="0"/>
              <w:right w:val="single" w:color="auto" w:sz="6" w:space="0"/>
            </w:tcBorders>
            <w:noWrap w:val="0"/>
            <w:vAlign w:val="top"/>
          </w:tcPr>
          <w:p>
            <w:pPr>
              <w:kinsoku w:val="0"/>
              <w:wordWrap w:val="0"/>
              <w:topLinePunct/>
              <w:spacing w:line="340" w:lineRule="exact"/>
              <w:rPr>
                <w:rFonts w:ascii="仿宋_GB2312" w:hAnsi="宋体"/>
                <w:sz w:val="21"/>
              </w:rPr>
            </w:pPr>
          </w:p>
        </w:tc>
        <w:tc>
          <w:tcPr>
            <w:tcW w:w="1162" w:type="dxa"/>
            <w:tcBorders>
              <w:top w:val="single" w:color="auto" w:sz="6" w:space="0"/>
              <w:left w:val="single" w:color="auto" w:sz="6" w:space="0"/>
              <w:bottom w:val="single" w:color="auto" w:sz="6" w:space="0"/>
              <w:right w:val="single" w:color="auto" w:sz="12" w:space="0"/>
            </w:tcBorders>
            <w:noWrap w:val="0"/>
            <w:vAlign w:val="top"/>
          </w:tcPr>
          <w:p>
            <w:pPr>
              <w:kinsoku w:val="0"/>
              <w:wordWrap w:val="0"/>
              <w:topLinePunct/>
              <w:spacing w:line="340" w:lineRule="exact"/>
              <w:rPr>
                <w:rFonts w:ascii="仿宋_GB2312" w:hAnsi="宋体"/>
                <w:sz w:val="21"/>
              </w:rPr>
            </w:pPr>
          </w:p>
        </w:tc>
      </w:tr>
    </w:tbl>
    <w:p>
      <w:pPr>
        <w:kinsoku w:val="0"/>
        <w:wordWrap w:val="0"/>
        <w:topLinePunct/>
        <w:spacing w:line="340" w:lineRule="exact"/>
        <w:rPr>
          <w:rFonts w:hint="eastAsia" w:ascii="仿宋_GB2312" w:hAnsi="宋体"/>
          <w:b/>
          <w:sz w:val="21"/>
        </w:rPr>
      </w:pPr>
      <w:r>
        <w:rPr>
          <w:rFonts w:hint="eastAsia" w:ascii="仿宋_GB2312" w:hAnsi="宋体"/>
          <w:b/>
          <w:sz w:val="21"/>
        </w:rPr>
        <w:t xml:space="preserve">     2.设备报价</w:t>
      </w:r>
    </w:p>
    <w:p>
      <w:pPr>
        <w:kinsoku w:val="0"/>
        <w:wordWrap w:val="0"/>
        <w:topLinePunct/>
        <w:spacing w:line="340" w:lineRule="exact"/>
        <w:rPr>
          <w:rFonts w:hint="eastAsia" w:ascii="仿宋_GB2312" w:hAnsi="宋体"/>
          <w:b/>
          <w:sz w:val="21"/>
        </w:rPr>
      </w:pPr>
      <w:r>
        <w:rPr>
          <w:rFonts w:hint="eastAsia" w:ascii="仿宋_GB2312" w:hAnsi="宋体"/>
          <w:b/>
          <w:sz w:val="21"/>
        </w:rPr>
        <w:t xml:space="preserve">     </w:t>
      </w:r>
    </w:p>
    <w:tbl>
      <w:tblPr>
        <w:tblStyle w:val="21"/>
        <w:tblW w:w="0" w:type="auto"/>
        <w:tblInd w:w="692" w:type="dxa"/>
        <w:tblLayout w:type="fixed"/>
        <w:tblCellMar>
          <w:top w:w="0" w:type="dxa"/>
          <w:left w:w="28" w:type="dxa"/>
          <w:bottom w:w="0" w:type="dxa"/>
          <w:right w:w="28" w:type="dxa"/>
        </w:tblCellMar>
      </w:tblPr>
      <w:tblGrid>
        <w:gridCol w:w="1328"/>
        <w:gridCol w:w="1031"/>
        <w:gridCol w:w="1173"/>
        <w:gridCol w:w="483"/>
        <w:gridCol w:w="468"/>
        <w:gridCol w:w="2323"/>
        <w:gridCol w:w="830"/>
        <w:gridCol w:w="1162"/>
      </w:tblGrid>
      <w:tr>
        <w:tblPrEx>
          <w:tblCellMar>
            <w:top w:w="0" w:type="dxa"/>
            <w:left w:w="28" w:type="dxa"/>
            <w:bottom w:w="0" w:type="dxa"/>
            <w:right w:w="28" w:type="dxa"/>
          </w:tblCellMar>
        </w:tblPrEx>
        <w:tc>
          <w:tcPr>
            <w:tcW w:w="1328" w:type="dxa"/>
            <w:tcBorders>
              <w:top w:val="single" w:color="auto" w:sz="12" w:space="0"/>
              <w:left w:val="single" w:color="auto" w:sz="12" w:space="0"/>
              <w:bottom w:val="single" w:color="auto" w:sz="6" w:space="0"/>
              <w:right w:val="single" w:color="auto" w:sz="6" w:space="0"/>
            </w:tcBorders>
            <w:noWrap w:val="0"/>
            <w:vAlign w:val="top"/>
          </w:tcPr>
          <w:p>
            <w:pPr>
              <w:kinsoku w:val="0"/>
              <w:wordWrap w:val="0"/>
              <w:topLinePunct/>
              <w:spacing w:line="340" w:lineRule="exact"/>
              <w:jc w:val="center"/>
              <w:rPr>
                <w:rFonts w:ascii="仿宋_GB2312" w:hAnsi="宋体"/>
                <w:sz w:val="21"/>
              </w:rPr>
            </w:pPr>
          </w:p>
          <w:p>
            <w:pPr>
              <w:kinsoku w:val="0"/>
              <w:wordWrap w:val="0"/>
              <w:topLinePunct/>
              <w:spacing w:line="340" w:lineRule="exact"/>
              <w:jc w:val="center"/>
              <w:rPr>
                <w:rFonts w:ascii="仿宋_GB2312" w:hAnsi="宋体"/>
                <w:sz w:val="21"/>
              </w:rPr>
            </w:pPr>
            <w:r>
              <w:rPr>
                <w:rFonts w:hint="eastAsia" w:ascii="仿宋_GB2312" w:hAnsi="宋体"/>
                <w:sz w:val="21"/>
              </w:rPr>
              <w:t>货物名称</w:t>
            </w:r>
          </w:p>
        </w:tc>
        <w:tc>
          <w:tcPr>
            <w:tcW w:w="1031" w:type="dxa"/>
            <w:tcBorders>
              <w:top w:val="single" w:color="auto" w:sz="12" w:space="0"/>
              <w:left w:val="single" w:color="auto" w:sz="6" w:space="0"/>
              <w:bottom w:val="single" w:color="auto" w:sz="6" w:space="0"/>
              <w:right w:val="single" w:color="auto" w:sz="6" w:space="0"/>
            </w:tcBorders>
            <w:noWrap w:val="0"/>
            <w:vAlign w:val="top"/>
          </w:tcPr>
          <w:p>
            <w:pPr>
              <w:kinsoku w:val="0"/>
              <w:wordWrap w:val="0"/>
              <w:topLinePunct/>
              <w:spacing w:line="340" w:lineRule="exact"/>
              <w:jc w:val="center"/>
              <w:rPr>
                <w:rFonts w:ascii="仿宋_GB2312" w:hAnsi="宋体"/>
                <w:sz w:val="21"/>
              </w:rPr>
            </w:pPr>
          </w:p>
          <w:p>
            <w:pPr>
              <w:kinsoku w:val="0"/>
              <w:wordWrap w:val="0"/>
              <w:topLinePunct/>
              <w:spacing w:line="340" w:lineRule="exact"/>
              <w:jc w:val="center"/>
              <w:rPr>
                <w:rFonts w:ascii="仿宋_GB2312" w:hAnsi="宋体"/>
                <w:sz w:val="21"/>
              </w:rPr>
            </w:pPr>
            <w:r>
              <w:rPr>
                <w:rFonts w:hint="eastAsia" w:ascii="仿宋_GB2312" w:hAnsi="宋体"/>
                <w:sz w:val="21"/>
              </w:rPr>
              <w:t>型号</w:t>
            </w:r>
          </w:p>
        </w:tc>
        <w:tc>
          <w:tcPr>
            <w:tcW w:w="1173" w:type="dxa"/>
            <w:tcBorders>
              <w:top w:val="single" w:color="auto" w:sz="12" w:space="0"/>
              <w:left w:val="single" w:color="auto" w:sz="6" w:space="0"/>
              <w:bottom w:val="single" w:color="auto" w:sz="6" w:space="0"/>
              <w:right w:val="single" w:color="auto" w:sz="6" w:space="0"/>
            </w:tcBorders>
            <w:noWrap w:val="0"/>
            <w:vAlign w:val="top"/>
          </w:tcPr>
          <w:p>
            <w:pPr>
              <w:kinsoku w:val="0"/>
              <w:wordWrap w:val="0"/>
              <w:topLinePunct/>
              <w:spacing w:line="340" w:lineRule="exact"/>
              <w:jc w:val="center"/>
              <w:rPr>
                <w:rFonts w:ascii="仿宋_GB2312" w:hAnsi="宋体"/>
                <w:sz w:val="21"/>
              </w:rPr>
            </w:pPr>
            <w:r>
              <w:rPr>
                <w:rFonts w:hint="eastAsia" w:ascii="仿宋_GB2312" w:hAnsi="宋体"/>
                <w:sz w:val="21"/>
              </w:rPr>
              <w:t>厂家及</w:t>
            </w:r>
          </w:p>
          <w:p>
            <w:pPr>
              <w:kinsoku w:val="0"/>
              <w:wordWrap w:val="0"/>
              <w:topLinePunct/>
              <w:spacing w:line="340" w:lineRule="exact"/>
              <w:jc w:val="center"/>
              <w:rPr>
                <w:rFonts w:ascii="仿宋_GB2312" w:hAnsi="宋体"/>
                <w:sz w:val="21"/>
              </w:rPr>
            </w:pPr>
            <w:r>
              <w:rPr>
                <w:rFonts w:hint="eastAsia" w:ascii="仿宋_GB2312" w:hAnsi="宋体"/>
                <w:sz w:val="21"/>
              </w:rPr>
              <w:t>产地</w:t>
            </w:r>
          </w:p>
        </w:tc>
        <w:tc>
          <w:tcPr>
            <w:tcW w:w="483" w:type="dxa"/>
            <w:tcBorders>
              <w:top w:val="single" w:color="auto" w:sz="12" w:space="0"/>
              <w:left w:val="single" w:color="auto" w:sz="6" w:space="0"/>
              <w:bottom w:val="single" w:color="auto" w:sz="6" w:space="0"/>
              <w:right w:val="single" w:color="auto" w:sz="6" w:space="0"/>
            </w:tcBorders>
            <w:noWrap w:val="0"/>
            <w:vAlign w:val="top"/>
          </w:tcPr>
          <w:p>
            <w:pPr>
              <w:kinsoku w:val="0"/>
              <w:wordWrap w:val="0"/>
              <w:topLinePunct/>
              <w:spacing w:line="340" w:lineRule="exact"/>
              <w:jc w:val="center"/>
              <w:rPr>
                <w:rFonts w:ascii="仿宋_GB2312" w:hAnsi="宋体"/>
                <w:sz w:val="21"/>
              </w:rPr>
            </w:pPr>
            <w:r>
              <w:rPr>
                <w:rFonts w:hint="eastAsia" w:ascii="仿宋_GB2312" w:hAnsi="宋体"/>
                <w:sz w:val="21"/>
              </w:rPr>
              <w:t>数量</w:t>
            </w:r>
          </w:p>
        </w:tc>
        <w:tc>
          <w:tcPr>
            <w:tcW w:w="468" w:type="dxa"/>
            <w:tcBorders>
              <w:top w:val="single" w:color="auto" w:sz="12" w:space="0"/>
              <w:left w:val="single" w:color="auto" w:sz="6" w:space="0"/>
              <w:bottom w:val="single" w:color="auto" w:sz="6" w:space="0"/>
              <w:right w:val="single" w:color="auto" w:sz="6" w:space="0"/>
            </w:tcBorders>
            <w:noWrap w:val="0"/>
            <w:vAlign w:val="top"/>
          </w:tcPr>
          <w:p>
            <w:pPr>
              <w:kinsoku w:val="0"/>
              <w:wordWrap w:val="0"/>
              <w:topLinePunct/>
              <w:spacing w:line="340" w:lineRule="exact"/>
              <w:jc w:val="center"/>
              <w:rPr>
                <w:rFonts w:ascii="仿宋_GB2312" w:hAnsi="宋体"/>
                <w:sz w:val="21"/>
              </w:rPr>
            </w:pPr>
            <w:r>
              <w:rPr>
                <w:rFonts w:hint="eastAsia" w:ascii="仿宋_GB2312" w:hAnsi="宋体"/>
                <w:sz w:val="21"/>
              </w:rPr>
              <w:t>单位</w:t>
            </w:r>
          </w:p>
        </w:tc>
        <w:tc>
          <w:tcPr>
            <w:tcW w:w="2323" w:type="dxa"/>
            <w:tcBorders>
              <w:top w:val="single" w:color="auto" w:sz="12" w:space="0"/>
              <w:left w:val="single" w:color="auto" w:sz="6" w:space="0"/>
              <w:bottom w:val="single" w:color="auto" w:sz="6" w:space="0"/>
              <w:right w:val="single" w:color="auto" w:sz="6" w:space="0"/>
            </w:tcBorders>
            <w:noWrap w:val="0"/>
            <w:vAlign w:val="top"/>
          </w:tcPr>
          <w:p>
            <w:pPr>
              <w:kinsoku w:val="0"/>
              <w:wordWrap w:val="0"/>
              <w:topLinePunct/>
              <w:spacing w:line="340" w:lineRule="exact"/>
              <w:jc w:val="center"/>
              <w:rPr>
                <w:rFonts w:ascii="仿宋_GB2312" w:hAnsi="宋体"/>
                <w:sz w:val="21"/>
              </w:rPr>
            </w:pPr>
            <w:r>
              <w:rPr>
                <w:rFonts w:hint="eastAsia" w:ascii="仿宋_GB2312" w:hAnsi="宋体"/>
                <w:sz w:val="21"/>
              </w:rPr>
              <w:t>随机配件</w:t>
            </w:r>
          </w:p>
          <w:p>
            <w:pPr>
              <w:kinsoku w:val="0"/>
              <w:wordWrap w:val="0"/>
              <w:topLinePunct/>
              <w:spacing w:line="340" w:lineRule="exact"/>
              <w:jc w:val="center"/>
              <w:rPr>
                <w:rFonts w:ascii="仿宋_GB2312" w:hAnsi="宋体"/>
                <w:sz w:val="21"/>
              </w:rPr>
            </w:pPr>
            <w:r>
              <w:rPr>
                <w:rFonts w:hint="eastAsia" w:ascii="仿宋_GB2312" w:hAnsi="宋体"/>
                <w:sz w:val="21"/>
              </w:rPr>
              <w:t>(备用)工具</w:t>
            </w:r>
          </w:p>
        </w:tc>
        <w:tc>
          <w:tcPr>
            <w:tcW w:w="830" w:type="dxa"/>
            <w:tcBorders>
              <w:top w:val="single" w:color="auto" w:sz="12" w:space="0"/>
              <w:left w:val="single" w:color="auto" w:sz="6" w:space="0"/>
              <w:bottom w:val="single" w:color="auto" w:sz="6" w:space="0"/>
              <w:right w:val="single" w:color="auto" w:sz="6" w:space="0"/>
            </w:tcBorders>
            <w:noWrap w:val="0"/>
            <w:vAlign w:val="top"/>
          </w:tcPr>
          <w:p>
            <w:pPr>
              <w:kinsoku w:val="0"/>
              <w:wordWrap w:val="0"/>
              <w:topLinePunct/>
              <w:spacing w:line="340" w:lineRule="exact"/>
              <w:jc w:val="center"/>
              <w:rPr>
                <w:rFonts w:ascii="仿宋_GB2312" w:hAnsi="宋体"/>
                <w:sz w:val="21"/>
              </w:rPr>
            </w:pPr>
            <w:r>
              <w:rPr>
                <w:rFonts w:hint="eastAsia" w:ascii="仿宋_GB2312" w:hAnsi="宋体"/>
                <w:sz w:val="21"/>
              </w:rPr>
              <w:t>单价</w:t>
            </w:r>
          </w:p>
          <w:p>
            <w:pPr>
              <w:kinsoku w:val="0"/>
              <w:wordWrap w:val="0"/>
              <w:topLinePunct/>
              <w:spacing w:line="340" w:lineRule="exact"/>
              <w:jc w:val="center"/>
              <w:rPr>
                <w:rFonts w:ascii="仿宋_GB2312" w:hAnsi="宋体"/>
                <w:sz w:val="21"/>
              </w:rPr>
            </w:pPr>
            <w:r>
              <w:rPr>
                <w:rFonts w:hint="eastAsia" w:ascii="仿宋_GB2312" w:hAnsi="宋体"/>
                <w:sz w:val="21"/>
              </w:rPr>
              <w:t>(元)</w:t>
            </w:r>
          </w:p>
        </w:tc>
        <w:tc>
          <w:tcPr>
            <w:tcW w:w="1162" w:type="dxa"/>
            <w:tcBorders>
              <w:top w:val="single" w:color="auto" w:sz="12" w:space="0"/>
              <w:left w:val="single" w:color="auto" w:sz="6" w:space="0"/>
              <w:bottom w:val="single" w:color="auto" w:sz="6" w:space="0"/>
              <w:right w:val="single" w:color="auto" w:sz="12" w:space="0"/>
            </w:tcBorders>
            <w:noWrap w:val="0"/>
            <w:vAlign w:val="top"/>
          </w:tcPr>
          <w:p>
            <w:pPr>
              <w:kinsoku w:val="0"/>
              <w:wordWrap w:val="0"/>
              <w:topLinePunct/>
              <w:spacing w:line="340" w:lineRule="exact"/>
              <w:jc w:val="center"/>
              <w:rPr>
                <w:rFonts w:ascii="仿宋_GB2312" w:hAnsi="宋体"/>
                <w:sz w:val="21"/>
              </w:rPr>
            </w:pPr>
            <w:r>
              <w:rPr>
                <w:rFonts w:hint="eastAsia" w:ascii="仿宋_GB2312" w:hAnsi="宋体"/>
                <w:sz w:val="21"/>
              </w:rPr>
              <w:t>总价</w:t>
            </w:r>
          </w:p>
          <w:p>
            <w:pPr>
              <w:kinsoku w:val="0"/>
              <w:wordWrap w:val="0"/>
              <w:topLinePunct/>
              <w:spacing w:line="340" w:lineRule="exact"/>
              <w:jc w:val="center"/>
              <w:rPr>
                <w:rFonts w:ascii="仿宋_GB2312" w:hAnsi="宋体"/>
                <w:sz w:val="21"/>
              </w:rPr>
            </w:pPr>
            <w:r>
              <w:rPr>
                <w:rFonts w:hint="eastAsia" w:ascii="仿宋_GB2312" w:hAnsi="宋体"/>
                <w:sz w:val="21"/>
              </w:rPr>
              <w:t>(元)</w:t>
            </w:r>
          </w:p>
        </w:tc>
      </w:tr>
      <w:tr>
        <w:tblPrEx>
          <w:tblCellMar>
            <w:top w:w="0" w:type="dxa"/>
            <w:left w:w="28" w:type="dxa"/>
            <w:bottom w:w="0" w:type="dxa"/>
            <w:right w:w="28" w:type="dxa"/>
          </w:tblCellMar>
        </w:tblPrEx>
        <w:trPr>
          <w:trHeight w:val="1005" w:hRule="atLeast"/>
        </w:trPr>
        <w:tc>
          <w:tcPr>
            <w:tcW w:w="1328" w:type="dxa"/>
            <w:tcBorders>
              <w:top w:val="single" w:color="auto" w:sz="6" w:space="0"/>
              <w:left w:val="single" w:color="auto" w:sz="12" w:space="0"/>
              <w:bottom w:val="single" w:color="auto" w:sz="6" w:space="0"/>
              <w:right w:val="single" w:color="auto" w:sz="6" w:space="0"/>
            </w:tcBorders>
            <w:noWrap w:val="0"/>
            <w:vAlign w:val="top"/>
          </w:tcPr>
          <w:p>
            <w:pPr>
              <w:kinsoku w:val="0"/>
              <w:wordWrap w:val="0"/>
              <w:topLinePunct/>
              <w:spacing w:line="340" w:lineRule="exact"/>
              <w:rPr>
                <w:rFonts w:ascii="仿宋_GB2312" w:hAnsi="宋体"/>
                <w:sz w:val="21"/>
              </w:rPr>
            </w:pPr>
          </w:p>
        </w:tc>
        <w:tc>
          <w:tcPr>
            <w:tcW w:w="1031" w:type="dxa"/>
            <w:tcBorders>
              <w:top w:val="single" w:color="auto" w:sz="6" w:space="0"/>
              <w:left w:val="single" w:color="auto" w:sz="6" w:space="0"/>
              <w:bottom w:val="single" w:color="auto" w:sz="6" w:space="0"/>
              <w:right w:val="single" w:color="auto" w:sz="6" w:space="0"/>
            </w:tcBorders>
            <w:noWrap w:val="0"/>
            <w:vAlign w:val="top"/>
          </w:tcPr>
          <w:p>
            <w:pPr>
              <w:kinsoku w:val="0"/>
              <w:wordWrap w:val="0"/>
              <w:topLinePunct/>
              <w:spacing w:line="340" w:lineRule="exact"/>
              <w:rPr>
                <w:rFonts w:ascii="仿宋_GB2312" w:hAnsi="宋体"/>
                <w:sz w:val="21"/>
              </w:rPr>
            </w:pPr>
          </w:p>
        </w:tc>
        <w:tc>
          <w:tcPr>
            <w:tcW w:w="1173" w:type="dxa"/>
            <w:tcBorders>
              <w:top w:val="single" w:color="auto" w:sz="6" w:space="0"/>
              <w:left w:val="single" w:color="auto" w:sz="6" w:space="0"/>
              <w:bottom w:val="single" w:color="auto" w:sz="6" w:space="0"/>
              <w:right w:val="single" w:color="auto" w:sz="6" w:space="0"/>
            </w:tcBorders>
            <w:noWrap w:val="0"/>
            <w:vAlign w:val="top"/>
          </w:tcPr>
          <w:p>
            <w:pPr>
              <w:kinsoku w:val="0"/>
              <w:wordWrap w:val="0"/>
              <w:topLinePunct/>
              <w:spacing w:line="340" w:lineRule="exact"/>
              <w:rPr>
                <w:rFonts w:ascii="仿宋_GB2312" w:hAnsi="宋体"/>
                <w:sz w:val="21"/>
              </w:rPr>
            </w:pPr>
          </w:p>
        </w:tc>
        <w:tc>
          <w:tcPr>
            <w:tcW w:w="483" w:type="dxa"/>
            <w:tcBorders>
              <w:top w:val="single" w:color="auto" w:sz="6" w:space="0"/>
              <w:left w:val="single" w:color="auto" w:sz="6" w:space="0"/>
              <w:bottom w:val="single" w:color="auto" w:sz="6" w:space="0"/>
              <w:right w:val="single" w:color="auto" w:sz="6" w:space="0"/>
            </w:tcBorders>
            <w:noWrap w:val="0"/>
            <w:vAlign w:val="top"/>
          </w:tcPr>
          <w:p>
            <w:pPr>
              <w:kinsoku w:val="0"/>
              <w:wordWrap w:val="0"/>
              <w:topLinePunct/>
              <w:spacing w:line="340" w:lineRule="exact"/>
              <w:rPr>
                <w:rFonts w:ascii="仿宋_GB2312" w:hAnsi="宋体"/>
                <w:sz w:val="21"/>
              </w:rPr>
            </w:pPr>
          </w:p>
        </w:tc>
        <w:tc>
          <w:tcPr>
            <w:tcW w:w="468" w:type="dxa"/>
            <w:tcBorders>
              <w:top w:val="single" w:color="auto" w:sz="6" w:space="0"/>
              <w:left w:val="single" w:color="auto" w:sz="6" w:space="0"/>
              <w:bottom w:val="single" w:color="auto" w:sz="6" w:space="0"/>
              <w:right w:val="single" w:color="auto" w:sz="6" w:space="0"/>
            </w:tcBorders>
            <w:noWrap w:val="0"/>
            <w:vAlign w:val="top"/>
          </w:tcPr>
          <w:p>
            <w:pPr>
              <w:kinsoku w:val="0"/>
              <w:wordWrap w:val="0"/>
              <w:topLinePunct/>
              <w:spacing w:line="340" w:lineRule="exact"/>
              <w:rPr>
                <w:rFonts w:ascii="仿宋_GB2312" w:hAnsi="宋体"/>
                <w:sz w:val="21"/>
              </w:rPr>
            </w:pPr>
          </w:p>
        </w:tc>
        <w:tc>
          <w:tcPr>
            <w:tcW w:w="2323" w:type="dxa"/>
            <w:tcBorders>
              <w:top w:val="single" w:color="auto" w:sz="6" w:space="0"/>
              <w:left w:val="single" w:color="auto" w:sz="6" w:space="0"/>
              <w:bottom w:val="single" w:color="auto" w:sz="6" w:space="0"/>
              <w:right w:val="single" w:color="auto" w:sz="6" w:space="0"/>
            </w:tcBorders>
            <w:noWrap w:val="0"/>
            <w:vAlign w:val="top"/>
          </w:tcPr>
          <w:p>
            <w:pPr>
              <w:kinsoku w:val="0"/>
              <w:wordWrap w:val="0"/>
              <w:topLinePunct/>
              <w:spacing w:line="340" w:lineRule="exact"/>
              <w:rPr>
                <w:rFonts w:ascii="仿宋_GB2312" w:hAnsi="宋体"/>
                <w:sz w:val="21"/>
              </w:rPr>
            </w:pPr>
          </w:p>
        </w:tc>
        <w:tc>
          <w:tcPr>
            <w:tcW w:w="830" w:type="dxa"/>
            <w:tcBorders>
              <w:top w:val="single" w:color="auto" w:sz="6" w:space="0"/>
              <w:left w:val="single" w:color="auto" w:sz="6" w:space="0"/>
              <w:bottom w:val="single" w:color="auto" w:sz="6" w:space="0"/>
              <w:right w:val="single" w:color="auto" w:sz="6" w:space="0"/>
            </w:tcBorders>
            <w:noWrap w:val="0"/>
            <w:vAlign w:val="top"/>
          </w:tcPr>
          <w:p>
            <w:pPr>
              <w:kinsoku w:val="0"/>
              <w:wordWrap w:val="0"/>
              <w:topLinePunct/>
              <w:spacing w:line="340" w:lineRule="exact"/>
              <w:rPr>
                <w:rFonts w:ascii="仿宋_GB2312" w:hAnsi="宋体"/>
                <w:sz w:val="21"/>
              </w:rPr>
            </w:pPr>
          </w:p>
        </w:tc>
        <w:tc>
          <w:tcPr>
            <w:tcW w:w="1162" w:type="dxa"/>
            <w:tcBorders>
              <w:top w:val="single" w:color="auto" w:sz="6" w:space="0"/>
              <w:left w:val="single" w:color="auto" w:sz="6" w:space="0"/>
              <w:bottom w:val="single" w:color="auto" w:sz="6" w:space="0"/>
              <w:right w:val="single" w:color="auto" w:sz="12" w:space="0"/>
            </w:tcBorders>
            <w:noWrap w:val="0"/>
            <w:vAlign w:val="top"/>
          </w:tcPr>
          <w:p>
            <w:pPr>
              <w:kinsoku w:val="0"/>
              <w:wordWrap w:val="0"/>
              <w:topLinePunct/>
              <w:spacing w:line="340" w:lineRule="exact"/>
              <w:rPr>
                <w:rFonts w:ascii="仿宋_GB2312" w:hAnsi="宋体"/>
                <w:sz w:val="21"/>
              </w:rPr>
            </w:pPr>
          </w:p>
        </w:tc>
      </w:tr>
      <w:tr>
        <w:tblPrEx>
          <w:tblCellMar>
            <w:top w:w="0" w:type="dxa"/>
            <w:left w:w="28" w:type="dxa"/>
            <w:bottom w:w="0" w:type="dxa"/>
            <w:right w:w="28" w:type="dxa"/>
          </w:tblCellMar>
        </w:tblPrEx>
        <w:tc>
          <w:tcPr>
            <w:tcW w:w="1328" w:type="dxa"/>
            <w:tcBorders>
              <w:top w:val="single" w:color="auto" w:sz="6" w:space="0"/>
              <w:left w:val="single" w:color="auto" w:sz="12" w:space="0"/>
              <w:bottom w:val="single" w:color="auto" w:sz="6" w:space="0"/>
              <w:right w:val="single" w:color="auto" w:sz="6" w:space="0"/>
            </w:tcBorders>
            <w:noWrap w:val="0"/>
            <w:vAlign w:val="top"/>
          </w:tcPr>
          <w:p>
            <w:pPr>
              <w:kinsoku w:val="0"/>
              <w:wordWrap w:val="0"/>
              <w:topLinePunct/>
              <w:spacing w:line="340" w:lineRule="exact"/>
              <w:rPr>
                <w:rFonts w:ascii="仿宋_GB2312" w:hAnsi="宋体"/>
                <w:sz w:val="21"/>
              </w:rPr>
            </w:pPr>
          </w:p>
        </w:tc>
        <w:tc>
          <w:tcPr>
            <w:tcW w:w="1031" w:type="dxa"/>
            <w:tcBorders>
              <w:top w:val="single" w:color="auto" w:sz="6" w:space="0"/>
              <w:left w:val="single" w:color="auto" w:sz="6" w:space="0"/>
              <w:bottom w:val="single" w:color="auto" w:sz="6" w:space="0"/>
              <w:right w:val="single" w:color="auto" w:sz="6" w:space="0"/>
            </w:tcBorders>
            <w:noWrap w:val="0"/>
            <w:vAlign w:val="top"/>
          </w:tcPr>
          <w:p>
            <w:pPr>
              <w:kinsoku w:val="0"/>
              <w:wordWrap w:val="0"/>
              <w:topLinePunct/>
              <w:spacing w:line="340" w:lineRule="exact"/>
              <w:rPr>
                <w:rFonts w:ascii="仿宋_GB2312" w:hAnsi="宋体"/>
                <w:sz w:val="21"/>
              </w:rPr>
            </w:pPr>
          </w:p>
        </w:tc>
        <w:tc>
          <w:tcPr>
            <w:tcW w:w="1173" w:type="dxa"/>
            <w:tcBorders>
              <w:top w:val="single" w:color="auto" w:sz="6" w:space="0"/>
              <w:left w:val="single" w:color="auto" w:sz="6" w:space="0"/>
              <w:bottom w:val="single" w:color="auto" w:sz="6" w:space="0"/>
              <w:right w:val="single" w:color="auto" w:sz="6" w:space="0"/>
            </w:tcBorders>
            <w:noWrap w:val="0"/>
            <w:vAlign w:val="top"/>
          </w:tcPr>
          <w:p>
            <w:pPr>
              <w:kinsoku w:val="0"/>
              <w:wordWrap w:val="0"/>
              <w:topLinePunct/>
              <w:spacing w:line="340" w:lineRule="exact"/>
              <w:rPr>
                <w:rFonts w:ascii="仿宋_GB2312" w:hAnsi="宋体"/>
                <w:sz w:val="21"/>
              </w:rPr>
            </w:pPr>
          </w:p>
        </w:tc>
        <w:tc>
          <w:tcPr>
            <w:tcW w:w="483" w:type="dxa"/>
            <w:tcBorders>
              <w:top w:val="single" w:color="auto" w:sz="6" w:space="0"/>
              <w:left w:val="single" w:color="auto" w:sz="6" w:space="0"/>
              <w:bottom w:val="single" w:color="auto" w:sz="6" w:space="0"/>
              <w:right w:val="single" w:color="auto" w:sz="6" w:space="0"/>
            </w:tcBorders>
            <w:noWrap w:val="0"/>
            <w:vAlign w:val="top"/>
          </w:tcPr>
          <w:p>
            <w:pPr>
              <w:kinsoku w:val="0"/>
              <w:wordWrap w:val="0"/>
              <w:topLinePunct/>
              <w:spacing w:line="340" w:lineRule="exact"/>
              <w:rPr>
                <w:rFonts w:ascii="仿宋_GB2312" w:hAnsi="宋体"/>
                <w:sz w:val="21"/>
              </w:rPr>
            </w:pPr>
          </w:p>
        </w:tc>
        <w:tc>
          <w:tcPr>
            <w:tcW w:w="468" w:type="dxa"/>
            <w:tcBorders>
              <w:top w:val="single" w:color="auto" w:sz="6" w:space="0"/>
              <w:left w:val="single" w:color="auto" w:sz="6" w:space="0"/>
              <w:bottom w:val="single" w:color="auto" w:sz="6" w:space="0"/>
              <w:right w:val="single" w:color="auto" w:sz="6" w:space="0"/>
            </w:tcBorders>
            <w:noWrap w:val="0"/>
            <w:vAlign w:val="top"/>
          </w:tcPr>
          <w:p>
            <w:pPr>
              <w:kinsoku w:val="0"/>
              <w:wordWrap w:val="0"/>
              <w:topLinePunct/>
              <w:spacing w:line="340" w:lineRule="exact"/>
              <w:rPr>
                <w:rFonts w:ascii="仿宋_GB2312" w:hAnsi="宋体"/>
                <w:sz w:val="21"/>
              </w:rPr>
            </w:pPr>
          </w:p>
        </w:tc>
        <w:tc>
          <w:tcPr>
            <w:tcW w:w="2323" w:type="dxa"/>
            <w:tcBorders>
              <w:top w:val="single" w:color="auto" w:sz="6" w:space="0"/>
              <w:left w:val="single" w:color="auto" w:sz="6" w:space="0"/>
              <w:bottom w:val="single" w:color="auto" w:sz="6" w:space="0"/>
              <w:right w:val="single" w:color="auto" w:sz="6" w:space="0"/>
            </w:tcBorders>
            <w:noWrap w:val="0"/>
            <w:vAlign w:val="top"/>
          </w:tcPr>
          <w:p>
            <w:pPr>
              <w:kinsoku w:val="0"/>
              <w:wordWrap w:val="0"/>
              <w:topLinePunct/>
              <w:spacing w:line="340" w:lineRule="exact"/>
              <w:rPr>
                <w:rFonts w:ascii="仿宋_GB2312" w:hAnsi="宋体"/>
                <w:sz w:val="21"/>
              </w:rPr>
            </w:pPr>
          </w:p>
        </w:tc>
        <w:tc>
          <w:tcPr>
            <w:tcW w:w="830" w:type="dxa"/>
            <w:tcBorders>
              <w:top w:val="single" w:color="auto" w:sz="6" w:space="0"/>
              <w:left w:val="single" w:color="auto" w:sz="6" w:space="0"/>
              <w:bottom w:val="single" w:color="auto" w:sz="6" w:space="0"/>
              <w:right w:val="single" w:color="auto" w:sz="6" w:space="0"/>
            </w:tcBorders>
            <w:noWrap w:val="0"/>
            <w:vAlign w:val="top"/>
          </w:tcPr>
          <w:p>
            <w:pPr>
              <w:kinsoku w:val="0"/>
              <w:wordWrap w:val="0"/>
              <w:topLinePunct/>
              <w:spacing w:line="340" w:lineRule="exact"/>
              <w:rPr>
                <w:rFonts w:ascii="仿宋_GB2312" w:hAnsi="宋体"/>
                <w:sz w:val="21"/>
              </w:rPr>
            </w:pPr>
          </w:p>
        </w:tc>
        <w:tc>
          <w:tcPr>
            <w:tcW w:w="1162" w:type="dxa"/>
            <w:tcBorders>
              <w:top w:val="single" w:color="auto" w:sz="6" w:space="0"/>
              <w:left w:val="single" w:color="auto" w:sz="6" w:space="0"/>
              <w:bottom w:val="single" w:color="auto" w:sz="6" w:space="0"/>
              <w:right w:val="single" w:color="auto" w:sz="12" w:space="0"/>
            </w:tcBorders>
            <w:noWrap w:val="0"/>
            <w:vAlign w:val="top"/>
          </w:tcPr>
          <w:p>
            <w:pPr>
              <w:kinsoku w:val="0"/>
              <w:wordWrap w:val="0"/>
              <w:topLinePunct/>
              <w:spacing w:line="340" w:lineRule="exact"/>
              <w:rPr>
                <w:rFonts w:ascii="仿宋_GB2312" w:hAnsi="宋体"/>
                <w:sz w:val="21"/>
              </w:rPr>
            </w:pPr>
          </w:p>
        </w:tc>
      </w:tr>
      <w:tr>
        <w:tblPrEx>
          <w:tblCellMar>
            <w:top w:w="0" w:type="dxa"/>
            <w:left w:w="28" w:type="dxa"/>
            <w:bottom w:w="0" w:type="dxa"/>
            <w:right w:w="28" w:type="dxa"/>
          </w:tblCellMar>
        </w:tblPrEx>
        <w:trPr>
          <w:cantSplit/>
        </w:trPr>
        <w:tc>
          <w:tcPr>
            <w:tcW w:w="8798" w:type="dxa"/>
            <w:gridSpan w:val="8"/>
            <w:tcBorders>
              <w:top w:val="single" w:color="auto" w:sz="6" w:space="0"/>
              <w:left w:val="single" w:color="auto" w:sz="12" w:space="0"/>
              <w:bottom w:val="single" w:color="auto" w:sz="12" w:space="0"/>
              <w:right w:val="single" w:color="auto" w:sz="12" w:space="0"/>
            </w:tcBorders>
            <w:noWrap w:val="0"/>
            <w:vAlign w:val="top"/>
          </w:tcPr>
          <w:p>
            <w:pPr>
              <w:kinsoku w:val="0"/>
              <w:wordWrap w:val="0"/>
              <w:topLinePunct/>
              <w:spacing w:line="340" w:lineRule="exact"/>
              <w:rPr>
                <w:rFonts w:ascii="仿宋_GB2312" w:hAnsi="宋体"/>
                <w:sz w:val="21"/>
              </w:rPr>
            </w:pPr>
            <w:r>
              <w:rPr>
                <w:rFonts w:hint="eastAsia" w:ascii="仿宋_GB2312" w:hAnsi="宋体"/>
                <w:sz w:val="21"/>
              </w:rPr>
              <w:t>总金额（人民币）：</w:t>
            </w:r>
          </w:p>
        </w:tc>
      </w:tr>
    </w:tbl>
    <w:p>
      <w:pPr>
        <w:kinsoku w:val="0"/>
        <w:wordWrap w:val="0"/>
        <w:topLinePunct/>
        <w:spacing w:line="340" w:lineRule="exact"/>
        <w:rPr>
          <w:rFonts w:hint="eastAsia" w:ascii="仿宋_GB2312" w:hAnsi="宋体"/>
          <w:b/>
          <w:sz w:val="21"/>
        </w:rPr>
      </w:pPr>
    </w:p>
    <w:p>
      <w:pPr>
        <w:kinsoku w:val="0"/>
        <w:wordWrap w:val="0"/>
        <w:topLinePunct/>
        <w:spacing w:line="340" w:lineRule="exact"/>
        <w:rPr>
          <w:rFonts w:hint="eastAsia" w:ascii="仿宋_GB2312" w:hAnsi="宋体"/>
          <w:b/>
          <w:sz w:val="21"/>
        </w:rPr>
      </w:pPr>
    </w:p>
    <w:p>
      <w:pPr>
        <w:kinsoku w:val="0"/>
        <w:wordWrap w:val="0"/>
        <w:topLinePunct/>
        <w:spacing w:line="340" w:lineRule="exact"/>
        <w:rPr>
          <w:rFonts w:hint="eastAsia" w:ascii="仿宋_GB2312" w:hAnsi="宋体"/>
          <w:b/>
          <w:sz w:val="21"/>
        </w:rPr>
      </w:pPr>
      <w:r>
        <w:rPr>
          <w:rFonts w:hint="eastAsia" w:ascii="仿宋_GB2312" w:hAnsi="宋体"/>
          <w:b/>
          <w:sz w:val="21"/>
        </w:rPr>
        <w:t>三. 设备质量要求及供方对质量负责的条件和期限（服务类项目由用户另行指定）：</w:t>
      </w:r>
    </w:p>
    <w:p>
      <w:pPr>
        <w:numPr>
          <w:ilvl w:val="0"/>
          <w:numId w:val="14"/>
        </w:numPr>
        <w:tabs>
          <w:tab w:val="left" w:pos="0"/>
        </w:tabs>
        <w:kinsoku w:val="0"/>
        <w:wordWrap w:val="0"/>
        <w:topLinePunct/>
        <w:spacing w:line="340" w:lineRule="exact"/>
        <w:ind w:left="830" w:hanging="332"/>
        <w:rPr>
          <w:rFonts w:hint="eastAsia" w:ascii="仿宋_GB2312" w:hAnsi="宋体"/>
          <w:sz w:val="21"/>
        </w:rPr>
      </w:pPr>
      <w:r>
        <w:rPr>
          <w:rFonts w:hint="eastAsia" w:ascii="仿宋_GB2312" w:hAnsi="宋体"/>
          <w:sz w:val="21"/>
        </w:rPr>
        <w:t>供方提供的设备必须符合中华人民共和国国家安全环保标准、教育部的有关规定以及该产品的出厂标准。</w:t>
      </w:r>
    </w:p>
    <w:p>
      <w:pPr>
        <w:numPr>
          <w:ilvl w:val="0"/>
          <w:numId w:val="14"/>
        </w:numPr>
        <w:tabs>
          <w:tab w:val="left" w:pos="0"/>
        </w:tabs>
        <w:kinsoku w:val="0"/>
        <w:wordWrap w:val="0"/>
        <w:topLinePunct/>
        <w:spacing w:line="340" w:lineRule="exact"/>
        <w:ind w:left="830" w:hanging="332"/>
        <w:rPr>
          <w:rFonts w:hint="eastAsia" w:ascii="仿宋_GB2312" w:hAnsi="宋体"/>
          <w:sz w:val="21"/>
        </w:rPr>
      </w:pPr>
      <w:r>
        <w:rPr>
          <w:rFonts w:hint="eastAsia" w:ascii="仿宋_GB2312" w:hAnsi="宋体"/>
          <w:sz w:val="21"/>
        </w:rPr>
        <w:t>供方提供的设备必须是全新的原装设备（含零部件、配件、随机工具等），表面无划伤、无碰撞。</w:t>
      </w:r>
    </w:p>
    <w:p>
      <w:pPr>
        <w:numPr>
          <w:ilvl w:val="0"/>
          <w:numId w:val="14"/>
        </w:numPr>
        <w:tabs>
          <w:tab w:val="left" w:pos="0"/>
        </w:tabs>
        <w:kinsoku w:val="0"/>
        <w:wordWrap w:val="0"/>
        <w:topLinePunct/>
        <w:spacing w:line="340" w:lineRule="exact"/>
        <w:ind w:left="830" w:hanging="332"/>
        <w:rPr>
          <w:rFonts w:hint="eastAsia" w:ascii="仿宋_GB2312" w:hAnsi="宋体"/>
          <w:sz w:val="21"/>
        </w:rPr>
      </w:pPr>
      <w:r>
        <w:rPr>
          <w:rFonts w:hint="eastAsia" w:ascii="仿宋_GB2312" w:hAnsi="宋体"/>
          <w:sz w:val="21"/>
        </w:rPr>
        <w:t>因设备的质量问题发生争议，由广东省或汕头市商检部门进行质量鉴定。设备符合质量标准的，鉴定费由需方承担；设备不符合质量标准的，鉴定费由供方承担。</w:t>
      </w:r>
    </w:p>
    <w:p>
      <w:pPr>
        <w:numPr>
          <w:ilvl w:val="0"/>
          <w:numId w:val="14"/>
        </w:numPr>
        <w:tabs>
          <w:tab w:val="left" w:pos="0"/>
        </w:tabs>
        <w:kinsoku w:val="0"/>
        <w:wordWrap w:val="0"/>
        <w:topLinePunct/>
        <w:spacing w:line="340" w:lineRule="exact"/>
        <w:ind w:left="830" w:hanging="332"/>
        <w:rPr>
          <w:rFonts w:hint="eastAsia" w:ascii="仿宋_GB2312" w:hAnsi="宋体"/>
          <w:sz w:val="21"/>
        </w:rPr>
      </w:pPr>
      <w:r>
        <w:rPr>
          <w:rFonts w:hint="eastAsia" w:ascii="仿宋_GB2312" w:hAnsi="宋体"/>
          <w:sz w:val="21"/>
        </w:rPr>
        <w:t>供方对系统设备提供一年的维修保养期。在保养期内，如货品非因需方的人为原因而出现的质量问题由供方负责包修、包换或包退，并承担修理、调换或退货的实际费用。供方不能修理或不能调换，均按不能交货处理，供方应退回100%设备款。</w:t>
      </w:r>
    </w:p>
    <w:p>
      <w:pPr>
        <w:numPr>
          <w:ilvl w:val="0"/>
          <w:numId w:val="14"/>
        </w:numPr>
        <w:tabs>
          <w:tab w:val="left" w:pos="0"/>
        </w:tabs>
        <w:kinsoku w:val="0"/>
        <w:wordWrap w:val="0"/>
        <w:topLinePunct/>
        <w:spacing w:line="340" w:lineRule="exact"/>
        <w:ind w:left="830" w:hanging="332"/>
        <w:rPr>
          <w:rFonts w:hint="eastAsia" w:ascii="仿宋_GB2312" w:hAnsi="宋体"/>
          <w:sz w:val="21"/>
        </w:rPr>
      </w:pPr>
      <w:r>
        <w:rPr>
          <w:rFonts w:hint="eastAsia" w:ascii="仿宋_GB2312" w:hAnsi="宋体"/>
          <w:sz w:val="21"/>
        </w:rPr>
        <w:t>设备原厂保修期超过一年的，供方应按保修承诺提供保修服务。</w:t>
      </w:r>
    </w:p>
    <w:p>
      <w:pPr>
        <w:tabs>
          <w:tab w:val="left" w:pos="0"/>
        </w:tabs>
        <w:kinsoku w:val="0"/>
        <w:wordWrap w:val="0"/>
        <w:topLinePunct/>
        <w:spacing w:line="340" w:lineRule="exact"/>
        <w:ind w:left="498"/>
        <w:rPr>
          <w:rFonts w:hint="eastAsia" w:ascii="仿宋_GB2312" w:hAnsi="宋体"/>
          <w:sz w:val="21"/>
        </w:rPr>
      </w:pPr>
    </w:p>
    <w:p>
      <w:pPr>
        <w:kinsoku w:val="0"/>
        <w:wordWrap w:val="0"/>
        <w:topLinePunct/>
        <w:spacing w:line="340" w:lineRule="exact"/>
        <w:ind w:left="567" w:hanging="567"/>
        <w:rPr>
          <w:rFonts w:hint="eastAsia" w:ascii="仿宋_GB2312" w:hAnsi="宋体"/>
          <w:b/>
          <w:sz w:val="21"/>
        </w:rPr>
      </w:pPr>
      <w:r>
        <w:rPr>
          <w:rFonts w:hint="eastAsia" w:ascii="仿宋_GB2312" w:hAnsi="宋体"/>
          <w:b/>
          <w:sz w:val="21"/>
        </w:rPr>
        <w:t>四. 交货及验收（服务类项目由用户另行指定）：</w:t>
      </w:r>
    </w:p>
    <w:p>
      <w:pPr>
        <w:numPr>
          <w:ilvl w:val="0"/>
          <w:numId w:val="15"/>
        </w:numPr>
        <w:tabs>
          <w:tab w:val="left" w:pos="0"/>
        </w:tabs>
        <w:kinsoku w:val="0"/>
        <w:wordWrap w:val="0"/>
        <w:topLinePunct/>
        <w:spacing w:line="340" w:lineRule="exact"/>
        <w:ind w:left="830" w:hanging="332"/>
        <w:rPr>
          <w:rFonts w:hint="eastAsia" w:ascii="仿宋_GB2312"/>
          <w:sz w:val="21"/>
        </w:rPr>
      </w:pPr>
      <w:r>
        <w:rPr>
          <w:rFonts w:hint="eastAsia" w:ascii="仿宋_GB2312"/>
          <w:sz w:val="21"/>
        </w:rPr>
        <w:t>竣工时间：合同签定后20天内。</w:t>
      </w:r>
    </w:p>
    <w:p>
      <w:pPr>
        <w:numPr>
          <w:ilvl w:val="0"/>
          <w:numId w:val="15"/>
        </w:numPr>
        <w:tabs>
          <w:tab w:val="left" w:pos="0"/>
        </w:tabs>
        <w:kinsoku w:val="0"/>
        <w:wordWrap w:val="0"/>
        <w:topLinePunct/>
        <w:spacing w:line="340" w:lineRule="exact"/>
        <w:ind w:left="830" w:hanging="332"/>
        <w:rPr>
          <w:rFonts w:hint="eastAsia" w:ascii="仿宋_GB2312" w:hAnsi="宋体"/>
          <w:sz w:val="21"/>
        </w:rPr>
      </w:pPr>
      <w:r>
        <w:rPr>
          <w:rFonts w:hint="eastAsia" w:ascii="仿宋_GB2312" w:hAnsi="宋体"/>
          <w:sz w:val="21"/>
        </w:rPr>
        <w:t>产品必须具备出厂合格证。</w:t>
      </w:r>
    </w:p>
    <w:p>
      <w:pPr>
        <w:numPr>
          <w:ilvl w:val="0"/>
          <w:numId w:val="15"/>
        </w:numPr>
        <w:tabs>
          <w:tab w:val="left" w:pos="0"/>
        </w:tabs>
        <w:kinsoku w:val="0"/>
        <w:wordWrap w:val="0"/>
        <w:topLinePunct/>
        <w:spacing w:line="340" w:lineRule="exact"/>
        <w:ind w:left="830" w:hanging="332"/>
        <w:rPr>
          <w:rFonts w:hint="eastAsia" w:ascii="仿宋_GB2312" w:hAnsi="宋体"/>
          <w:sz w:val="21"/>
        </w:rPr>
      </w:pPr>
      <w:r>
        <w:rPr>
          <w:rFonts w:hint="eastAsia" w:ascii="仿宋_GB2312" w:hAnsi="宋体"/>
          <w:sz w:val="21"/>
        </w:rPr>
        <w:t>供方应将所供设备的用户手册、保修手册、有关资料及配件、随机工具等交付给需方。</w:t>
      </w:r>
    </w:p>
    <w:p>
      <w:pPr>
        <w:numPr>
          <w:ilvl w:val="0"/>
          <w:numId w:val="15"/>
        </w:numPr>
        <w:tabs>
          <w:tab w:val="left" w:pos="0"/>
        </w:tabs>
        <w:kinsoku w:val="0"/>
        <w:wordWrap w:val="0"/>
        <w:topLinePunct/>
        <w:spacing w:line="340" w:lineRule="exact"/>
        <w:ind w:left="830" w:hanging="332"/>
        <w:rPr>
          <w:rFonts w:hint="eastAsia" w:ascii="仿宋_GB2312" w:hAnsi="宋体"/>
          <w:sz w:val="21"/>
        </w:rPr>
      </w:pPr>
      <w:r>
        <w:rPr>
          <w:rFonts w:hint="eastAsia" w:ascii="仿宋_GB2312" w:hAnsi="宋体"/>
          <w:sz w:val="21"/>
        </w:rPr>
        <w:t>交货地点：汕头大学医学院</w:t>
      </w:r>
    </w:p>
    <w:p>
      <w:pPr>
        <w:numPr>
          <w:ilvl w:val="0"/>
          <w:numId w:val="15"/>
        </w:numPr>
        <w:tabs>
          <w:tab w:val="left" w:pos="0"/>
        </w:tabs>
        <w:kinsoku w:val="0"/>
        <w:wordWrap w:val="0"/>
        <w:topLinePunct/>
        <w:spacing w:line="340" w:lineRule="exact"/>
        <w:ind w:left="830" w:hanging="332"/>
        <w:rPr>
          <w:rFonts w:hint="eastAsia" w:ascii="仿宋_GB2312" w:hAnsi="宋体"/>
          <w:sz w:val="21"/>
        </w:rPr>
      </w:pPr>
      <w:r>
        <w:rPr>
          <w:rFonts w:hint="eastAsia" w:ascii="仿宋_GB2312" w:hAnsi="宋体"/>
          <w:sz w:val="21"/>
        </w:rPr>
        <w:t>货物的验收：</w:t>
      </w:r>
    </w:p>
    <w:p>
      <w:pPr>
        <w:pStyle w:val="11"/>
        <w:tabs>
          <w:tab w:val="left" w:pos="0"/>
        </w:tabs>
        <w:kinsoku w:val="0"/>
        <w:wordWrap w:val="0"/>
        <w:topLinePunct/>
        <w:autoSpaceDE/>
        <w:spacing w:line="340" w:lineRule="exact"/>
        <w:ind w:left="830" w:firstLine="490"/>
        <w:rPr>
          <w:rFonts w:hint="eastAsia" w:ascii="仿宋_GB2312" w:hAnsi="宋体" w:eastAsia="仿宋_GB2312"/>
          <w:sz w:val="21"/>
        </w:rPr>
      </w:pPr>
      <w:r>
        <w:rPr>
          <w:rFonts w:hint="eastAsia" w:ascii="仿宋_GB2312" w:hAnsi="宋体" w:eastAsia="仿宋_GB2312"/>
          <w:sz w:val="21"/>
        </w:rPr>
        <w:t>全部货物现场开封，设备在现场安装过程中，如发生与供货合同条款不符的设备，用户提出异议，供货商应无条件更换。</w:t>
      </w:r>
    </w:p>
    <w:p>
      <w:pPr>
        <w:pStyle w:val="11"/>
        <w:tabs>
          <w:tab w:val="left" w:pos="0"/>
        </w:tabs>
        <w:kinsoku w:val="0"/>
        <w:wordWrap w:val="0"/>
        <w:topLinePunct/>
        <w:autoSpaceDE/>
        <w:spacing w:line="340" w:lineRule="exact"/>
        <w:ind w:left="830" w:firstLine="490"/>
        <w:rPr>
          <w:rFonts w:hint="eastAsia" w:ascii="仿宋_GB2312" w:hAnsi="宋体" w:eastAsia="仿宋_GB2312"/>
          <w:sz w:val="21"/>
        </w:rPr>
      </w:pPr>
      <w:r>
        <w:rPr>
          <w:rFonts w:hint="eastAsia" w:ascii="仿宋_GB2312" w:hAnsi="宋体" w:eastAsia="仿宋_GB2312"/>
          <w:sz w:val="21"/>
        </w:rPr>
        <w:t>其它验收细则以投标商在投标书中提供的设备技术资料及双方签订的合同条款为准。</w:t>
      </w:r>
    </w:p>
    <w:p>
      <w:pPr>
        <w:kinsoku w:val="0"/>
        <w:wordWrap w:val="0"/>
        <w:topLinePunct/>
        <w:spacing w:line="340" w:lineRule="exact"/>
        <w:ind w:left="567" w:hanging="567"/>
        <w:rPr>
          <w:rFonts w:hint="eastAsia" w:ascii="仿宋_GB2312" w:hAnsi="宋体"/>
          <w:b/>
          <w:sz w:val="21"/>
        </w:rPr>
      </w:pPr>
      <w:r>
        <w:rPr>
          <w:rFonts w:hint="eastAsia" w:ascii="仿宋_GB2312" w:hAnsi="宋体"/>
          <w:b/>
          <w:sz w:val="21"/>
        </w:rPr>
        <w:t>五. 付款：</w:t>
      </w:r>
    </w:p>
    <w:p>
      <w:pPr>
        <w:kinsoku w:val="0"/>
        <w:wordWrap w:val="0"/>
        <w:topLinePunct/>
        <w:spacing w:line="340" w:lineRule="exact"/>
        <w:ind w:left="567" w:hanging="567"/>
        <w:rPr>
          <w:rFonts w:hint="eastAsia" w:ascii="宋体" w:hAnsi="Arial Narrow" w:eastAsia="宋体"/>
          <w:b w:val="0"/>
          <w:bCs/>
          <w:sz w:val="18"/>
          <w:szCs w:val="18"/>
          <w:lang w:val="en-US" w:eastAsia="zh-CN"/>
        </w:rPr>
      </w:pPr>
      <w:r>
        <w:rPr>
          <w:rFonts w:hint="eastAsia" w:ascii="宋体" w:hAnsi="Arial Narrow" w:eastAsia="宋体"/>
          <w:b w:val="0"/>
          <w:bCs/>
          <w:sz w:val="28"/>
          <w:szCs w:val="28"/>
          <w:lang w:val="en-US" w:eastAsia="zh-CN"/>
        </w:rPr>
        <w:t xml:space="preserve"> </w:t>
      </w:r>
      <w:r>
        <w:rPr>
          <w:rFonts w:hint="eastAsia" w:ascii="宋体" w:hAnsi="Arial Narrow" w:eastAsia="宋体"/>
          <w:b w:val="0"/>
          <w:bCs/>
          <w:sz w:val="18"/>
          <w:szCs w:val="18"/>
          <w:lang w:val="en-US" w:eastAsia="zh-CN"/>
        </w:rPr>
        <w:t>合同签订后凭发票支付中标金额30%货款，实验结束后凭发票支付剩余70%货款</w:t>
      </w:r>
    </w:p>
    <w:p>
      <w:pPr>
        <w:kinsoku w:val="0"/>
        <w:wordWrap w:val="0"/>
        <w:topLinePunct/>
        <w:spacing w:line="340" w:lineRule="exact"/>
        <w:ind w:left="567" w:hanging="567"/>
        <w:rPr>
          <w:rFonts w:ascii="仿宋_GB2312" w:hAnsi="宋体"/>
          <w:b/>
          <w:sz w:val="21"/>
        </w:rPr>
      </w:pPr>
      <w:r>
        <w:rPr>
          <w:rFonts w:hint="eastAsia" w:ascii="仿宋_GB2312" w:hAnsi="宋体"/>
          <w:b/>
          <w:sz w:val="21"/>
        </w:rPr>
        <w:t>六. 违约责任（服务类项目由用户另行指定）：</w:t>
      </w:r>
    </w:p>
    <w:p>
      <w:pPr>
        <w:numPr>
          <w:ilvl w:val="0"/>
          <w:numId w:val="16"/>
        </w:numPr>
        <w:tabs>
          <w:tab w:val="left" w:pos="0"/>
        </w:tabs>
        <w:kinsoku w:val="0"/>
        <w:wordWrap w:val="0"/>
        <w:topLinePunct/>
        <w:spacing w:line="340" w:lineRule="exact"/>
        <w:ind w:left="830" w:hanging="332"/>
        <w:rPr>
          <w:rFonts w:hint="eastAsia" w:ascii="仿宋_GB2312" w:hAnsi="宋体"/>
          <w:sz w:val="21"/>
        </w:rPr>
      </w:pPr>
      <w:r>
        <w:rPr>
          <w:rFonts w:hint="eastAsia" w:ascii="仿宋_GB2312" w:hAnsi="宋体"/>
          <w:sz w:val="21"/>
        </w:rPr>
        <w:t>供方未能交付设备，则向需方支付设备总金额5%的违约金。</w:t>
      </w:r>
    </w:p>
    <w:p>
      <w:pPr>
        <w:numPr>
          <w:ilvl w:val="0"/>
          <w:numId w:val="16"/>
        </w:numPr>
        <w:tabs>
          <w:tab w:val="left" w:pos="0"/>
        </w:tabs>
        <w:kinsoku w:val="0"/>
        <w:wordWrap w:val="0"/>
        <w:topLinePunct/>
        <w:spacing w:line="340" w:lineRule="exact"/>
        <w:ind w:left="830" w:hanging="332"/>
        <w:rPr>
          <w:rFonts w:hint="eastAsia" w:ascii="仿宋_GB2312" w:hAnsi="宋体"/>
          <w:sz w:val="21"/>
        </w:rPr>
      </w:pPr>
      <w:r>
        <w:rPr>
          <w:rFonts w:hint="eastAsia" w:ascii="仿宋_GB2312" w:hAnsi="宋体"/>
          <w:sz w:val="21"/>
        </w:rPr>
        <w:t>供方交付的设备不符合合同规定的，需方有权拒收，供方向需方支付货款总金额5%的违约金。</w:t>
      </w:r>
    </w:p>
    <w:p>
      <w:pPr>
        <w:numPr>
          <w:ilvl w:val="0"/>
          <w:numId w:val="16"/>
        </w:numPr>
        <w:tabs>
          <w:tab w:val="left" w:pos="0"/>
        </w:tabs>
        <w:kinsoku w:val="0"/>
        <w:wordWrap w:val="0"/>
        <w:topLinePunct/>
        <w:spacing w:line="340" w:lineRule="exact"/>
        <w:ind w:left="830" w:hanging="332"/>
        <w:rPr>
          <w:rFonts w:hint="eastAsia" w:ascii="仿宋_GB2312" w:hAnsi="宋体"/>
          <w:sz w:val="21"/>
        </w:rPr>
      </w:pPr>
      <w:r>
        <w:rPr>
          <w:rFonts w:hint="eastAsia" w:ascii="仿宋_GB2312" w:hAnsi="宋体"/>
          <w:sz w:val="21"/>
        </w:rPr>
        <w:t>需方无正当理由拒收设备，拒付货款的，需方向供方偿付设备总金额5%的违约金。</w:t>
      </w:r>
    </w:p>
    <w:p>
      <w:pPr>
        <w:numPr>
          <w:ilvl w:val="0"/>
          <w:numId w:val="16"/>
        </w:numPr>
        <w:tabs>
          <w:tab w:val="left" w:pos="0"/>
        </w:tabs>
        <w:kinsoku w:val="0"/>
        <w:wordWrap w:val="0"/>
        <w:topLinePunct/>
        <w:spacing w:line="340" w:lineRule="exact"/>
        <w:ind w:left="830" w:hanging="332"/>
        <w:rPr>
          <w:rFonts w:hint="eastAsia" w:ascii="仿宋_GB2312" w:hAnsi="宋体"/>
          <w:sz w:val="21"/>
        </w:rPr>
      </w:pPr>
      <w:r>
        <w:rPr>
          <w:rFonts w:hint="eastAsia" w:ascii="仿宋_GB2312" w:hAnsi="宋体"/>
          <w:sz w:val="21"/>
        </w:rPr>
        <w:t>供方逾期交付设备，则每日按合同总额3‰向对方偿付违约金。逾期交付超过15天，需方有权终止合同，则供方向需方偿付设备总金额</w:t>
      </w:r>
      <w:r>
        <w:rPr>
          <w:sz w:val="21"/>
        </w:rPr>
        <w:t>7.5%</w:t>
      </w:r>
      <w:r>
        <w:rPr>
          <w:rFonts w:hint="eastAsia"/>
          <w:sz w:val="21"/>
        </w:rPr>
        <w:t>的违约金</w:t>
      </w:r>
      <w:r>
        <w:rPr>
          <w:rFonts w:hint="eastAsia" w:ascii="仿宋_GB2312" w:hAnsi="宋体"/>
          <w:sz w:val="21"/>
        </w:rPr>
        <w:t>。</w:t>
      </w:r>
    </w:p>
    <w:p>
      <w:pPr>
        <w:numPr>
          <w:ilvl w:val="0"/>
          <w:numId w:val="16"/>
        </w:numPr>
        <w:tabs>
          <w:tab w:val="left" w:pos="0"/>
        </w:tabs>
        <w:kinsoku w:val="0"/>
        <w:wordWrap w:val="0"/>
        <w:topLinePunct/>
        <w:spacing w:line="340" w:lineRule="exact"/>
        <w:ind w:left="830" w:hanging="332"/>
        <w:rPr>
          <w:rFonts w:hint="eastAsia" w:ascii="仿宋_GB2312" w:hAnsi="宋体"/>
          <w:sz w:val="21"/>
        </w:rPr>
      </w:pPr>
      <w:r>
        <w:rPr>
          <w:rFonts w:hint="eastAsia" w:ascii="仿宋_GB2312" w:hAnsi="宋体"/>
          <w:sz w:val="21"/>
        </w:rPr>
        <w:t>需方逾期付款，则每日按合同总额3‰向供方偿付违约金。</w:t>
      </w:r>
    </w:p>
    <w:p>
      <w:pPr>
        <w:numPr>
          <w:ilvl w:val="0"/>
          <w:numId w:val="17"/>
        </w:numPr>
        <w:tabs>
          <w:tab w:val="left" w:pos="0"/>
          <w:tab w:val="left" w:pos="425"/>
        </w:tabs>
        <w:kinsoku w:val="0"/>
        <w:wordWrap w:val="0"/>
        <w:topLinePunct/>
        <w:spacing w:line="340" w:lineRule="exact"/>
        <w:ind w:left="830" w:hanging="332"/>
        <w:rPr>
          <w:rFonts w:ascii="仿宋_GB2312" w:hAnsi="宋体"/>
          <w:sz w:val="21"/>
        </w:rPr>
      </w:pPr>
    </w:p>
    <w:p>
      <w:pPr>
        <w:pStyle w:val="11"/>
        <w:kinsoku w:val="0"/>
        <w:wordWrap w:val="0"/>
        <w:topLinePunct/>
        <w:autoSpaceDE/>
        <w:autoSpaceDN/>
        <w:spacing w:line="340" w:lineRule="exact"/>
        <w:ind w:firstLine="0" w:firstLineChars="0"/>
        <w:rPr>
          <w:rFonts w:hint="eastAsia" w:ascii="仿宋_GB2312" w:hAnsi="宋体" w:eastAsia="仿宋_GB2312"/>
          <w:b/>
          <w:sz w:val="21"/>
        </w:rPr>
      </w:pPr>
      <w:r>
        <w:rPr>
          <w:rFonts w:hint="eastAsia" w:ascii="仿宋_GB2312" w:hAnsi="宋体" w:eastAsia="仿宋_GB2312"/>
          <w:b/>
          <w:sz w:val="21"/>
        </w:rPr>
        <w:t>七</w:t>
      </w:r>
      <w:r>
        <w:rPr>
          <w:rFonts w:ascii="仿宋_GB2312" w:hAnsi="宋体" w:eastAsia="仿宋_GB2312"/>
          <w:b/>
          <w:sz w:val="21"/>
        </w:rPr>
        <w:t>.</w:t>
      </w:r>
      <w:r>
        <w:rPr>
          <w:rFonts w:hint="eastAsia" w:ascii="仿宋_GB2312" w:hAnsi="宋体" w:eastAsia="仿宋_GB2312"/>
          <w:b/>
          <w:sz w:val="21"/>
        </w:rPr>
        <w:t>售后服务</w:t>
      </w:r>
    </w:p>
    <w:p>
      <w:pPr>
        <w:pStyle w:val="11"/>
        <w:kinsoku w:val="0"/>
        <w:wordWrap w:val="0"/>
        <w:topLinePunct/>
        <w:autoSpaceDE/>
        <w:autoSpaceDN/>
        <w:spacing w:line="340" w:lineRule="exact"/>
        <w:ind w:firstLine="0" w:firstLineChars="0"/>
        <w:rPr>
          <w:rFonts w:hint="eastAsia" w:ascii="仿宋_GB2312" w:hAnsi="宋体" w:eastAsia="仿宋_GB2312"/>
          <w:b/>
          <w:sz w:val="21"/>
        </w:rPr>
      </w:pPr>
      <w:r>
        <w:rPr>
          <w:rFonts w:hint="eastAsia" w:ascii="仿宋_GB2312" w:hAnsi="宋体" w:eastAsia="仿宋_GB2312"/>
          <w:b/>
          <w:sz w:val="21"/>
        </w:rPr>
        <w:t>八．技术支持及培训</w:t>
      </w:r>
    </w:p>
    <w:p>
      <w:pPr>
        <w:kinsoku w:val="0"/>
        <w:wordWrap w:val="0"/>
        <w:topLinePunct/>
        <w:spacing w:line="340" w:lineRule="exact"/>
        <w:ind w:left="567" w:hanging="567"/>
        <w:rPr>
          <w:rFonts w:hint="eastAsia" w:ascii="仿宋_GB2312" w:hAnsi="宋体"/>
          <w:b/>
          <w:sz w:val="21"/>
        </w:rPr>
      </w:pPr>
      <w:r>
        <w:rPr>
          <w:rFonts w:hint="eastAsia" w:ascii="仿宋_GB2312" w:hAnsi="宋体"/>
          <w:b/>
          <w:sz w:val="21"/>
        </w:rPr>
        <w:t>九</w:t>
      </w:r>
      <w:r>
        <w:rPr>
          <w:rFonts w:ascii="仿宋_GB2312" w:hAnsi="宋体"/>
          <w:b/>
          <w:sz w:val="21"/>
        </w:rPr>
        <w:t xml:space="preserve">. </w:t>
      </w:r>
      <w:r>
        <w:rPr>
          <w:rFonts w:hint="eastAsia" w:ascii="仿宋_GB2312" w:hAnsi="宋体"/>
          <w:b/>
          <w:sz w:val="21"/>
        </w:rPr>
        <w:t>合同的仲裁</w:t>
      </w:r>
    </w:p>
    <w:p>
      <w:pPr>
        <w:pStyle w:val="13"/>
        <w:kinsoku w:val="0"/>
        <w:wordWrap w:val="0"/>
        <w:spacing w:line="340" w:lineRule="exact"/>
        <w:ind w:left="498" w:leftChars="150" w:firstLine="332"/>
        <w:rPr>
          <w:sz w:val="21"/>
        </w:rPr>
      </w:pPr>
      <w:r>
        <w:rPr>
          <w:rFonts w:hint="eastAsia"/>
          <w:sz w:val="21"/>
        </w:rPr>
        <w:t>本合同发生争议，由双方协商或调解解决，协商或调解不成时向签订合同所在地人民法院起诉。</w:t>
      </w:r>
    </w:p>
    <w:p>
      <w:pPr>
        <w:kinsoku w:val="0"/>
        <w:wordWrap w:val="0"/>
        <w:topLinePunct/>
        <w:spacing w:line="340" w:lineRule="exact"/>
        <w:jc w:val="right"/>
        <w:rPr>
          <w:rFonts w:hint="eastAsia" w:ascii="仿宋_GB2312" w:hAnsi="宋体"/>
          <w:sz w:val="21"/>
        </w:rPr>
      </w:pPr>
      <w:r>
        <w:rPr>
          <w:rFonts w:ascii="仿宋_GB2312" w:hAnsi="宋体"/>
          <w:sz w:val="21"/>
        </w:rPr>
        <w:t xml:space="preserve">                 </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47"/>
        <w:gridCol w:w="4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4947" w:type="dxa"/>
            <w:noWrap w:val="0"/>
            <w:vAlign w:val="center"/>
          </w:tcPr>
          <w:p>
            <w:pPr>
              <w:spacing w:line="276" w:lineRule="auto"/>
              <w:jc w:val="left"/>
              <w:rPr>
                <w:rFonts w:ascii="宋体" w:hAnsi="宋体" w:eastAsia="宋体"/>
                <w:sz w:val="18"/>
                <w:szCs w:val="18"/>
              </w:rPr>
            </w:pPr>
            <w:r>
              <w:rPr>
                <w:rFonts w:ascii="宋体" w:hAnsi="宋体" w:eastAsia="宋体"/>
                <w:sz w:val="18"/>
                <w:szCs w:val="18"/>
              </w:rPr>
              <w:t>甲方</w:t>
            </w:r>
            <w:r>
              <w:rPr>
                <w:rFonts w:hint="eastAsia" w:ascii="宋体" w:hAnsi="宋体" w:eastAsia="宋体"/>
                <w:sz w:val="18"/>
                <w:szCs w:val="18"/>
              </w:rPr>
              <w:t>（盖章）</w:t>
            </w:r>
            <w:r>
              <w:rPr>
                <w:rFonts w:ascii="宋体" w:hAnsi="宋体" w:eastAsia="宋体"/>
                <w:sz w:val="18"/>
                <w:szCs w:val="18"/>
              </w:rPr>
              <w:t>：</w:t>
            </w:r>
            <w:r>
              <w:rPr>
                <w:rFonts w:hint="eastAsia" w:ascii="宋体" w:hAnsi="宋体" w:eastAsia="宋体"/>
                <w:sz w:val="18"/>
                <w:szCs w:val="18"/>
              </w:rPr>
              <w:t>汕头大学医学院</w:t>
            </w:r>
          </w:p>
        </w:tc>
        <w:tc>
          <w:tcPr>
            <w:tcW w:w="4986" w:type="dxa"/>
            <w:noWrap w:val="0"/>
            <w:vAlign w:val="center"/>
          </w:tcPr>
          <w:p>
            <w:pPr>
              <w:spacing w:line="276" w:lineRule="auto"/>
              <w:jc w:val="left"/>
              <w:rPr>
                <w:rFonts w:ascii="宋体" w:hAnsi="宋体" w:eastAsia="宋体" w:cs="ˎ̥"/>
                <w:sz w:val="18"/>
                <w:szCs w:val="18"/>
              </w:rPr>
            </w:pPr>
            <w:r>
              <w:rPr>
                <w:rFonts w:ascii="宋体" w:hAnsi="宋体" w:eastAsia="宋体"/>
                <w:sz w:val="18"/>
                <w:szCs w:val="18"/>
              </w:rPr>
              <w:t>乙方</w:t>
            </w:r>
            <w:r>
              <w:rPr>
                <w:rFonts w:hint="eastAsia" w:ascii="宋体" w:hAnsi="宋体" w:eastAsia="宋体"/>
                <w:sz w:val="18"/>
                <w:szCs w:val="18"/>
              </w:rPr>
              <w:t>（盖章）</w:t>
            </w:r>
            <w:r>
              <w:rPr>
                <w:rFonts w:ascii="宋体" w:hAnsi="宋体" w:eastAsia="宋体"/>
                <w:sz w:val="18"/>
                <w:szCs w:val="18"/>
              </w:rPr>
              <w:t>：</w:t>
            </w:r>
            <w:r>
              <w:rPr>
                <w:rFonts w:ascii="宋体" w:hAnsi="宋体" w:eastAsia="宋体" w:cs="ˎ̥"/>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4947" w:type="dxa"/>
            <w:noWrap w:val="0"/>
            <w:vAlign w:val="center"/>
          </w:tcPr>
          <w:p>
            <w:pPr>
              <w:spacing w:line="276" w:lineRule="auto"/>
              <w:jc w:val="left"/>
              <w:rPr>
                <w:rFonts w:hint="eastAsia" w:ascii="宋体" w:hAnsi="宋体" w:eastAsia="宋体"/>
                <w:sz w:val="18"/>
                <w:szCs w:val="18"/>
              </w:rPr>
            </w:pPr>
            <w:r>
              <w:rPr>
                <w:rFonts w:ascii="宋体" w:hAnsi="宋体" w:eastAsia="宋体"/>
                <w:sz w:val="18"/>
                <w:szCs w:val="18"/>
              </w:rPr>
              <w:t>地址：</w:t>
            </w:r>
            <w:r>
              <w:rPr>
                <w:rFonts w:hint="eastAsia" w:ascii="宋体" w:hAnsi="宋体" w:eastAsia="宋体"/>
                <w:sz w:val="18"/>
                <w:szCs w:val="18"/>
              </w:rPr>
              <w:t>汕头市金平区新陵路</w:t>
            </w:r>
            <w:r>
              <w:rPr>
                <w:rFonts w:ascii="宋体" w:hAnsi="宋体" w:eastAsia="宋体"/>
                <w:sz w:val="18"/>
                <w:szCs w:val="18"/>
              </w:rPr>
              <w:t>22号</w:t>
            </w:r>
          </w:p>
        </w:tc>
        <w:tc>
          <w:tcPr>
            <w:tcW w:w="4986" w:type="dxa"/>
            <w:noWrap w:val="0"/>
            <w:vAlign w:val="center"/>
          </w:tcPr>
          <w:p>
            <w:pPr>
              <w:snapToGrid w:val="0"/>
              <w:spacing w:line="276" w:lineRule="auto"/>
              <w:jc w:val="left"/>
              <w:rPr>
                <w:rFonts w:ascii="宋体" w:hAnsi="宋体" w:eastAsia="宋体" w:cs="Courier New"/>
                <w:sz w:val="18"/>
                <w:szCs w:val="18"/>
              </w:rPr>
            </w:pPr>
            <w:r>
              <w:rPr>
                <w:rFonts w:ascii="宋体" w:hAnsi="宋体" w:eastAsia="宋体"/>
                <w:sz w:val="18"/>
                <w:szCs w:val="18"/>
              </w:rPr>
              <w:t>地址：</w:t>
            </w:r>
            <w:r>
              <w:rPr>
                <w:rFonts w:ascii="宋体" w:hAnsi="宋体" w:eastAsia="宋体" w:cs="Courier New"/>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4947" w:type="dxa"/>
            <w:noWrap w:val="0"/>
            <w:vAlign w:val="center"/>
          </w:tcPr>
          <w:p>
            <w:pPr>
              <w:spacing w:line="276" w:lineRule="auto"/>
              <w:jc w:val="left"/>
              <w:rPr>
                <w:rFonts w:hint="eastAsia" w:ascii="宋体" w:hAnsi="宋体" w:eastAsia="宋体"/>
                <w:sz w:val="18"/>
                <w:szCs w:val="18"/>
              </w:rPr>
            </w:pPr>
            <w:r>
              <w:rPr>
                <w:rFonts w:ascii="宋体" w:hAnsi="宋体" w:eastAsia="宋体"/>
                <w:sz w:val="18"/>
                <w:szCs w:val="18"/>
              </w:rPr>
              <w:t>法定代表人：</w:t>
            </w:r>
            <w:r>
              <w:rPr>
                <w:rFonts w:hint="eastAsia" w:ascii="宋体" w:hAnsi="宋体" w:eastAsia="宋体"/>
                <w:sz w:val="18"/>
                <w:szCs w:val="18"/>
              </w:rPr>
              <w:t xml:space="preserve"> 谭学瑞</w:t>
            </w:r>
          </w:p>
        </w:tc>
        <w:tc>
          <w:tcPr>
            <w:tcW w:w="4986" w:type="dxa"/>
            <w:noWrap w:val="0"/>
            <w:vAlign w:val="center"/>
          </w:tcPr>
          <w:p>
            <w:pPr>
              <w:spacing w:line="276" w:lineRule="auto"/>
              <w:jc w:val="left"/>
              <w:rPr>
                <w:rFonts w:ascii="宋体" w:hAnsi="宋体" w:eastAsia="宋体"/>
                <w:sz w:val="18"/>
                <w:szCs w:val="18"/>
              </w:rPr>
            </w:pPr>
            <w:r>
              <w:rPr>
                <w:rFonts w:ascii="宋体" w:hAnsi="宋体" w:eastAsia="宋体"/>
                <w:sz w:val="18"/>
                <w:szCs w:val="18"/>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4947" w:type="dxa"/>
            <w:noWrap w:val="0"/>
            <w:vAlign w:val="center"/>
          </w:tcPr>
          <w:p>
            <w:pPr>
              <w:spacing w:line="276" w:lineRule="auto"/>
              <w:jc w:val="left"/>
              <w:rPr>
                <w:rFonts w:ascii="宋体" w:hAnsi="宋体" w:eastAsia="宋体"/>
                <w:sz w:val="18"/>
                <w:szCs w:val="18"/>
              </w:rPr>
            </w:pPr>
            <w:r>
              <w:rPr>
                <w:rFonts w:ascii="宋体" w:hAnsi="宋体" w:eastAsia="宋体"/>
                <w:sz w:val="18"/>
                <w:szCs w:val="18"/>
              </w:rPr>
              <w:t>委托代理人：</w:t>
            </w:r>
          </w:p>
        </w:tc>
        <w:tc>
          <w:tcPr>
            <w:tcW w:w="4986" w:type="dxa"/>
            <w:noWrap w:val="0"/>
            <w:vAlign w:val="center"/>
          </w:tcPr>
          <w:p>
            <w:pPr>
              <w:spacing w:line="276" w:lineRule="auto"/>
              <w:jc w:val="left"/>
              <w:rPr>
                <w:rFonts w:ascii="宋体" w:hAnsi="宋体" w:eastAsia="宋体"/>
                <w:sz w:val="18"/>
                <w:szCs w:val="18"/>
              </w:rPr>
            </w:pPr>
            <w:r>
              <w:rPr>
                <w:rFonts w:ascii="宋体" w:hAnsi="宋体" w:eastAsia="宋体"/>
                <w:sz w:val="18"/>
                <w:szCs w:val="18"/>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4947" w:type="dxa"/>
            <w:noWrap w:val="0"/>
            <w:vAlign w:val="center"/>
          </w:tcPr>
          <w:p>
            <w:pPr>
              <w:spacing w:line="276" w:lineRule="auto"/>
              <w:jc w:val="left"/>
              <w:rPr>
                <w:rFonts w:hint="eastAsia" w:ascii="宋体" w:hAnsi="宋体" w:eastAsia="宋体"/>
                <w:sz w:val="18"/>
                <w:szCs w:val="18"/>
              </w:rPr>
            </w:pPr>
            <w:r>
              <w:rPr>
                <w:rFonts w:ascii="宋体" w:hAnsi="宋体" w:eastAsia="宋体"/>
                <w:sz w:val="18"/>
                <w:szCs w:val="18"/>
              </w:rPr>
              <w:t>电话：</w:t>
            </w:r>
            <w:r>
              <w:rPr>
                <w:rFonts w:hint="eastAsia" w:ascii="宋体" w:hAnsi="宋体" w:eastAsia="宋体"/>
                <w:sz w:val="18"/>
                <w:szCs w:val="18"/>
              </w:rPr>
              <w:t>0754-88900477</w:t>
            </w:r>
          </w:p>
        </w:tc>
        <w:tc>
          <w:tcPr>
            <w:tcW w:w="4986" w:type="dxa"/>
            <w:noWrap w:val="0"/>
            <w:vAlign w:val="center"/>
          </w:tcPr>
          <w:p>
            <w:pPr>
              <w:spacing w:line="276" w:lineRule="auto"/>
              <w:jc w:val="left"/>
              <w:rPr>
                <w:rFonts w:ascii="宋体" w:hAnsi="宋体" w:eastAsia="宋体"/>
                <w:sz w:val="18"/>
                <w:szCs w:val="18"/>
              </w:rPr>
            </w:pPr>
            <w:r>
              <w:rPr>
                <w:rFonts w:ascii="宋体" w:hAnsi="宋体" w:eastAsia="宋体"/>
                <w:sz w:val="18"/>
                <w:szCs w:val="18"/>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4947" w:type="dxa"/>
            <w:noWrap w:val="0"/>
            <w:vAlign w:val="center"/>
          </w:tcPr>
          <w:p>
            <w:pPr>
              <w:spacing w:line="276" w:lineRule="auto"/>
              <w:jc w:val="left"/>
              <w:rPr>
                <w:rFonts w:ascii="宋体" w:hAnsi="宋体" w:eastAsia="宋体"/>
                <w:sz w:val="18"/>
                <w:szCs w:val="18"/>
              </w:rPr>
            </w:pPr>
            <w:r>
              <w:rPr>
                <w:rFonts w:ascii="宋体" w:hAnsi="宋体" w:eastAsia="宋体"/>
                <w:sz w:val="18"/>
                <w:szCs w:val="18"/>
              </w:rPr>
              <w:t>传真：</w:t>
            </w:r>
            <w:r>
              <w:rPr>
                <w:rFonts w:hint="eastAsia" w:ascii="宋体" w:hAnsi="宋体" w:eastAsia="宋体"/>
                <w:sz w:val="18"/>
                <w:szCs w:val="18"/>
              </w:rPr>
              <w:t>0754-88900305</w:t>
            </w:r>
          </w:p>
        </w:tc>
        <w:tc>
          <w:tcPr>
            <w:tcW w:w="4986" w:type="dxa"/>
            <w:noWrap w:val="0"/>
            <w:vAlign w:val="center"/>
          </w:tcPr>
          <w:p>
            <w:pPr>
              <w:spacing w:line="276" w:lineRule="auto"/>
              <w:jc w:val="left"/>
              <w:rPr>
                <w:rFonts w:ascii="宋体" w:hAnsi="宋体" w:eastAsia="宋体"/>
                <w:sz w:val="18"/>
                <w:szCs w:val="18"/>
              </w:rPr>
            </w:pPr>
            <w:r>
              <w:rPr>
                <w:rFonts w:ascii="宋体" w:hAnsi="宋体" w:eastAsia="宋体"/>
                <w:sz w:val="18"/>
                <w:szCs w:val="18"/>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4947" w:type="dxa"/>
            <w:noWrap w:val="0"/>
            <w:vAlign w:val="center"/>
          </w:tcPr>
          <w:p>
            <w:pPr>
              <w:spacing w:line="276" w:lineRule="auto"/>
              <w:jc w:val="left"/>
              <w:rPr>
                <w:rFonts w:hint="eastAsia" w:ascii="宋体" w:hAnsi="宋体" w:eastAsia="宋体"/>
                <w:sz w:val="18"/>
                <w:szCs w:val="18"/>
              </w:rPr>
            </w:pPr>
            <w:r>
              <w:rPr>
                <w:rFonts w:ascii="宋体" w:hAnsi="宋体" w:eastAsia="宋体"/>
                <w:sz w:val="18"/>
                <w:szCs w:val="18"/>
              </w:rPr>
              <w:t>邮政编码：</w:t>
            </w:r>
            <w:r>
              <w:rPr>
                <w:rFonts w:hint="eastAsia" w:ascii="仿宋_GB2312" w:hAnsi="宋体"/>
                <w:sz w:val="18"/>
                <w:szCs w:val="18"/>
              </w:rPr>
              <w:t>515041</w:t>
            </w:r>
          </w:p>
        </w:tc>
        <w:tc>
          <w:tcPr>
            <w:tcW w:w="4986" w:type="dxa"/>
            <w:noWrap w:val="0"/>
            <w:vAlign w:val="center"/>
          </w:tcPr>
          <w:p>
            <w:pPr>
              <w:spacing w:line="276" w:lineRule="auto"/>
              <w:jc w:val="left"/>
              <w:rPr>
                <w:rFonts w:ascii="宋体" w:hAnsi="宋体" w:eastAsia="宋体"/>
                <w:sz w:val="18"/>
                <w:szCs w:val="18"/>
              </w:rPr>
            </w:pPr>
            <w:r>
              <w:rPr>
                <w:rFonts w:ascii="宋体" w:hAnsi="宋体" w:eastAsia="宋体"/>
                <w:sz w:val="18"/>
                <w:szCs w:val="18"/>
              </w:rPr>
              <w:t>邮政编码</w:t>
            </w:r>
            <w:r>
              <w:rPr>
                <w:rFonts w:hint="eastAsia" w:ascii="宋体" w:hAnsi="宋体" w:eastAsia="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4947" w:type="dxa"/>
            <w:noWrap w:val="0"/>
            <w:vAlign w:val="center"/>
          </w:tcPr>
          <w:p>
            <w:pPr>
              <w:spacing w:line="276" w:lineRule="auto"/>
              <w:jc w:val="left"/>
              <w:rPr>
                <w:rFonts w:hint="eastAsia" w:ascii="宋体" w:hAnsi="宋体" w:eastAsia="宋体"/>
                <w:sz w:val="18"/>
                <w:szCs w:val="18"/>
              </w:rPr>
            </w:pPr>
            <w:r>
              <w:rPr>
                <w:rFonts w:hint="eastAsia" w:ascii="宋体" w:hAnsi="宋体" w:eastAsia="宋体"/>
                <w:sz w:val="18"/>
                <w:szCs w:val="18"/>
              </w:rPr>
              <w:t>开户银行</w:t>
            </w:r>
            <w:r>
              <w:rPr>
                <w:rFonts w:ascii="宋体" w:hAnsi="宋体" w:eastAsia="宋体"/>
                <w:sz w:val="18"/>
                <w:szCs w:val="18"/>
              </w:rPr>
              <w:t>：</w:t>
            </w:r>
            <w:r>
              <w:rPr>
                <w:rFonts w:hint="eastAsia" w:ascii="仿宋_GB2312" w:hAnsi="宋体"/>
                <w:sz w:val="18"/>
                <w:szCs w:val="18"/>
              </w:rPr>
              <w:t>中行嘉泰支行</w:t>
            </w:r>
          </w:p>
        </w:tc>
        <w:tc>
          <w:tcPr>
            <w:tcW w:w="4986" w:type="dxa"/>
            <w:noWrap w:val="0"/>
            <w:vAlign w:val="center"/>
          </w:tcPr>
          <w:p>
            <w:pPr>
              <w:spacing w:line="276" w:lineRule="auto"/>
              <w:jc w:val="left"/>
              <w:rPr>
                <w:rFonts w:ascii="宋体" w:hAnsi="宋体" w:eastAsia="宋体"/>
                <w:sz w:val="18"/>
                <w:szCs w:val="18"/>
              </w:rPr>
            </w:pPr>
            <w:r>
              <w:rPr>
                <w:rFonts w:hint="eastAsia" w:ascii="宋体" w:hAnsi="宋体" w:eastAsia="宋体"/>
                <w:sz w:val="18"/>
                <w:szCs w:val="18"/>
              </w:rPr>
              <w:t>开户银行</w:t>
            </w:r>
            <w:r>
              <w:rPr>
                <w:rFonts w:ascii="宋体" w:hAnsi="宋体" w:eastAsia="宋体"/>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4947" w:type="dxa"/>
            <w:noWrap w:val="0"/>
            <w:vAlign w:val="center"/>
          </w:tcPr>
          <w:p>
            <w:pPr>
              <w:spacing w:line="276" w:lineRule="auto"/>
              <w:jc w:val="left"/>
              <w:rPr>
                <w:rFonts w:hint="eastAsia" w:ascii="宋体" w:hAnsi="宋体" w:eastAsia="宋体"/>
                <w:sz w:val="18"/>
                <w:szCs w:val="18"/>
              </w:rPr>
            </w:pPr>
            <w:r>
              <w:rPr>
                <w:rFonts w:hint="eastAsia" w:ascii="宋体" w:hAnsi="宋体" w:eastAsia="宋体"/>
                <w:sz w:val="18"/>
                <w:szCs w:val="18"/>
              </w:rPr>
              <w:t>开户帐号</w:t>
            </w:r>
            <w:r>
              <w:rPr>
                <w:rFonts w:ascii="宋体" w:hAnsi="宋体" w:eastAsia="宋体"/>
                <w:sz w:val="18"/>
                <w:szCs w:val="18"/>
              </w:rPr>
              <w:t>：</w:t>
            </w:r>
            <w:r>
              <w:rPr>
                <w:rFonts w:hint="eastAsia" w:ascii="仿宋_GB2312" w:hAnsi="宋体"/>
                <w:sz w:val="18"/>
                <w:szCs w:val="18"/>
              </w:rPr>
              <w:t>7055 5774 4822</w:t>
            </w:r>
          </w:p>
        </w:tc>
        <w:tc>
          <w:tcPr>
            <w:tcW w:w="4986" w:type="dxa"/>
            <w:noWrap w:val="0"/>
            <w:vAlign w:val="center"/>
          </w:tcPr>
          <w:p>
            <w:pPr>
              <w:spacing w:line="276" w:lineRule="auto"/>
              <w:jc w:val="left"/>
              <w:rPr>
                <w:rFonts w:ascii="宋体" w:hAnsi="宋体" w:eastAsia="宋体"/>
                <w:sz w:val="18"/>
                <w:szCs w:val="18"/>
              </w:rPr>
            </w:pPr>
            <w:r>
              <w:rPr>
                <w:rFonts w:hint="eastAsia" w:ascii="宋体" w:hAnsi="宋体" w:eastAsia="宋体"/>
                <w:sz w:val="18"/>
                <w:szCs w:val="18"/>
              </w:rPr>
              <w:t>开户帐号</w:t>
            </w:r>
            <w:r>
              <w:rPr>
                <w:rFonts w:ascii="宋体" w:hAnsi="宋体" w:eastAsia="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4947" w:type="dxa"/>
            <w:noWrap w:val="0"/>
            <w:vAlign w:val="center"/>
          </w:tcPr>
          <w:p>
            <w:pPr>
              <w:spacing w:line="276" w:lineRule="auto"/>
              <w:jc w:val="left"/>
              <w:rPr>
                <w:rFonts w:hint="eastAsia" w:ascii="宋体" w:hAnsi="宋体" w:eastAsia="宋体"/>
                <w:sz w:val="18"/>
                <w:szCs w:val="18"/>
              </w:rPr>
            </w:pPr>
            <w:r>
              <w:rPr>
                <w:rFonts w:hint="eastAsia" w:ascii="宋体" w:hAnsi="宋体" w:eastAsia="宋体"/>
                <w:sz w:val="18"/>
                <w:szCs w:val="18"/>
              </w:rPr>
              <w:t>统一社会信用代码：12440000455861456K</w:t>
            </w:r>
          </w:p>
        </w:tc>
        <w:tc>
          <w:tcPr>
            <w:tcW w:w="4986" w:type="dxa"/>
            <w:noWrap w:val="0"/>
            <w:vAlign w:val="center"/>
          </w:tcPr>
          <w:p>
            <w:pPr>
              <w:spacing w:line="276" w:lineRule="auto"/>
              <w:jc w:val="left"/>
              <w:rPr>
                <w:rFonts w:hint="eastAsia" w:ascii="宋体" w:hAnsi="宋体" w:eastAsia="宋体"/>
                <w:sz w:val="18"/>
                <w:szCs w:val="18"/>
              </w:rPr>
            </w:pPr>
            <w:r>
              <w:rPr>
                <w:rFonts w:hint="eastAsia" w:ascii="宋体" w:hAnsi="宋体" w:eastAsia="宋体"/>
                <w:sz w:val="18"/>
                <w:szCs w:val="18"/>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4947" w:type="dxa"/>
            <w:noWrap w:val="0"/>
            <w:vAlign w:val="center"/>
          </w:tcPr>
          <w:p>
            <w:pPr>
              <w:spacing w:line="276" w:lineRule="auto"/>
              <w:jc w:val="left"/>
              <w:rPr>
                <w:rFonts w:ascii="宋体" w:hAnsi="宋体" w:eastAsia="宋体"/>
                <w:sz w:val="18"/>
                <w:szCs w:val="18"/>
              </w:rPr>
            </w:pPr>
            <w:r>
              <w:rPr>
                <w:rFonts w:hint="eastAsia" w:ascii="宋体" w:hAnsi="宋体" w:eastAsia="宋体"/>
                <w:sz w:val="18"/>
                <w:szCs w:val="18"/>
              </w:rPr>
              <w:t>签订日期</w:t>
            </w:r>
            <w:r>
              <w:rPr>
                <w:rFonts w:ascii="宋体" w:hAnsi="宋体" w:eastAsia="宋体"/>
                <w:sz w:val="18"/>
                <w:szCs w:val="18"/>
              </w:rPr>
              <w:t>：</w:t>
            </w:r>
            <w:r>
              <w:rPr>
                <w:rFonts w:hint="eastAsia" w:ascii="宋体" w:hAnsi="宋体" w:eastAsia="宋体"/>
                <w:sz w:val="18"/>
                <w:szCs w:val="18"/>
              </w:rPr>
              <w:t xml:space="preserve">       年     月     日</w:t>
            </w:r>
          </w:p>
        </w:tc>
        <w:tc>
          <w:tcPr>
            <w:tcW w:w="4986" w:type="dxa"/>
            <w:noWrap w:val="0"/>
            <w:vAlign w:val="center"/>
          </w:tcPr>
          <w:p>
            <w:pPr>
              <w:spacing w:line="276" w:lineRule="auto"/>
              <w:jc w:val="left"/>
              <w:rPr>
                <w:rFonts w:ascii="宋体" w:hAnsi="宋体" w:eastAsia="宋体"/>
                <w:sz w:val="18"/>
                <w:szCs w:val="18"/>
              </w:rPr>
            </w:pPr>
            <w:r>
              <w:rPr>
                <w:rFonts w:hint="eastAsia" w:ascii="宋体" w:hAnsi="宋体" w:eastAsia="宋体"/>
                <w:sz w:val="18"/>
                <w:szCs w:val="18"/>
              </w:rPr>
              <w:t>签订日期</w:t>
            </w:r>
            <w:r>
              <w:rPr>
                <w:rFonts w:ascii="宋体" w:hAnsi="宋体" w:eastAsia="宋体"/>
                <w:sz w:val="18"/>
                <w:szCs w:val="18"/>
              </w:rPr>
              <w:t>：</w:t>
            </w:r>
            <w:r>
              <w:rPr>
                <w:rFonts w:hint="eastAsia" w:ascii="宋体" w:hAnsi="宋体" w:eastAsia="宋体"/>
                <w:sz w:val="18"/>
                <w:szCs w:val="18"/>
              </w:rPr>
              <w:t xml:space="preserve">       年     月     日</w:t>
            </w:r>
          </w:p>
        </w:tc>
      </w:tr>
    </w:tbl>
    <w:p>
      <w:pPr>
        <w:kinsoku w:val="0"/>
        <w:wordWrap w:val="0"/>
        <w:topLinePunct/>
        <w:spacing w:line="360" w:lineRule="atLeast"/>
        <w:ind w:firstLine="186" w:firstLineChars="50"/>
        <w:rPr>
          <w:rFonts w:hint="eastAsia" w:ascii="宋体" w:hAnsi="宋体" w:eastAsia="宋体"/>
          <w:b/>
          <w:sz w:val="32"/>
        </w:rPr>
      </w:pPr>
      <w:r>
        <w:rPr>
          <w:rFonts w:hint="eastAsia" w:ascii="宋体" w:hAnsi="宋体" w:eastAsia="宋体"/>
          <w:b/>
          <w:sz w:val="32"/>
        </w:rPr>
        <w:t>第四部分    投  标</w:t>
      </w:r>
      <w:r>
        <w:rPr>
          <w:rFonts w:ascii="宋体" w:hAnsi="宋体" w:eastAsia="宋体"/>
          <w:b/>
          <w:sz w:val="32"/>
        </w:rPr>
        <w:t xml:space="preserve">  </w:t>
      </w:r>
      <w:r>
        <w:rPr>
          <w:rFonts w:hint="eastAsia" w:ascii="宋体" w:hAnsi="宋体" w:eastAsia="宋体"/>
          <w:b/>
          <w:sz w:val="32"/>
        </w:rPr>
        <w:t>书（格式）</w:t>
      </w:r>
    </w:p>
    <w:p>
      <w:pPr>
        <w:kinsoku w:val="0"/>
        <w:wordWrap w:val="0"/>
        <w:topLinePunct/>
        <w:spacing w:after="120" w:line="360" w:lineRule="atLeast"/>
        <w:rPr>
          <w:rFonts w:ascii="仿宋_GB2312" w:hAnsi="宋体"/>
          <w:sz w:val="24"/>
        </w:rPr>
      </w:pPr>
      <w:r>
        <w:rPr>
          <w:rFonts w:hint="eastAsia" w:ascii="仿宋_GB2312" w:hAnsi="宋体"/>
          <w:sz w:val="24"/>
        </w:rPr>
        <w:t>致：汕头大学医学院：</w:t>
      </w:r>
    </w:p>
    <w:p>
      <w:pPr>
        <w:kinsoku w:val="0"/>
        <w:wordWrap w:val="0"/>
        <w:topLinePunct/>
        <w:spacing w:after="120" w:line="240" w:lineRule="atLeast"/>
        <w:ind w:firstLine="585"/>
        <w:rPr>
          <w:rFonts w:hint="eastAsia" w:ascii="仿宋_GB2312" w:hAnsi="宋体"/>
          <w:sz w:val="24"/>
        </w:rPr>
      </w:pPr>
      <w:r>
        <w:rPr>
          <w:rFonts w:hint="eastAsia" w:ascii="仿宋_GB2312" w:hAnsi="宋体"/>
          <w:sz w:val="24"/>
        </w:rPr>
        <w:t>根据你们第设</w:t>
      </w:r>
      <w:r>
        <w:rPr>
          <w:rFonts w:ascii="仿宋_GB2312" w:hAnsi="宋体"/>
          <w:sz w:val="24"/>
          <w:u w:val="single"/>
        </w:rPr>
        <w:t xml:space="preserve">           </w:t>
      </w:r>
      <w:r>
        <w:rPr>
          <w:rFonts w:hint="eastAsia" w:ascii="仿宋_GB2312" w:hAnsi="宋体"/>
          <w:sz w:val="24"/>
        </w:rPr>
        <w:t>号（招标编号）招标文件要求，</w:t>
      </w:r>
      <w:r>
        <w:rPr>
          <w:rFonts w:ascii="仿宋_GB2312" w:hAnsi="宋体"/>
          <w:sz w:val="24"/>
          <w:u w:val="single"/>
        </w:rPr>
        <w:t xml:space="preserve">                </w:t>
      </w:r>
      <w:r>
        <w:rPr>
          <w:rFonts w:hint="eastAsia" w:ascii="仿宋_GB2312" w:hAnsi="宋体"/>
          <w:sz w:val="24"/>
        </w:rPr>
        <w:t>（全名及职衔）经正式授权并以投标人</w:t>
      </w:r>
      <w:r>
        <w:rPr>
          <w:rFonts w:ascii="仿宋_GB2312" w:hAnsi="宋体"/>
          <w:sz w:val="24"/>
          <w:u w:val="single"/>
        </w:rPr>
        <w:t xml:space="preserve">                            </w:t>
      </w:r>
      <w:r>
        <w:rPr>
          <w:rFonts w:hint="eastAsia" w:ascii="仿宋_GB2312" w:hAnsi="宋体"/>
          <w:sz w:val="24"/>
          <w:u w:val="single"/>
        </w:rPr>
        <w:t xml:space="preserve"> </w:t>
      </w:r>
      <w:r>
        <w:rPr>
          <w:rFonts w:hint="eastAsia" w:ascii="仿宋_GB2312" w:hAnsi="宋体"/>
          <w:sz w:val="24"/>
        </w:rPr>
        <w:t>（投标人名称、地址）的名义投标。提交下述文件正本一份和副本一式柒份。</w:t>
      </w:r>
    </w:p>
    <w:p>
      <w:pPr>
        <w:pStyle w:val="6"/>
        <w:numPr>
          <w:ilvl w:val="3"/>
          <w:numId w:val="18"/>
        </w:numPr>
        <w:kinsoku w:val="0"/>
        <w:wordWrap w:val="0"/>
        <w:topLinePunct/>
        <w:autoSpaceDE/>
        <w:autoSpaceDN/>
        <w:spacing w:line="200" w:lineRule="atLeast"/>
        <w:ind w:left="1912" w:hanging="584"/>
        <w:rPr>
          <w:rFonts w:hint="eastAsia" w:ascii="仿宋_GB2312" w:hAnsi="宋体"/>
          <w:sz w:val="24"/>
        </w:rPr>
      </w:pPr>
      <w:r>
        <w:rPr>
          <w:rFonts w:hint="eastAsia" w:ascii="仿宋_GB2312" w:hAnsi="宋体"/>
          <w:sz w:val="24"/>
        </w:rPr>
        <w:t>投标书；</w:t>
      </w:r>
    </w:p>
    <w:p>
      <w:pPr>
        <w:pStyle w:val="6"/>
        <w:numPr>
          <w:ilvl w:val="3"/>
          <w:numId w:val="18"/>
        </w:numPr>
        <w:kinsoku w:val="0"/>
        <w:wordWrap w:val="0"/>
        <w:topLinePunct/>
        <w:autoSpaceDE/>
        <w:autoSpaceDN/>
        <w:spacing w:line="200" w:lineRule="atLeast"/>
        <w:ind w:left="1912" w:hanging="584"/>
        <w:rPr>
          <w:rFonts w:hint="eastAsia" w:ascii="仿宋_GB2312" w:hAnsi="宋体"/>
          <w:sz w:val="24"/>
        </w:rPr>
      </w:pPr>
      <w:r>
        <w:rPr>
          <w:rFonts w:hint="eastAsia" w:ascii="仿宋_GB2312" w:hAnsi="宋体" w:eastAsia="仿宋_GB2312"/>
          <w:sz w:val="24"/>
        </w:rPr>
        <w:t>开标一览表；</w:t>
      </w:r>
    </w:p>
    <w:p>
      <w:pPr>
        <w:pStyle w:val="6"/>
        <w:numPr>
          <w:ilvl w:val="3"/>
          <w:numId w:val="18"/>
        </w:numPr>
        <w:kinsoku w:val="0"/>
        <w:wordWrap w:val="0"/>
        <w:topLinePunct/>
        <w:autoSpaceDE/>
        <w:autoSpaceDN/>
        <w:spacing w:line="200" w:lineRule="atLeast"/>
        <w:ind w:left="1912" w:hanging="584"/>
        <w:rPr>
          <w:rFonts w:hint="eastAsia" w:ascii="仿宋_GB2312" w:hAnsi="宋体"/>
          <w:sz w:val="24"/>
        </w:rPr>
      </w:pPr>
      <w:r>
        <w:rPr>
          <w:rFonts w:hint="eastAsia" w:ascii="仿宋_GB2312" w:hAnsi="宋体" w:eastAsia="仿宋_GB2312"/>
          <w:sz w:val="24"/>
        </w:rPr>
        <w:t>设备配置一览表；</w:t>
      </w:r>
    </w:p>
    <w:p>
      <w:pPr>
        <w:pStyle w:val="6"/>
        <w:numPr>
          <w:ilvl w:val="3"/>
          <w:numId w:val="18"/>
        </w:numPr>
        <w:kinsoku w:val="0"/>
        <w:wordWrap w:val="0"/>
        <w:topLinePunct/>
        <w:autoSpaceDE/>
        <w:autoSpaceDN/>
        <w:spacing w:line="200" w:lineRule="atLeast"/>
        <w:ind w:left="1912" w:hanging="584"/>
        <w:rPr>
          <w:rFonts w:hint="eastAsia" w:ascii="仿宋_GB2312" w:hAnsi="宋体"/>
          <w:sz w:val="24"/>
        </w:rPr>
      </w:pPr>
      <w:r>
        <w:rPr>
          <w:rFonts w:hint="eastAsia" w:ascii="仿宋_GB2312" w:hAnsi="宋体" w:eastAsia="仿宋_GB2312"/>
          <w:sz w:val="24"/>
        </w:rPr>
        <w:t>服务承诺书；</w:t>
      </w:r>
    </w:p>
    <w:p>
      <w:pPr>
        <w:pStyle w:val="6"/>
        <w:kinsoku w:val="0"/>
        <w:wordWrap w:val="0"/>
        <w:topLinePunct/>
        <w:autoSpaceDE/>
        <w:autoSpaceDN/>
        <w:spacing w:line="200" w:lineRule="atLeast"/>
        <w:ind w:left="1328" w:leftChars="0" w:firstLine="0" w:firstLineChars="0"/>
        <w:rPr>
          <w:rFonts w:hint="eastAsia" w:ascii="仿宋_GB2312" w:hAnsi="宋体"/>
          <w:sz w:val="24"/>
        </w:rPr>
      </w:pPr>
    </w:p>
    <w:p>
      <w:pPr>
        <w:kinsoku w:val="0"/>
        <w:wordWrap w:val="0"/>
        <w:topLinePunct/>
        <w:spacing w:line="360" w:lineRule="atLeast"/>
        <w:rPr>
          <w:rFonts w:ascii="仿宋_GB2312" w:hAnsi="宋体"/>
          <w:sz w:val="24"/>
        </w:rPr>
      </w:pPr>
      <w:r>
        <w:rPr>
          <w:rFonts w:hint="eastAsia" w:ascii="仿宋_GB2312" w:hAnsi="宋体"/>
          <w:sz w:val="24"/>
        </w:rPr>
        <w:t>签字代表在此声明并同意：</w:t>
      </w:r>
    </w:p>
    <w:p>
      <w:pPr>
        <w:kinsoku w:val="0"/>
        <w:wordWrap w:val="0"/>
        <w:topLinePunct/>
        <w:spacing w:line="360" w:lineRule="atLeast"/>
        <w:ind w:left="830" w:hanging="830"/>
        <w:rPr>
          <w:rFonts w:ascii="仿宋_GB2312" w:hAnsi="宋体"/>
          <w:sz w:val="24"/>
        </w:rPr>
      </w:pPr>
      <w:r>
        <w:rPr>
          <w:rFonts w:ascii="仿宋_GB2312" w:hAnsi="宋体"/>
          <w:sz w:val="24"/>
        </w:rPr>
        <w:t xml:space="preserve">   </w:t>
      </w:r>
      <w:r>
        <w:rPr>
          <w:rFonts w:hint="eastAsia" w:ascii="仿宋_GB2312" w:hAnsi="宋体"/>
          <w:sz w:val="24"/>
        </w:rPr>
        <w:t>１</w:t>
      </w:r>
      <w:r>
        <w:rPr>
          <w:rFonts w:ascii="仿宋_GB2312" w:hAnsi="宋体"/>
          <w:sz w:val="24"/>
        </w:rPr>
        <w:t>.</w:t>
      </w:r>
      <w:r>
        <w:rPr>
          <w:rFonts w:hint="eastAsia" w:ascii="仿宋_GB2312" w:hAnsi="宋体"/>
          <w:sz w:val="24"/>
        </w:rPr>
        <w:t>我们愿意遵守招标人招标文件中的各项规定，供应符合“技术规范”所要求的设备，投标总报价为：</w:t>
      </w:r>
      <w:r>
        <w:rPr>
          <w:rFonts w:hint="eastAsia" w:ascii="仿宋_GB2312" w:hAnsi="宋体"/>
          <w:sz w:val="24"/>
          <w:u w:val="single"/>
        </w:rPr>
        <w:t xml:space="preserve">         </w:t>
      </w:r>
      <w:r>
        <w:rPr>
          <w:rFonts w:hint="eastAsia" w:ascii="仿宋_GB2312" w:hAnsi="宋体"/>
          <w:sz w:val="24"/>
        </w:rPr>
        <w:t>元。</w:t>
      </w:r>
    </w:p>
    <w:p>
      <w:pPr>
        <w:kinsoku w:val="0"/>
        <w:wordWrap w:val="0"/>
        <w:topLinePunct/>
        <w:spacing w:line="360" w:lineRule="atLeast"/>
        <w:ind w:left="851" w:hanging="851"/>
        <w:rPr>
          <w:rFonts w:ascii="仿宋_GB2312" w:hAnsi="宋体"/>
          <w:sz w:val="24"/>
        </w:rPr>
      </w:pPr>
      <w:r>
        <w:rPr>
          <w:rFonts w:ascii="仿宋_GB2312" w:hAnsi="宋体"/>
          <w:sz w:val="24"/>
        </w:rPr>
        <w:t xml:space="preserve">   </w:t>
      </w:r>
      <w:r>
        <w:rPr>
          <w:rFonts w:hint="eastAsia" w:ascii="仿宋_GB2312" w:hAnsi="宋体"/>
          <w:sz w:val="24"/>
        </w:rPr>
        <w:t>２</w:t>
      </w:r>
      <w:r>
        <w:rPr>
          <w:rFonts w:ascii="仿宋_GB2312" w:hAnsi="宋体"/>
          <w:sz w:val="24"/>
        </w:rPr>
        <w:t>.</w:t>
      </w:r>
      <w:r>
        <w:rPr>
          <w:rFonts w:hint="eastAsia" w:ascii="仿宋_GB2312" w:hAnsi="宋体"/>
          <w:sz w:val="24"/>
        </w:rPr>
        <w:t>我们同意本投标自投标截止日起30天内有效。如果我们的投标被接受，则直至合同生效时止，本投标始终有效。</w:t>
      </w:r>
    </w:p>
    <w:p>
      <w:pPr>
        <w:kinsoku w:val="0"/>
        <w:wordWrap w:val="0"/>
        <w:topLinePunct/>
        <w:spacing w:line="360" w:lineRule="atLeast"/>
        <w:ind w:left="851" w:hanging="851"/>
        <w:rPr>
          <w:rFonts w:ascii="仿宋_GB2312" w:hAnsi="宋体"/>
          <w:sz w:val="24"/>
        </w:rPr>
      </w:pPr>
      <w:r>
        <w:rPr>
          <w:rFonts w:ascii="仿宋_GB2312" w:hAnsi="宋体"/>
          <w:sz w:val="24"/>
        </w:rPr>
        <w:t xml:space="preserve">   </w:t>
      </w:r>
      <w:r>
        <w:rPr>
          <w:rFonts w:hint="eastAsia" w:ascii="仿宋_GB2312" w:hAnsi="宋体"/>
          <w:sz w:val="24"/>
        </w:rPr>
        <w:t>３</w:t>
      </w:r>
      <w:r>
        <w:rPr>
          <w:rFonts w:ascii="仿宋_GB2312" w:hAnsi="宋体"/>
          <w:sz w:val="24"/>
        </w:rPr>
        <w:t>.</w:t>
      </w:r>
      <w:r>
        <w:rPr>
          <w:rFonts w:hint="eastAsia" w:ascii="仿宋_GB2312" w:hAnsi="宋体"/>
          <w:sz w:val="24"/>
        </w:rPr>
        <w:t>我们已经详细地阅读了全部招标文件及附件，包括澄清及参考文件（如果有的话），我们完全理解并同意放弃对这方面有不明及误解的权利。</w:t>
      </w:r>
    </w:p>
    <w:p>
      <w:pPr>
        <w:kinsoku w:val="0"/>
        <w:wordWrap w:val="0"/>
        <w:topLinePunct/>
        <w:spacing w:line="360" w:lineRule="atLeast"/>
        <w:ind w:left="851" w:hanging="851"/>
        <w:rPr>
          <w:rFonts w:ascii="仿宋_GB2312" w:hAnsi="宋体"/>
          <w:sz w:val="24"/>
        </w:rPr>
      </w:pPr>
      <w:r>
        <w:rPr>
          <w:rFonts w:ascii="仿宋_GB2312" w:hAnsi="宋体"/>
          <w:sz w:val="24"/>
        </w:rPr>
        <w:t xml:space="preserve">   </w:t>
      </w:r>
      <w:r>
        <w:rPr>
          <w:rFonts w:hint="eastAsia" w:ascii="仿宋_GB2312" w:hAnsi="宋体"/>
          <w:sz w:val="24"/>
        </w:rPr>
        <w:t>４</w:t>
      </w:r>
      <w:r>
        <w:rPr>
          <w:rFonts w:ascii="仿宋_GB2312" w:hAnsi="宋体"/>
          <w:sz w:val="24"/>
        </w:rPr>
        <w:t>.</w:t>
      </w:r>
      <w:r>
        <w:rPr>
          <w:rFonts w:hint="eastAsia" w:ascii="仿宋_GB2312" w:hAnsi="宋体"/>
          <w:sz w:val="24"/>
        </w:rPr>
        <w:t>我们同意提供招标人要求的有关投标的其他资料。</w:t>
      </w:r>
    </w:p>
    <w:p>
      <w:pPr>
        <w:kinsoku w:val="0"/>
        <w:wordWrap w:val="0"/>
        <w:topLinePunct/>
        <w:spacing w:line="360" w:lineRule="atLeast"/>
        <w:ind w:left="851" w:hanging="851"/>
        <w:rPr>
          <w:rFonts w:ascii="仿宋_GB2312" w:hAnsi="宋体"/>
          <w:sz w:val="24"/>
        </w:rPr>
      </w:pPr>
      <w:r>
        <w:rPr>
          <w:rFonts w:ascii="仿宋_GB2312" w:hAnsi="宋体"/>
          <w:sz w:val="24"/>
        </w:rPr>
        <w:t xml:space="preserve">   </w:t>
      </w:r>
      <w:r>
        <w:rPr>
          <w:rFonts w:hint="eastAsia" w:ascii="仿宋_GB2312" w:hAnsi="宋体"/>
          <w:sz w:val="24"/>
        </w:rPr>
        <w:t>５</w:t>
      </w:r>
      <w:r>
        <w:rPr>
          <w:rFonts w:ascii="仿宋_GB2312" w:hAnsi="宋体"/>
          <w:sz w:val="24"/>
        </w:rPr>
        <w:t>.</w:t>
      </w:r>
      <w:r>
        <w:rPr>
          <w:rFonts w:hint="eastAsia" w:ascii="仿宋_GB2312" w:hAnsi="宋体"/>
          <w:sz w:val="24"/>
        </w:rPr>
        <w:t>我们理解，招标人并无义务必须接受最低报价的投标或其他任何投标。</w:t>
      </w:r>
    </w:p>
    <w:p>
      <w:pPr>
        <w:kinsoku w:val="0"/>
        <w:wordWrap w:val="0"/>
        <w:topLinePunct/>
        <w:spacing w:line="360" w:lineRule="atLeast"/>
        <w:rPr>
          <w:rFonts w:hint="eastAsia" w:ascii="仿宋_GB2312" w:hAnsi="宋体"/>
          <w:sz w:val="24"/>
        </w:rPr>
      </w:pPr>
      <w:r>
        <w:rPr>
          <w:rFonts w:ascii="仿宋_GB2312" w:hAnsi="宋体"/>
          <w:sz w:val="24"/>
        </w:rPr>
        <w:t xml:space="preserve">   </w:t>
      </w:r>
      <w:r>
        <w:rPr>
          <w:rFonts w:hint="eastAsia" w:ascii="仿宋_GB2312" w:hAnsi="宋体"/>
          <w:sz w:val="24"/>
        </w:rPr>
        <w:t>６</w:t>
      </w:r>
      <w:r>
        <w:rPr>
          <w:rFonts w:ascii="仿宋_GB2312" w:hAnsi="宋体"/>
          <w:sz w:val="24"/>
        </w:rPr>
        <w:t>.</w:t>
      </w:r>
      <w:r>
        <w:rPr>
          <w:rFonts w:hint="eastAsia" w:ascii="仿宋_GB2312" w:hAnsi="宋体"/>
          <w:sz w:val="24"/>
        </w:rPr>
        <w:t>所有有关本次投标的函电请寄：</w:t>
      </w:r>
      <w:r>
        <w:rPr>
          <w:rFonts w:ascii="仿宋_GB2312" w:hAnsi="宋体"/>
          <w:sz w:val="24"/>
          <w:u w:val="single"/>
        </w:rPr>
        <w:t xml:space="preserve">                     </w:t>
      </w:r>
    </w:p>
    <w:p>
      <w:pPr>
        <w:kinsoku w:val="0"/>
        <w:wordWrap w:val="0"/>
        <w:topLinePunct/>
        <w:spacing w:line="360" w:lineRule="atLeast"/>
        <w:rPr>
          <w:rFonts w:hint="eastAsia" w:ascii="仿宋_GB2312" w:hAnsi="宋体"/>
          <w:sz w:val="24"/>
        </w:rPr>
      </w:pPr>
      <w:r>
        <w:rPr>
          <w:rFonts w:hint="eastAsia" w:ascii="仿宋_GB2312" w:hAnsi="宋体"/>
          <w:sz w:val="24"/>
        </w:rPr>
        <w:t>授权代表（签名）</w:t>
      </w:r>
      <w:r>
        <w:rPr>
          <w:rFonts w:ascii="仿宋_GB2312" w:hAnsi="宋体"/>
          <w:sz w:val="24"/>
        </w:rPr>
        <w:t>:</w:t>
      </w:r>
      <w:r>
        <w:rPr>
          <w:rFonts w:ascii="仿宋_GB2312" w:hAnsi="宋体"/>
          <w:sz w:val="24"/>
          <w:u w:val="single"/>
        </w:rPr>
        <w:t xml:space="preserve">                          </w:t>
      </w:r>
    </w:p>
    <w:p>
      <w:pPr>
        <w:kinsoku w:val="0"/>
        <w:wordWrap w:val="0"/>
        <w:topLinePunct/>
        <w:spacing w:line="360" w:lineRule="atLeast"/>
        <w:rPr>
          <w:rFonts w:hint="eastAsia" w:ascii="仿宋_GB2312" w:hAnsi="宋体"/>
          <w:sz w:val="24"/>
        </w:rPr>
      </w:pPr>
      <w:r>
        <w:rPr>
          <w:rFonts w:hint="eastAsia" w:ascii="仿宋_GB2312" w:hAnsi="宋体"/>
          <w:sz w:val="24"/>
        </w:rPr>
        <w:t>职</w:t>
      </w:r>
      <w:r>
        <w:rPr>
          <w:rFonts w:ascii="仿宋_GB2312" w:hAnsi="宋体"/>
          <w:sz w:val="24"/>
        </w:rPr>
        <w:t xml:space="preserve">    </w:t>
      </w:r>
      <w:r>
        <w:rPr>
          <w:rFonts w:hint="eastAsia" w:ascii="仿宋_GB2312" w:hAnsi="宋体"/>
          <w:sz w:val="24"/>
        </w:rPr>
        <w:t xml:space="preserve">  位</w:t>
      </w:r>
      <w:r>
        <w:rPr>
          <w:rFonts w:ascii="仿宋_GB2312" w:hAnsi="宋体"/>
          <w:sz w:val="24"/>
        </w:rPr>
        <w:t>:</w:t>
      </w:r>
      <w:r>
        <w:rPr>
          <w:rFonts w:ascii="仿宋_GB2312" w:hAnsi="宋体"/>
          <w:sz w:val="24"/>
          <w:u w:val="single"/>
        </w:rPr>
        <w:t xml:space="preserve">                                </w:t>
      </w:r>
    </w:p>
    <w:p>
      <w:pPr>
        <w:kinsoku w:val="0"/>
        <w:wordWrap w:val="0"/>
        <w:topLinePunct/>
        <w:spacing w:line="360" w:lineRule="atLeast"/>
        <w:rPr>
          <w:rFonts w:hint="eastAsia" w:ascii="仿宋_GB2312" w:hAnsi="宋体"/>
          <w:sz w:val="24"/>
        </w:rPr>
      </w:pPr>
      <w:r>
        <w:rPr>
          <w:rFonts w:hint="eastAsia" w:ascii="仿宋_GB2312" w:hAnsi="宋体"/>
          <w:sz w:val="24"/>
        </w:rPr>
        <w:t>投标方名称</w:t>
      </w:r>
      <w:r>
        <w:rPr>
          <w:rFonts w:ascii="仿宋_GB2312" w:hAnsi="宋体"/>
          <w:sz w:val="24"/>
        </w:rPr>
        <w:t>:</w:t>
      </w:r>
      <w:r>
        <w:rPr>
          <w:rFonts w:ascii="仿宋_GB2312" w:hAnsi="宋体"/>
          <w:sz w:val="24"/>
          <w:u w:val="single"/>
        </w:rPr>
        <w:t xml:space="preserve">                                </w:t>
      </w:r>
    </w:p>
    <w:p>
      <w:pPr>
        <w:kinsoku w:val="0"/>
        <w:wordWrap w:val="0"/>
        <w:topLinePunct/>
        <w:spacing w:line="360" w:lineRule="atLeast"/>
        <w:rPr>
          <w:rFonts w:hint="eastAsia" w:ascii="仿宋_GB2312" w:hAnsi="宋体"/>
          <w:sz w:val="24"/>
        </w:rPr>
      </w:pPr>
      <w:r>
        <w:rPr>
          <w:rFonts w:hint="eastAsia" w:ascii="仿宋_GB2312" w:hAnsi="宋体"/>
          <w:sz w:val="24"/>
        </w:rPr>
        <w:t>投标方印章</w:t>
      </w:r>
      <w:r>
        <w:rPr>
          <w:rFonts w:ascii="仿宋_GB2312" w:hAnsi="宋体"/>
          <w:sz w:val="24"/>
        </w:rPr>
        <w:t>:</w:t>
      </w:r>
      <w:r>
        <w:rPr>
          <w:rFonts w:ascii="仿宋_GB2312" w:hAnsi="宋体"/>
          <w:sz w:val="24"/>
          <w:u w:val="single"/>
        </w:rPr>
        <w:t xml:space="preserve">                                </w:t>
      </w:r>
    </w:p>
    <w:p>
      <w:pPr>
        <w:kinsoku w:val="0"/>
        <w:wordWrap w:val="0"/>
        <w:topLinePunct/>
        <w:spacing w:line="360" w:lineRule="atLeast"/>
        <w:rPr>
          <w:rFonts w:hint="eastAsia" w:ascii="仿宋_GB2312" w:hAnsi="宋体"/>
          <w:sz w:val="24"/>
        </w:rPr>
      </w:pPr>
      <w:r>
        <w:rPr>
          <w:rFonts w:ascii="仿宋_GB2312" w:hAnsi="宋体"/>
          <w:sz w:val="24"/>
        </w:rPr>
        <w:t xml:space="preserve">  </w:t>
      </w:r>
    </w:p>
    <w:p>
      <w:pPr>
        <w:kinsoku w:val="0"/>
        <w:wordWrap w:val="0"/>
        <w:topLinePunct/>
        <w:spacing w:line="360" w:lineRule="atLeast"/>
        <w:rPr>
          <w:rFonts w:ascii="仿宋_GB2312" w:hAnsi="宋体"/>
          <w:sz w:val="24"/>
        </w:rPr>
      </w:pPr>
      <w:r>
        <w:rPr>
          <w:rFonts w:hint="eastAsia" w:ascii="仿宋_GB2312" w:hAnsi="宋体"/>
          <w:sz w:val="24"/>
        </w:rPr>
        <w:t>电</w:t>
      </w:r>
      <w:r>
        <w:rPr>
          <w:rFonts w:ascii="仿宋_GB2312" w:hAnsi="宋体"/>
          <w:sz w:val="24"/>
        </w:rPr>
        <w:t xml:space="preserve">  </w:t>
      </w:r>
      <w:r>
        <w:rPr>
          <w:rFonts w:hint="eastAsia" w:ascii="仿宋_GB2312" w:hAnsi="宋体"/>
          <w:sz w:val="24"/>
        </w:rPr>
        <w:t>话：</w:t>
      </w:r>
      <w:r>
        <w:rPr>
          <w:rFonts w:ascii="仿宋_GB2312" w:hAnsi="宋体"/>
          <w:sz w:val="24"/>
        </w:rPr>
        <w:t xml:space="preserve">           </w:t>
      </w:r>
      <w:r>
        <w:rPr>
          <w:rFonts w:hint="eastAsia" w:ascii="仿宋_GB2312" w:hAnsi="宋体"/>
          <w:sz w:val="24"/>
        </w:rPr>
        <w:t>传</w:t>
      </w:r>
      <w:r>
        <w:rPr>
          <w:rFonts w:ascii="仿宋_GB2312" w:hAnsi="宋体"/>
          <w:sz w:val="24"/>
        </w:rPr>
        <w:t xml:space="preserve">  </w:t>
      </w:r>
      <w:r>
        <w:rPr>
          <w:rFonts w:hint="eastAsia" w:ascii="仿宋_GB2312" w:hAnsi="宋体"/>
          <w:sz w:val="24"/>
        </w:rPr>
        <w:t xml:space="preserve">真：            </w:t>
      </w:r>
      <w:r>
        <w:rPr>
          <w:rFonts w:ascii="仿宋_GB2312" w:hAnsi="宋体"/>
          <w:sz w:val="24"/>
        </w:rPr>
        <w:t>E_mail:</w:t>
      </w:r>
    </w:p>
    <w:p>
      <w:pPr>
        <w:kinsoku w:val="0"/>
        <w:wordWrap w:val="0"/>
        <w:topLinePunct/>
        <w:spacing w:line="360" w:lineRule="exact"/>
        <w:rPr>
          <w:rFonts w:hint="eastAsia" w:ascii="仿宋_GB2312" w:hAnsi="宋体"/>
          <w:sz w:val="24"/>
        </w:rPr>
      </w:pPr>
      <w:r>
        <w:rPr>
          <w:rFonts w:ascii="仿宋_GB2312" w:hAnsi="宋体"/>
          <w:sz w:val="24"/>
        </w:rPr>
        <w:br w:type="page"/>
      </w:r>
      <w:r>
        <w:rPr>
          <w:rFonts w:hint="eastAsia" w:ascii="仿宋_GB2312" w:hAnsi="宋体"/>
          <w:sz w:val="24"/>
        </w:rPr>
        <w:t>投标书附件1：</w:t>
      </w:r>
    </w:p>
    <w:p>
      <w:pPr>
        <w:kinsoku w:val="0"/>
        <w:wordWrap w:val="0"/>
        <w:topLinePunct/>
        <w:spacing w:line="360" w:lineRule="exact"/>
        <w:jc w:val="center"/>
        <w:rPr>
          <w:rFonts w:hint="eastAsia" w:ascii="宋体" w:hAnsi="宋体" w:eastAsia="宋体"/>
          <w:b/>
          <w:sz w:val="32"/>
        </w:rPr>
      </w:pPr>
    </w:p>
    <w:p>
      <w:pPr>
        <w:kinsoku w:val="0"/>
        <w:wordWrap w:val="0"/>
        <w:topLinePunct/>
        <w:spacing w:line="360" w:lineRule="exact"/>
        <w:jc w:val="center"/>
        <w:rPr>
          <w:rFonts w:hint="eastAsia" w:ascii="宋体" w:hAnsi="宋体" w:eastAsia="宋体"/>
          <w:b/>
          <w:sz w:val="32"/>
        </w:rPr>
      </w:pPr>
    </w:p>
    <w:p>
      <w:pPr>
        <w:kinsoku w:val="0"/>
        <w:wordWrap w:val="0"/>
        <w:topLinePunct/>
        <w:spacing w:line="360" w:lineRule="exact"/>
        <w:jc w:val="center"/>
        <w:rPr>
          <w:rFonts w:ascii="宋体" w:hAnsi="宋体" w:eastAsia="宋体"/>
          <w:b/>
          <w:sz w:val="32"/>
        </w:rPr>
      </w:pPr>
      <w:r>
        <w:rPr>
          <w:rFonts w:hint="eastAsia" w:ascii="宋体" w:hAnsi="宋体" w:eastAsia="宋体"/>
          <w:b/>
          <w:sz w:val="32"/>
        </w:rPr>
        <w:t>开标一览表</w:t>
      </w:r>
    </w:p>
    <w:p>
      <w:pPr>
        <w:kinsoku w:val="0"/>
        <w:wordWrap w:val="0"/>
        <w:topLinePunct/>
        <w:spacing w:line="360" w:lineRule="exact"/>
        <w:rPr>
          <w:rFonts w:hint="eastAsia" w:ascii="仿宋_GB2312" w:hAnsi="宋体"/>
          <w:sz w:val="24"/>
        </w:rPr>
      </w:pPr>
    </w:p>
    <w:p>
      <w:pPr>
        <w:kinsoku w:val="0"/>
        <w:wordWrap w:val="0"/>
        <w:topLinePunct/>
        <w:spacing w:line="360" w:lineRule="exact"/>
        <w:rPr>
          <w:rFonts w:hint="eastAsia" w:ascii="仿宋_GB2312" w:hAnsi="宋体"/>
          <w:sz w:val="24"/>
          <w:u w:val="single"/>
        </w:rPr>
      </w:pPr>
      <w:r>
        <w:rPr>
          <w:rFonts w:hint="eastAsia" w:ascii="仿宋_GB2312" w:hAnsi="宋体"/>
          <w:sz w:val="24"/>
        </w:rPr>
        <w:t>投标方名称：</w:t>
      </w:r>
      <w:r>
        <w:rPr>
          <w:rFonts w:hint="eastAsia" w:ascii="仿宋_GB2312" w:hAnsi="宋体"/>
          <w:sz w:val="24"/>
          <w:u w:val="single"/>
        </w:rPr>
        <w:t xml:space="preserve">                     </w:t>
      </w:r>
      <w:r>
        <w:rPr>
          <w:rFonts w:hint="eastAsia" w:ascii="仿宋_GB2312" w:hAnsi="宋体"/>
          <w:sz w:val="24"/>
        </w:rPr>
        <w:t>，招标编号：</w:t>
      </w:r>
      <w:r>
        <w:rPr>
          <w:rFonts w:hint="eastAsia" w:ascii="仿宋_GB2312" w:hAnsi="宋体"/>
          <w:sz w:val="24"/>
          <w:u w:val="single"/>
        </w:rPr>
        <w:t xml:space="preserve">         </w:t>
      </w:r>
    </w:p>
    <w:p>
      <w:pPr>
        <w:kinsoku w:val="0"/>
        <w:wordWrap w:val="0"/>
        <w:topLinePunct/>
        <w:spacing w:line="360" w:lineRule="exact"/>
        <w:rPr>
          <w:rFonts w:hint="eastAsia" w:ascii="仿宋_GB2312" w:hAnsi="宋体"/>
          <w:sz w:val="21"/>
        </w:rPr>
      </w:pPr>
      <w:r>
        <w:rPr>
          <w:rFonts w:hint="eastAsia" w:ascii="仿宋_GB2312" w:hAnsi="宋体"/>
          <w:sz w:val="21"/>
        </w:rPr>
        <w:t xml:space="preserve">                                              金额单位：元  人民币</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6"/>
        <w:gridCol w:w="3652"/>
        <w:gridCol w:w="1992"/>
        <w:gridCol w:w="2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noWrap w:val="0"/>
            <w:vAlign w:val="top"/>
          </w:tcPr>
          <w:p>
            <w:pPr>
              <w:kinsoku w:val="0"/>
              <w:wordWrap w:val="0"/>
              <w:topLinePunct/>
              <w:spacing w:line="360" w:lineRule="exact"/>
              <w:jc w:val="center"/>
              <w:rPr>
                <w:rFonts w:hint="eastAsia" w:ascii="仿宋_GB2312" w:hAnsi="宋体"/>
                <w:sz w:val="18"/>
              </w:rPr>
            </w:pPr>
            <w:r>
              <w:rPr>
                <w:rFonts w:hint="eastAsia" w:ascii="仿宋_GB2312" w:hAnsi="宋体"/>
                <w:sz w:val="18"/>
              </w:rPr>
              <w:t>序号</w:t>
            </w:r>
          </w:p>
        </w:tc>
        <w:tc>
          <w:tcPr>
            <w:tcW w:w="3652" w:type="dxa"/>
            <w:noWrap w:val="0"/>
            <w:vAlign w:val="center"/>
          </w:tcPr>
          <w:p>
            <w:pPr>
              <w:kinsoku w:val="0"/>
              <w:wordWrap w:val="0"/>
              <w:topLinePunct/>
              <w:spacing w:line="360" w:lineRule="exact"/>
              <w:jc w:val="center"/>
              <w:rPr>
                <w:rFonts w:hint="eastAsia" w:ascii="仿宋_GB2312" w:hAnsi="宋体"/>
                <w:sz w:val="18"/>
              </w:rPr>
            </w:pPr>
            <w:r>
              <w:rPr>
                <w:rFonts w:hint="eastAsia" w:ascii="仿宋_GB2312" w:hAnsi="宋体"/>
                <w:sz w:val="18"/>
              </w:rPr>
              <w:t>项目名称</w:t>
            </w:r>
          </w:p>
        </w:tc>
        <w:tc>
          <w:tcPr>
            <w:tcW w:w="1992" w:type="dxa"/>
            <w:noWrap w:val="0"/>
            <w:vAlign w:val="center"/>
          </w:tcPr>
          <w:p>
            <w:pPr>
              <w:kinsoku w:val="0"/>
              <w:wordWrap w:val="0"/>
              <w:topLinePunct/>
              <w:spacing w:line="360" w:lineRule="exact"/>
              <w:jc w:val="center"/>
              <w:rPr>
                <w:rFonts w:hint="eastAsia" w:ascii="仿宋_GB2312" w:hAnsi="宋体"/>
                <w:sz w:val="18"/>
              </w:rPr>
            </w:pPr>
            <w:r>
              <w:rPr>
                <w:rFonts w:hint="eastAsia" w:ascii="仿宋_GB2312" w:hAnsi="宋体"/>
                <w:sz w:val="18"/>
              </w:rPr>
              <w:t>投标总报价</w:t>
            </w:r>
          </w:p>
        </w:tc>
        <w:tc>
          <w:tcPr>
            <w:tcW w:w="2656" w:type="dxa"/>
            <w:noWrap w:val="0"/>
            <w:vAlign w:val="center"/>
          </w:tcPr>
          <w:p>
            <w:pPr>
              <w:kinsoku w:val="0"/>
              <w:wordWrap w:val="0"/>
              <w:topLinePunct/>
              <w:spacing w:line="360" w:lineRule="exact"/>
              <w:jc w:val="center"/>
              <w:rPr>
                <w:rFonts w:hint="eastAsia" w:ascii="仿宋_GB2312" w:hAnsi="宋体"/>
                <w:sz w:val="18"/>
              </w:rPr>
            </w:pPr>
            <w:r>
              <w:rPr>
                <w:rFonts w:hint="eastAsia" w:ascii="仿宋_GB2312" w:hAnsi="宋体"/>
                <w:sz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noWrap w:val="0"/>
            <w:vAlign w:val="top"/>
          </w:tcPr>
          <w:p>
            <w:pPr>
              <w:kinsoku w:val="0"/>
              <w:wordWrap w:val="0"/>
              <w:topLinePunct/>
              <w:spacing w:line="360" w:lineRule="exact"/>
              <w:jc w:val="center"/>
              <w:rPr>
                <w:rFonts w:hint="eastAsia" w:ascii="仿宋_GB2312" w:hAnsi="宋体"/>
                <w:sz w:val="18"/>
              </w:rPr>
            </w:pPr>
            <w:r>
              <w:rPr>
                <w:rFonts w:hint="eastAsia" w:ascii="仿宋_GB2312" w:hAnsi="宋体"/>
                <w:sz w:val="18"/>
              </w:rPr>
              <w:t>一</w:t>
            </w:r>
          </w:p>
        </w:tc>
        <w:tc>
          <w:tcPr>
            <w:tcW w:w="3652" w:type="dxa"/>
            <w:noWrap w:val="0"/>
            <w:vAlign w:val="center"/>
          </w:tcPr>
          <w:p>
            <w:pPr>
              <w:kinsoku w:val="0"/>
              <w:wordWrap w:val="0"/>
              <w:topLinePunct/>
              <w:spacing w:line="360" w:lineRule="exact"/>
              <w:rPr>
                <w:rFonts w:hint="eastAsia" w:ascii="仿宋_GB2312" w:hAnsi="宋体"/>
                <w:sz w:val="18"/>
              </w:rPr>
            </w:pPr>
          </w:p>
        </w:tc>
        <w:tc>
          <w:tcPr>
            <w:tcW w:w="1992" w:type="dxa"/>
            <w:noWrap w:val="0"/>
            <w:vAlign w:val="center"/>
          </w:tcPr>
          <w:p>
            <w:pPr>
              <w:kinsoku w:val="0"/>
              <w:wordWrap w:val="0"/>
              <w:topLinePunct/>
              <w:spacing w:line="360" w:lineRule="exact"/>
              <w:jc w:val="center"/>
              <w:rPr>
                <w:rFonts w:hint="eastAsia" w:ascii="仿宋_GB2312" w:hAnsi="宋体"/>
                <w:sz w:val="18"/>
              </w:rPr>
            </w:pPr>
          </w:p>
        </w:tc>
        <w:tc>
          <w:tcPr>
            <w:tcW w:w="2656" w:type="dxa"/>
            <w:noWrap w:val="0"/>
            <w:vAlign w:val="center"/>
          </w:tcPr>
          <w:p>
            <w:pPr>
              <w:kinsoku w:val="0"/>
              <w:wordWrap w:val="0"/>
              <w:topLinePunct/>
              <w:spacing w:line="360" w:lineRule="exact"/>
              <w:jc w:val="center"/>
              <w:rPr>
                <w:rFonts w:hint="eastAsia" w:ascii="仿宋_GB2312"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noWrap w:val="0"/>
            <w:vAlign w:val="top"/>
          </w:tcPr>
          <w:p>
            <w:pPr>
              <w:kinsoku w:val="0"/>
              <w:wordWrap w:val="0"/>
              <w:topLinePunct/>
              <w:spacing w:line="360" w:lineRule="exact"/>
              <w:jc w:val="center"/>
              <w:rPr>
                <w:rFonts w:hint="eastAsia" w:ascii="仿宋_GB2312" w:hAnsi="宋体"/>
                <w:sz w:val="18"/>
              </w:rPr>
            </w:pPr>
            <w:r>
              <w:rPr>
                <w:rFonts w:hint="eastAsia" w:ascii="仿宋_GB2312" w:hAnsi="宋体"/>
                <w:sz w:val="18"/>
              </w:rPr>
              <w:t>二</w:t>
            </w:r>
          </w:p>
        </w:tc>
        <w:tc>
          <w:tcPr>
            <w:tcW w:w="3652" w:type="dxa"/>
            <w:noWrap w:val="0"/>
            <w:vAlign w:val="center"/>
          </w:tcPr>
          <w:p>
            <w:pPr>
              <w:kinsoku w:val="0"/>
              <w:wordWrap w:val="0"/>
              <w:topLinePunct/>
              <w:spacing w:line="360" w:lineRule="exact"/>
              <w:rPr>
                <w:rFonts w:hint="eastAsia"/>
                <w:sz w:val="18"/>
              </w:rPr>
            </w:pPr>
          </w:p>
        </w:tc>
        <w:tc>
          <w:tcPr>
            <w:tcW w:w="1992" w:type="dxa"/>
            <w:noWrap w:val="0"/>
            <w:vAlign w:val="center"/>
          </w:tcPr>
          <w:p>
            <w:pPr>
              <w:kinsoku w:val="0"/>
              <w:wordWrap w:val="0"/>
              <w:topLinePunct/>
              <w:spacing w:line="360" w:lineRule="exact"/>
              <w:jc w:val="center"/>
              <w:rPr>
                <w:rFonts w:hint="eastAsia" w:ascii="仿宋_GB2312" w:hAnsi="宋体"/>
                <w:sz w:val="18"/>
              </w:rPr>
            </w:pPr>
          </w:p>
        </w:tc>
        <w:tc>
          <w:tcPr>
            <w:tcW w:w="2656" w:type="dxa"/>
            <w:noWrap w:val="0"/>
            <w:vAlign w:val="center"/>
          </w:tcPr>
          <w:p>
            <w:pPr>
              <w:kinsoku w:val="0"/>
              <w:wordWrap w:val="0"/>
              <w:topLinePunct/>
              <w:spacing w:line="360" w:lineRule="exact"/>
              <w:jc w:val="center"/>
              <w:rPr>
                <w:rFonts w:hint="eastAsia" w:ascii="仿宋_GB2312"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606" w:type="dxa"/>
            <w:noWrap w:val="0"/>
            <w:vAlign w:val="top"/>
          </w:tcPr>
          <w:p>
            <w:pPr>
              <w:kinsoku w:val="0"/>
              <w:wordWrap w:val="0"/>
              <w:topLinePunct/>
              <w:spacing w:line="360" w:lineRule="exact"/>
              <w:jc w:val="center"/>
              <w:rPr>
                <w:rFonts w:hint="eastAsia" w:ascii="仿宋_GB2312" w:hAnsi="宋体"/>
                <w:sz w:val="18"/>
              </w:rPr>
            </w:pPr>
            <w:r>
              <w:rPr>
                <w:rFonts w:hint="eastAsia" w:ascii="仿宋_GB2312" w:hAnsi="宋体"/>
                <w:sz w:val="18"/>
              </w:rPr>
              <w:t>三</w:t>
            </w:r>
          </w:p>
        </w:tc>
        <w:tc>
          <w:tcPr>
            <w:tcW w:w="3652" w:type="dxa"/>
            <w:noWrap w:val="0"/>
            <w:vAlign w:val="center"/>
          </w:tcPr>
          <w:p>
            <w:pPr>
              <w:kinsoku w:val="0"/>
              <w:wordWrap w:val="0"/>
              <w:topLinePunct/>
              <w:spacing w:line="360" w:lineRule="exact"/>
              <w:rPr>
                <w:rFonts w:hint="eastAsia"/>
                <w:sz w:val="18"/>
              </w:rPr>
            </w:pPr>
          </w:p>
        </w:tc>
        <w:tc>
          <w:tcPr>
            <w:tcW w:w="1992" w:type="dxa"/>
            <w:noWrap w:val="0"/>
            <w:vAlign w:val="center"/>
          </w:tcPr>
          <w:p>
            <w:pPr>
              <w:kinsoku w:val="0"/>
              <w:wordWrap w:val="0"/>
              <w:topLinePunct/>
              <w:spacing w:line="360" w:lineRule="exact"/>
              <w:jc w:val="center"/>
              <w:rPr>
                <w:rFonts w:hint="eastAsia" w:ascii="仿宋_GB2312" w:hAnsi="宋体"/>
                <w:sz w:val="18"/>
              </w:rPr>
            </w:pPr>
          </w:p>
        </w:tc>
        <w:tc>
          <w:tcPr>
            <w:tcW w:w="2656" w:type="dxa"/>
            <w:noWrap w:val="0"/>
            <w:vAlign w:val="center"/>
          </w:tcPr>
          <w:p>
            <w:pPr>
              <w:kinsoku w:val="0"/>
              <w:wordWrap w:val="0"/>
              <w:topLinePunct/>
              <w:spacing w:line="360" w:lineRule="exact"/>
              <w:jc w:val="center"/>
              <w:rPr>
                <w:rFonts w:hint="eastAsia" w:ascii="仿宋_GB2312"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noWrap w:val="0"/>
            <w:vAlign w:val="top"/>
          </w:tcPr>
          <w:p>
            <w:pPr>
              <w:kinsoku w:val="0"/>
              <w:wordWrap w:val="0"/>
              <w:topLinePunct/>
              <w:spacing w:line="360" w:lineRule="exact"/>
              <w:jc w:val="center"/>
              <w:rPr>
                <w:rFonts w:hint="eastAsia" w:ascii="仿宋_GB2312" w:hAnsi="宋体"/>
                <w:sz w:val="18"/>
              </w:rPr>
            </w:pPr>
            <w:r>
              <w:rPr>
                <w:rFonts w:hint="eastAsia" w:ascii="仿宋_GB2312" w:hAnsi="宋体"/>
                <w:sz w:val="18"/>
              </w:rPr>
              <w:t>四</w:t>
            </w:r>
          </w:p>
        </w:tc>
        <w:tc>
          <w:tcPr>
            <w:tcW w:w="3652" w:type="dxa"/>
            <w:noWrap w:val="0"/>
            <w:vAlign w:val="center"/>
          </w:tcPr>
          <w:p>
            <w:pPr>
              <w:kinsoku w:val="0"/>
              <w:wordWrap w:val="0"/>
              <w:topLinePunct/>
              <w:spacing w:line="360" w:lineRule="exact"/>
              <w:rPr>
                <w:rFonts w:hint="eastAsia"/>
                <w:sz w:val="18"/>
              </w:rPr>
            </w:pPr>
          </w:p>
        </w:tc>
        <w:tc>
          <w:tcPr>
            <w:tcW w:w="1992" w:type="dxa"/>
            <w:noWrap w:val="0"/>
            <w:vAlign w:val="center"/>
          </w:tcPr>
          <w:p>
            <w:pPr>
              <w:kinsoku w:val="0"/>
              <w:wordWrap w:val="0"/>
              <w:topLinePunct/>
              <w:spacing w:line="360" w:lineRule="exact"/>
              <w:jc w:val="center"/>
              <w:rPr>
                <w:rFonts w:hint="eastAsia" w:ascii="仿宋_GB2312" w:hAnsi="宋体"/>
                <w:sz w:val="18"/>
              </w:rPr>
            </w:pPr>
          </w:p>
        </w:tc>
        <w:tc>
          <w:tcPr>
            <w:tcW w:w="2656" w:type="dxa"/>
            <w:noWrap w:val="0"/>
            <w:vAlign w:val="center"/>
          </w:tcPr>
          <w:p>
            <w:pPr>
              <w:kinsoku w:val="0"/>
              <w:wordWrap w:val="0"/>
              <w:topLinePunct/>
              <w:spacing w:line="360" w:lineRule="exact"/>
              <w:jc w:val="center"/>
              <w:rPr>
                <w:rFonts w:hint="eastAsia" w:ascii="仿宋_GB2312"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noWrap w:val="0"/>
            <w:vAlign w:val="top"/>
          </w:tcPr>
          <w:p>
            <w:pPr>
              <w:kinsoku w:val="0"/>
              <w:wordWrap w:val="0"/>
              <w:topLinePunct/>
              <w:spacing w:line="360" w:lineRule="exact"/>
              <w:jc w:val="center"/>
              <w:rPr>
                <w:rFonts w:hint="eastAsia" w:ascii="仿宋_GB2312" w:hAnsi="宋体"/>
                <w:sz w:val="18"/>
              </w:rPr>
            </w:pPr>
            <w:r>
              <w:rPr>
                <w:rFonts w:hint="eastAsia" w:ascii="仿宋_GB2312" w:hAnsi="宋体"/>
                <w:sz w:val="18"/>
              </w:rPr>
              <w:t>五</w:t>
            </w:r>
          </w:p>
        </w:tc>
        <w:tc>
          <w:tcPr>
            <w:tcW w:w="3652" w:type="dxa"/>
            <w:noWrap w:val="0"/>
            <w:vAlign w:val="center"/>
          </w:tcPr>
          <w:p>
            <w:pPr>
              <w:kinsoku w:val="0"/>
              <w:wordWrap w:val="0"/>
              <w:topLinePunct/>
              <w:spacing w:line="360" w:lineRule="exact"/>
              <w:rPr>
                <w:rFonts w:hint="eastAsia"/>
                <w:sz w:val="18"/>
              </w:rPr>
            </w:pPr>
          </w:p>
        </w:tc>
        <w:tc>
          <w:tcPr>
            <w:tcW w:w="1992" w:type="dxa"/>
            <w:noWrap w:val="0"/>
            <w:vAlign w:val="center"/>
          </w:tcPr>
          <w:p>
            <w:pPr>
              <w:kinsoku w:val="0"/>
              <w:wordWrap w:val="0"/>
              <w:topLinePunct/>
              <w:spacing w:line="360" w:lineRule="exact"/>
              <w:jc w:val="center"/>
              <w:rPr>
                <w:rFonts w:hint="eastAsia" w:ascii="仿宋_GB2312" w:hAnsi="宋体"/>
                <w:sz w:val="18"/>
              </w:rPr>
            </w:pPr>
          </w:p>
        </w:tc>
        <w:tc>
          <w:tcPr>
            <w:tcW w:w="2656" w:type="dxa"/>
            <w:noWrap w:val="0"/>
            <w:vAlign w:val="center"/>
          </w:tcPr>
          <w:p>
            <w:pPr>
              <w:kinsoku w:val="0"/>
              <w:wordWrap w:val="0"/>
              <w:topLinePunct/>
              <w:spacing w:line="360" w:lineRule="exact"/>
              <w:jc w:val="center"/>
              <w:rPr>
                <w:rFonts w:hint="eastAsia" w:ascii="仿宋_GB2312"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noWrap w:val="0"/>
            <w:vAlign w:val="top"/>
          </w:tcPr>
          <w:p>
            <w:pPr>
              <w:kinsoku w:val="0"/>
              <w:wordWrap w:val="0"/>
              <w:topLinePunct/>
              <w:spacing w:line="360" w:lineRule="exact"/>
              <w:jc w:val="center"/>
              <w:rPr>
                <w:rFonts w:hint="eastAsia" w:ascii="仿宋_GB2312" w:hAnsi="宋体"/>
                <w:sz w:val="18"/>
              </w:rPr>
            </w:pPr>
            <w:r>
              <w:rPr>
                <w:rFonts w:hint="eastAsia" w:ascii="仿宋_GB2312" w:hAnsi="宋体"/>
                <w:sz w:val="18"/>
              </w:rPr>
              <w:t>六</w:t>
            </w:r>
          </w:p>
        </w:tc>
        <w:tc>
          <w:tcPr>
            <w:tcW w:w="3652" w:type="dxa"/>
            <w:noWrap w:val="0"/>
            <w:vAlign w:val="center"/>
          </w:tcPr>
          <w:p>
            <w:pPr>
              <w:kinsoku w:val="0"/>
              <w:wordWrap w:val="0"/>
              <w:topLinePunct/>
              <w:spacing w:line="360" w:lineRule="exact"/>
              <w:rPr>
                <w:rFonts w:hint="eastAsia"/>
                <w:sz w:val="18"/>
              </w:rPr>
            </w:pPr>
          </w:p>
        </w:tc>
        <w:tc>
          <w:tcPr>
            <w:tcW w:w="1992" w:type="dxa"/>
            <w:noWrap w:val="0"/>
            <w:vAlign w:val="center"/>
          </w:tcPr>
          <w:p>
            <w:pPr>
              <w:kinsoku w:val="0"/>
              <w:wordWrap w:val="0"/>
              <w:topLinePunct/>
              <w:spacing w:line="360" w:lineRule="exact"/>
              <w:jc w:val="center"/>
              <w:rPr>
                <w:rFonts w:hint="eastAsia" w:ascii="仿宋_GB2312" w:hAnsi="宋体"/>
                <w:sz w:val="18"/>
              </w:rPr>
            </w:pPr>
          </w:p>
        </w:tc>
        <w:tc>
          <w:tcPr>
            <w:tcW w:w="2656" w:type="dxa"/>
            <w:noWrap w:val="0"/>
            <w:vAlign w:val="center"/>
          </w:tcPr>
          <w:p>
            <w:pPr>
              <w:kinsoku w:val="0"/>
              <w:wordWrap w:val="0"/>
              <w:topLinePunct/>
              <w:spacing w:line="360" w:lineRule="exact"/>
              <w:jc w:val="center"/>
              <w:rPr>
                <w:rFonts w:hint="eastAsia" w:ascii="仿宋_GB2312"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606" w:type="dxa"/>
            <w:noWrap w:val="0"/>
            <w:vAlign w:val="top"/>
          </w:tcPr>
          <w:p>
            <w:pPr>
              <w:kinsoku w:val="0"/>
              <w:wordWrap w:val="0"/>
              <w:topLinePunct/>
              <w:spacing w:line="360" w:lineRule="exact"/>
              <w:jc w:val="center"/>
              <w:rPr>
                <w:rFonts w:hint="eastAsia" w:ascii="仿宋_GB2312" w:hAnsi="宋体"/>
                <w:sz w:val="18"/>
              </w:rPr>
            </w:pPr>
            <w:r>
              <w:rPr>
                <w:rFonts w:hint="eastAsia" w:ascii="仿宋_GB2312" w:hAnsi="宋体"/>
                <w:sz w:val="18"/>
              </w:rPr>
              <w:t>七</w:t>
            </w:r>
          </w:p>
        </w:tc>
        <w:tc>
          <w:tcPr>
            <w:tcW w:w="3652" w:type="dxa"/>
            <w:noWrap w:val="0"/>
            <w:vAlign w:val="center"/>
          </w:tcPr>
          <w:p>
            <w:pPr>
              <w:kinsoku w:val="0"/>
              <w:wordWrap w:val="0"/>
              <w:topLinePunct/>
              <w:spacing w:line="360" w:lineRule="exact"/>
              <w:rPr>
                <w:rFonts w:hint="eastAsia"/>
                <w:sz w:val="18"/>
              </w:rPr>
            </w:pPr>
          </w:p>
        </w:tc>
        <w:tc>
          <w:tcPr>
            <w:tcW w:w="1992" w:type="dxa"/>
            <w:noWrap w:val="0"/>
            <w:vAlign w:val="center"/>
          </w:tcPr>
          <w:p>
            <w:pPr>
              <w:kinsoku w:val="0"/>
              <w:wordWrap w:val="0"/>
              <w:topLinePunct/>
              <w:spacing w:line="360" w:lineRule="exact"/>
              <w:jc w:val="center"/>
              <w:rPr>
                <w:rFonts w:hint="eastAsia" w:ascii="仿宋_GB2312" w:hAnsi="宋体"/>
                <w:sz w:val="18"/>
              </w:rPr>
            </w:pPr>
          </w:p>
        </w:tc>
        <w:tc>
          <w:tcPr>
            <w:tcW w:w="2656" w:type="dxa"/>
            <w:noWrap w:val="0"/>
            <w:vAlign w:val="center"/>
          </w:tcPr>
          <w:p>
            <w:pPr>
              <w:kinsoku w:val="0"/>
              <w:wordWrap w:val="0"/>
              <w:topLinePunct/>
              <w:spacing w:line="360" w:lineRule="exact"/>
              <w:jc w:val="center"/>
              <w:rPr>
                <w:rFonts w:hint="eastAsia" w:ascii="仿宋_GB2312"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noWrap w:val="0"/>
            <w:vAlign w:val="top"/>
          </w:tcPr>
          <w:p>
            <w:pPr>
              <w:kinsoku w:val="0"/>
              <w:wordWrap w:val="0"/>
              <w:topLinePunct/>
              <w:spacing w:line="360" w:lineRule="exact"/>
              <w:jc w:val="center"/>
              <w:rPr>
                <w:rFonts w:hint="eastAsia" w:ascii="仿宋_GB2312" w:hAnsi="宋体"/>
                <w:sz w:val="18"/>
              </w:rPr>
            </w:pPr>
            <w:r>
              <w:rPr>
                <w:rFonts w:hint="eastAsia" w:ascii="仿宋_GB2312" w:hAnsi="宋体"/>
                <w:sz w:val="18"/>
              </w:rPr>
              <w:t>八</w:t>
            </w:r>
          </w:p>
        </w:tc>
        <w:tc>
          <w:tcPr>
            <w:tcW w:w="3652" w:type="dxa"/>
            <w:noWrap w:val="0"/>
            <w:vAlign w:val="center"/>
          </w:tcPr>
          <w:p>
            <w:pPr>
              <w:kinsoku w:val="0"/>
              <w:wordWrap w:val="0"/>
              <w:topLinePunct/>
              <w:spacing w:line="360" w:lineRule="exact"/>
              <w:rPr>
                <w:rFonts w:hint="eastAsia"/>
                <w:sz w:val="18"/>
              </w:rPr>
            </w:pPr>
          </w:p>
        </w:tc>
        <w:tc>
          <w:tcPr>
            <w:tcW w:w="1992" w:type="dxa"/>
            <w:noWrap w:val="0"/>
            <w:vAlign w:val="center"/>
          </w:tcPr>
          <w:p>
            <w:pPr>
              <w:kinsoku w:val="0"/>
              <w:wordWrap w:val="0"/>
              <w:topLinePunct/>
              <w:spacing w:line="360" w:lineRule="exact"/>
              <w:jc w:val="center"/>
              <w:rPr>
                <w:rFonts w:hint="eastAsia" w:ascii="仿宋_GB2312" w:hAnsi="宋体"/>
                <w:sz w:val="18"/>
              </w:rPr>
            </w:pPr>
          </w:p>
        </w:tc>
        <w:tc>
          <w:tcPr>
            <w:tcW w:w="2656" w:type="dxa"/>
            <w:noWrap w:val="0"/>
            <w:vAlign w:val="center"/>
          </w:tcPr>
          <w:p>
            <w:pPr>
              <w:kinsoku w:val="0"/>
              <w:wordWrap w:val="0"/>
              <w:topLinePunct/>
              <w:spacing w:line="360" w:lineRule="exact"/>
              <w:jc w:val="center"/>
              <w:rPr>
                <w:rFonts w:hint="eastAsia" w:ascii="仿宋_GB2312" w:hAnsi="宋体"/>
                <w:sz w:val="18"/>
              </w:rPr>
            </w:pPr>
          </w:p>
        </w:tc>
      </w:tr>
    </w:tbl>
    <w:p>
      <w:pPr>
        <w:kinsoku w:val="0"/>
        <w:wordWrap w:val="0"/>
        <w:topLinePunct/>
        <w:spacing w:line="360" w:lineRule="exact"/>
        <w:rPr>
          <w:rFonts w:ascii="仿宋_GB2312" w:hAnsi="宋体"/>
          <w:sz w:val="24"/>
        </w:rPr>
      </w:pPr>
    </w:p>
    <w:p>
      <w:pPr>
        <w:kinsoku w:val="0"/>
        <w:wordWrap w:val="0"/>
        <w:topLinePunct/>
        <w:rPr>
          <w:rFonts w:hint="eastAsia" w:ascii="仿宋_GB2312" w:hAnsi="宋体"/>
          <w:sz w:val="24"/>
        </w:rPr>
      </w:pPr>
      <w:r>
        <w:rPr>
          <w:rFonts w:ascii="仿宋_GB2312" w:hAnsi="宋体"/>
          <w:sz w:val="24"/>
        </w:rPr>
        <w:br w:type="page"/>
      </w:r>
      <w:r>
        <w:rPr>
          <w:rFonts w:hint="eastAsia" w:ascii="仿宋_GB2312" w:hAnsi="宋体"/>
          <w:sz w:val="24"/>
        </w:rPr>
        <w:t>投标书附件2：</w:t>
      </w:r>
    </w:p>
    <w:p>
      <w:pPr>
        <w:kinsoku w:val="0"/>
        <w:wordWrap w:val="0"/>
        <w:topLinePunct/>
        <w:rPr>
          <w:rFonts w:hint="eastAsia" w:ascii="宋体" w:hAnsi="宋体" w:eastAsia="宋体"/>
        </w:rPr>
      </w:pPr>
    </w:p>
    <w:p>
      <w:pPr>
        <w:kinsoku w:val="0"/>
        <w:wordWrap w:val="0"/>
        <w:topLinePunct/>
        <w:ind w:left="851" w:hanging="851"/>
        <w:jc w:val="center"/>
        <w:rPr>
          <w:rFonts w:hint="eastAsia" w:ascii="宋体" w:hAnsi="宋体" w:eastAsia="宋体"/>
          <w:b/>
          <w:sz w:val="32"/>
        </w:rPr>
      </w:pPr>
      <w:r>
        <w:rPr>
          <w:rFonts w:hint="eastAsia" w:ascii="宋体" w:hAnsi="宋体" w:eastAsia="宋体"/>
          <w:b/>
          <w:sz w:val="32"/>
        </w:rPr>
        <w:t>服务承诺书（格式）</w:t>
      </w:r>
    </w:p>
    <w:p>
      <w:pPr>
        <w:kinsoku w:val="0"/>
        <w:wordWrap w:val="0"/>
        <w:topLinePunct/>
        <w:ind w:left="851" w:hanging="851"/>
        <w:jc w:val="center"/>
        <w:rPr>
          <w:rFonts w:hint="eastAsia" w:ascii="宋体" w:hAnsi="宋体" w:eastAsia="宋体"/>
        </w:rPr>
      </w:pPr>
    </w:p>
    <w:p>
      <w:pPr>
        <w:kinsoku w:val="0"/>
        <w:wordWrap w:val="0"/>
        <w:topLinePunct/>
        <w:ind w:left="851" w:hanging="851"/>
        <w:rPr>
          <w:rFonts w:hint="eastAsia" w:ascii="仿宋_GB2312" w:hAnsi="宋体"/>
          <w:sz w:val="24"/>
        </w:rPr>
      </w:pPr>
      <w:r>
        <w:rPr>
          <w:rFonts w:hint="eastAsia" w:ascii="仿宋_GB2312" w:hAnsi="宋体"/>
          <w:sz w:val="24"/>
        </w:rPr>
        <w:t>致：汕头大学医学院：</w:t>
      </w:r>
    </w:p>
    <w:p>
      <w:pPr>
        <w:kinsoku w:val="0"/>
        <w:wordWrap w:val="0"/>
        <w:topLinePunct/>
        <w:ind w:firstLine="664"/>
        <w:rPr>
          <w:rFonts w:hint="eastAsia"/>
          <w:sz w:val="24"/>
        </w:rPr>
      </w:pPr>
      <w:r>
        <w:rPr>
          <w:rFonts w:hint="eastAsia" w:ascii="仿宋_GB2312" w:hAnsi="宋体"/>
          <w:sz w:val="24"/>
        </w:rPr>
        <w:t>根据你们第设</w:t>
      </w:r>
      <w:r>
        <w:rPr>
          <w:rFonts w:hint="eastAsia" w:ascii="仿宋_GB2312" w:hAnsi="宋体"/>
          <w:sz w:val="24"/>
          <w:u w:val="single"/>
        </w:rPr>
        <w:t xml:space="preserve">            </w:t>
      </w:r>
      <w:r>
        <w:rPr>
          <w:rFonts w:hint="eastAsia"/>
          <w:sz w:val="24"/>
        </w:rPr>
        <w:t>号（招标编号）招标书，我们同意招标文件中有关服务的要求，对所投的技术服务承诺如下服务：</w:t>
      </w:r>
    </w:p>
    <w:p>
      <w:pPr>
        <w:kinsoku w:val="0"/>
        <w:wordWrap w:val="0"/>
        <w:topLinePunct/>
        <w:ind w:firstLine="664"/>
        <w:rPr>
          <w:rFonts w:hint="eastAsia"/>
          <w:sz w:val="24"/>
        </w:rPr>
      </w:pPr>
    </w:p>
    <w:p>
      <w:pPr>
        <w:kinsoku w:val="0"/>
        <w:wordWrap w:val="0"/>
        <w:topLinePunct/>
        <w:ind w:firstLine="664"/>
        <w:rPr>
          <w:rFonts w:hint="eastAsia"/>
          <w:sz w:val="24"/>
        </w:rPr>
      </w:pPr>
    </w:p>
    <w:p>
      <w:pPr>
        <w:kinsoku w:val="0"/>
        <w:wordWrap w:val="0"/>
        <w:topLinePunct/>
        <w:ind w:firstLine="664"/>
        <w:rPr>
          <w:rFonts w:hint="eastAsia"/>
          <w:sz w:val="24"/>
        </w:rPr>
      </w:pPr>
    </w:p>
    <w:p>
      <w:pPr>
        <w:kinsoku w:val="0"/>
        <w:wordWrap w:val="0"/>
        <w:topLinePunct/>
        <w:ind w:firstLine="664"/>
        <w:rPr>
          <w:rFonts w:hint="eastAsia"/>
          <w:sz w:val="24"/>
        </w:rPr>
      </w:pPr>
    </w:p>
    <w:p>
      <w:pPr>
        <w:kinsoku w:val="0"/>
        <w:wordWrap w:val="0"/>
        <w:topLinePunct/>
        <w:ind w:firstLine="664"/>
        <w:rPr>
          <w:rFonts w:hint="eastAsia"/>
          <w:sz w:val="24"/>
        </w:rPr>
      </w:pPr>
    </w:p>
    <w:p>
      <w:pPr>
        <w:kinsoku w:val="0"/>
        <w:wordWrap w:val="0"/>
        <w:topLinePunct/>
        <w:ind w:firstLine="664"/>
        <w:rPr>
          <w:rFonts w:hint="eastAsia"/>
          <w:sz w:val="24"/>
        </w:rPr>
      </w:pPr>
    </w:p>
    <w:p>
      <w:pPr>
        <w:kinsoku w:val="0"/>
        <w:wordWrap w:val="0"/>
        <w:topLinePunct/>
        <w:ind w:firstLine="664"/>
        <w:rPr>
          <w:rFonts w:hint="eastAsia"/>
          <w:sz w:val="24"/>
        </w:rPr>
      </w:pPr>
    </w:p>
    <w:p>
      <w:pPr>
        <w:kinsoku w:val="0"/>
        <w:wordWrap w:val="0"/>
        <w:topLinePunct/>
        <w:ind w:firstLine="664"/>
        <w:rPr>
          <w:rFonts w:hint="eastAsia"/>
          <w:sz w:val="24"/>
        </w:rPr>
      </w:pPr>
    </w:p>
    <w:p>
      <w:pPr>
        <w:kinsoku w:val="0"/>
        <w:wordWrap w:val="0"/>
        <w:topLinePunct/>
        <w:ind w:firstLine="664"/>
        <w:rPr>
          <w:rFonts w:hint="eastAsia"/>
          <w:sz w:val="24"/>
        </w:rPr>
      </w:pPr>
    </w:p>
    <w:p>
      <w:pPr>
        <w:kinsoku w:val="0"/>
        <w:wordWrap w:val="0"/>
        <w:topLinePunct/>
        <w:ind w:firstLine="664"/>
        <w:rPr>
          <w:rFonts w:hint="eastAsia"/>
          <w:sz w:val="24"/>
        </w:rPr>
      </w:pPr>
      <w:r>
        <w:rPr>
          <w:rFonts w:hint="eastAsia"/>
          <w:sz w:val="24"/>
        </w:rPr>
        <w:t>特此承诺！</w:t>
      </w:r>
    </w:p>
    <w:p>
      <w:pPr>
        <w:kinsoku w:val="0"/>
        <w:wordWrap w:val="0"/>
        <w:topLinePunct/>
        <w:ind w:firstLine="664"/>
        <w:rPr>
          <w:rFonts w:hint="eastAsia"/>
          <w:sz w:val="24"/>
        </w:rPr>
      </w:pPr>
    </w:p>
    <w:p>
      <w:pPr>
        <w:kinsoku w:val="0"/>
        <w:wordWrap w:val="0"/>
        <w:topLinePunct/>
        <w:rPr>
          <w:rFonts w:hint="eastAsia" w:ascii="仿宋_GB2312" w:hAnsi="宋体"/>
          <w:sz w:val="24"/>
        </w:rPr>
      </w:pPr>
      <w:r>
        <w:rPr>
          <w:rFonts w:hint="eastAsia"/>
          <w:sz w:val="24"/>
        </w:rPr>
        <w:t xml:space="preserve">    承诺方授权代表签字：</w:t>
      </w:r>
      <w:r>
        <w:rPr>
          <w:rFonts w:ascii="仿宋_GB2312" w:hAnsi="宋体"/>
          <w:sz w:val="24"/>
          <w:u w:val="single"/>
        </w:rPr>
        <w:t xml:space="preserve">                    </w:t>
      </w:r>
    </w:p>
    <w:p>
      <w:pPr>
        <w:kinsoku w:val="0"/>
        <w:wordWrap w:val="0"/>
        <w:topLinePunct/>
        <w:rPr>
          <w:rFonts w:hint="eastAsia" w:ascii="仿宋_GB2312" w:hAnsi="宋体"/>
          <w:sz w:val="24"/>
        </w:rPr>
      </w:pPr>
      <w:r>
        <w:rPr>
          <w:rFonts w:ascii="仿宋_GB2312" w:hAnsi="宋体"/>
          <w:sz w:val="24"/>
        </w:rPr>
        <w:t xml:space="preserve"> </w:t>
      </w:r>
      <w:r>
        <w:rPr>
          <w:rFonts w:hint="eastAsia" w:ascii="仿宋_GB2312" w:hAnsi="宋体"/>
          <w:sz w:val="24"/>
        </w:rPr>
        <w:t xml:space="preserve">   职</w:t>
      </w:r>
      <w:r>
        <w:rPr>
          <w:rFonts w:ascii="仿宋_GB2312" w:hAnsi="宋体"/>
          <w:sz w:val="24"/>
        </w:rPr>
        <w:t xml:space="preserve">    </w:t>
      </w:r>
      <w:r>
        <w:rPr>
          <w:rFonts w:hint="eastAsia" w:ascii="仿宋_GB2312" w:hAnsi="宋体"/>
          <w:sz w:val="24"/>
        </w:rPr>
        <w:t xml:space="preserve">  位</w:t>
      </w:r>
      <w:r>
        <w:rPr>
          <w:rFonts w:ascii="仿宋_GB2312" w:hAnsi="宋体"/>
          <w:sz w:val="24"/>
        </w:rPr>
        <w:t>:</w:t>
      </w:r>
      <w:r>
        <w:rPr>
          <w:rFonts w:ascii="仿宋_GB2312" w:hAnsi="宋体"/>
          <w:sz w:val="24"/>
          <w:u w:val="single"/>
        </w:rPr>
        <w:t xml:space="preserve">                       </w:t>
      </w:r>
      <w:r>
        <w:rPr>
          <w:rFonts w:hint="eastAsia" w:ascii="仿宋_GB2312" w:hAnsi="宋体"/>
          <w:sz w:val="24"/>
          <w:u w:val="single"/>
        </w:rPr>
        <w:t xml:space="preserve">   </w:t>
      </w:r>
      <w:r>
        <w:rPr>
          <w:rFonts w:ascii="仿宋_GB2312" w:hAnsi="宋体"/>
          <w:sz w:val="24"/>
          <w:u w:val="single"/>
        </w:rPr>
        <w:t xml:space="preserve">   </w:t>
      </w:r>
    </w:p>
    <w:p>
      <w:pPr>
        <w:kinsoku w:val="0"/>
        <w:wordWrap w:val="0"/>
        <w:topLinePunct/>
        <w:rPr>
          <w:rFonts w:hint="eastAsia" w:ascii="仿宋_GB2312" w:hAnsi="宋体"/>
          <w:sz w:val="24"/>
        </w:rPr>
      </w:pPr>
      <w:r>
        <w:rPr>
          <w:rFonts w:ascii="仿宋_GB2312" w:hAnsi="宋体"/>
          <w:sz w:val="24"/>
        </w:rPr>
        <w:t xml:space="preserve"> </w:t>
      </w:r>
      <w:r>
        <w:rPr>
          <w:rFonts w:hint="eastAsia" w:ascii="仿宋_GB2312" w:hAnsi="宋体"/>
          <w:sz w:val="24"/>
        </w:rPr>
        <w:t xml:space="preserve">   承诺方名称</w:t>
      </w:r>
      <w:r>
        <w:rPr>
          <w:rFonts w:ascii="仿宋_GB2312" w:hAnsi="宋体"/>
          <w:sz w:val="24"/>
        </w:rPr>
        <w:t>:</w:t>
      </w:r>
      <w:r>
        <w:rPr>
          <w:rFonts w:ascii="仿宋_GB2312" w:hAnsi="宋体"/>
          <w:sz w:val="24"/>
          <w:u w:val="single"/>
        </w:rPr>
        <w:t xml:space="preserve">                        </w:t>
      </w:r>
      <w:r>
        <w:rPr>
          <w:rFonts w:hint="eastAsia" w:ascii="仿宋_GB2312" w:hAnsi="宋体"/>
          <w:sz w:val="24"/>
          <w:u w:val="single"/>
        </w:rPr>
        <w:t xml:space="preserve">  </w:t>
      </w:r>
      <w:r>
        <w:rPr>
          <w:rFonts w:ascii="仿宋_GB2312" w:hAnsi="宋体"/>
          <w:sz w:val="24"/>
          <w:u w:val="single"/>
        </w:rPr>
        <w:t xml:space="preserve">   </w:t>
      </w:r>
    </w:p>
    <w:p>
      <w:pPr>
        <w:kinsoku w:val="0"/>
        <w:wordWrap w:val="0"/>
        <w:topLinePunct/>
        <w:rPr>
          <w:rFonts w:hint="eastAsia" w:ascii="仿宋_GB2312" w:hAnsi="宋体"/>
          <w:sz w:val="24"/>
        </w:rPr>
      </w:pPr>
      <w:r>
        <w:rPr>
          <w:rFonts w:ascii="仿宋_GB2312" w:hAnsi="宋体"/>
          <w:sz w:val="24"/>
        </w:rPr>
        <w:t xml:space="preserve"> </w:t>
      </w:r>
      <w:r>
        <w:rPr>
          <w:rFonts w:hint="eastAsia" w:ascii="仿宋_GB2312" w:hAnsi="宋体"/>
          <w:sz w:val="24"/>
        </w:rPr>
        <w:t xml:space="preserve">   承诺方印章</w:t>
      </w:r>
      <w:r>
        <w:rPr>
          <w:rFonts w:ascii="仿宋_GB2312" w:hAnsi="宋体"/>
          <w:sz w:val="24"/>
        </w:rPr>
        <w:t>:</w:t>
      </w:r>
      <w:r>
        <w:rPr>
          <w:rFonts w:ascii="仿宋_GB2312" w:hAnsi="宋体"/>
          <w:sz w:val="24"/>
          <w:u w:val="single"/>
        </w:rPr>
        <w:t xml:space="preserve">                        </w:t>
      </w:r>
      <w:r>
        <w:rPr>
          <w:rFonts w:hint="eastAsia" w:ascii="仿宋_GB2312" w:hAnsi="宋体"/>
          <w:sz w:val="24"/>
          <w:u w:val="single"/>
        </w:rPr>
        <w:t xml:space="preserve">  </w:t>
      </w:r>
      <w:r>
        <w:rPr>
          <w:rFonts w:ascii="仿宋_GB2312" w:hAnsi="宋体"/>
          <w:sz w:val="24"/>
          <w:u w:val="single"/>
        </w:rPr>
        <w:t xml:space="preserve">   </w:t>
      </w:r>
    </w:p>
    <w:p>
      <w:pPr>
        <w:kinsoku w:val="0"/>
        <w:wordWrap w:val="0"/>
        <w:topLinePunct/>
        <w:rPr>
          <w:rFonts w:hint="eastAsia" w:ascii="仿宋_GB2312" w:hAnsi="宋体"/>
          <w:sz w:val="24"/>
        </w:rPr>
      </w:pPr>
      <w:r>
        <w:rPr>
          <w:rFonts w:hint="eastAsia" w:ascii="仿宋_GB2312" w:hAnsi="宋体"/>
          <w:sz w:val="24"/>
        </w:rPr>
        <w:t xml:space="preserve">   </w:t>
      </w:r>
    </w:p>
    <w:p>
      <w:pPr>
        <w:kinsoku w:val="0"/>
        <w:wordWrap w:val="0"/>
        <w:topLinePunct/>
        <w:ind w:firstLine="735"/>
        <w:rPr>
          <w:rFonts w:hint="eastAsia" w:ascii="仿宋_GB2312" w:hAnsi="宋体"/>
          <w:sz w:val="24"/>
        </w:rPr>
      </w:pPr>
      <w:r>
        <w:rPr>
          <w:rFonts w:hint="eastAsia" w:ascii="仿宋_GB2312" w:hAnsi="宋体"/>
          <w:sz w:val="24"/>
        </w:rPr>
        <w:t>地  址：</w:t>
      </w:r>
    </w:p>
    <w:p>
      <w:pPr>
        <w:kinsoku w:val="0"/>
        <w:wordWrap w:val="0"/>
        <w:topLinePunct/>
        <w:ind w:firstLine="735"/>
        <w:rPr>
          <w:rFonts w:hint="eastAsia" w:ascii="仿宋_GB2312" w:hAnsi="宋体"/>
          <w:sz w:val="24"/>
        </w:rPr>
      </w:pPr>
      <w:r>
        <w:rPr>
          <w:rFonts w:hint="eastAsia" w:ascii="仿宋_GB2312" w:hAnsi="宋体"/>
          <w:sz w:val="24"/>
        </w:rPr>
        <w:t>邮  编：</w:t>
      </w:r>
    </w:p>
    <w:p>
      <w:pPr>
        <w:kinsoku w:val="0"/>
        <w:wordWrap w:val="0"/>
        <w:topLinePunct/>
        <w:ind w:firstLine="735"/>
        <w:rPr>
          <w:rFonts w:hint="eastAsia" w:ascii="仿宋_GB2312" w:hAnsi="宋体"/>
          <w:sz w:val="24"/>
        </w:rPr>
      </w:pPr>
      <w:r>
        <w:rPr>
          <w:rFonts w:hint="eastAsia" w:ascii="仿宋_GB2312" w:hAnsi="宋体"/>
          <w:sz w:val="24"/>
        </w:rPr>
        <w:t>电</w:t>
      </w:r>
      <w:r>
        <w:rPr>
          <w:rFonts w:ascii="仿宋_GB2312" w:hAnsi="宋体"/>
          <w:sz w:val="24"/>
        </w:rPr>
        <w:t xml:space="preserve">  </w:t>
      </w:r>
      <w:r>
        <w:rPr>
          <w:rFonts w:hint="eastAsia" w:ascii="仿宋_GB2312" w:hAnsi="宋体"/>
          <w:sz w:val="24"/>
        </w:rPr>
        <w:t>话：</w:t>
      </w:r>
    </w:p>
    <w:p>
      <w:pPr>
        <w:kinsoku w:val="0"/>
        <w:wordWrap w:val="0"/>
        <w:topLinePunct/>
        <w:ind w:firstLine="735"/>
        <w:rPr>
          <w:rFonts w:ascii="仿宋_GB2312" w:hAnsi="宋体"/>
          <w:sz w:val="24"/>
        </w:rPr>
      </w:pPr>
      <w:r>
        <w:rPr>
          <w:rFonts w:hint="eastAsia" w:ascii="仿宋_GB2312" w:hAnsi="宋体"/>
          <w:sz w:val="24"/>
        </w:rPr>
        <w:t>传</w:t>
      </w:r>
      <w:r>
        <w:rPr>
          <w:rFonts w:ascii="仿宋_GB2312" w:hAnsi="宋体"/>
          <w:sz w:val="24"/>
        </w:rPr>
        <w:t xml:space="preserve">  </w:t>
      </w:r>
      <w:r>
        <w:rPr>
          <w:rFonts w:hint="eastAsia" w:ascii="仿宋_GB2312" w:hAnsi="宋体"/>
          <w:sz w:val="24"/>
        </w:rPr>
        <w:t>真：</w:t>
      </w:r>
    </w:p>
    <w:p>
      <w:pPr>
        <w:kinsoku w:val="0"/>
        <w:wordWrap w:val="0"/>
        <w:topLinePunct/>
        <w:rPr>
          <w:rFonts w:hint="eastAsia" w:ascii="仿宋_GB2312" w:hAnsi="宋体"/>
          <w:sz w:val="24"/>
        </w:rPr>
      </w:pPr>
    </w:p>
    <w:p>
      <w:pPr>
        <w:kinsoku w:val="0"/>
        <w:wordWrap w:val="0"/>
        <w:topLinePunct/>
        <w:rPr>
          <w:rFonts w:hint="eastAsia" w:ascii="仿宋_GB2312" w:hAnsi="宋体"/>
          <w:sz w:val="24"/>
        </w:rPr>
      </w:pPr>
    </w:p>
    <w:p>
      <w:pPr>
        <w:kinsoku w:val="0"/>
        <w:wordWrap w:val="0"/>
        <w:topLinePunct/>
        <w:rPr>
          <w:rFonts w:hint="eastAsia" w:ascii="仿宋_GB2312" w:hAnsi="宋体"/>
          <w:sz w:val="24"/>
        </w:rPr>
      </w:pPr>
    </w:p>
    <w:p>
      <w:pPr>
        <w:kinsoku w:val="0"/>
        <w:wordWrap w:val="0"/>
        <w:topLinePunct/>
        <w:rPr>
          <w:rFonts w:hint="eastAsia" w:ascii="仿宋_GB2312" w:hAnsi="宋体"/>
          <w:sz w:val="24"/>
        </w:rPr>
      </w:pPr>
    </w:p>
    <w:p>
      <w:pPr>
        <w:kinsoku w:val="0"/>
        <w:wordWrap w:val="0"/>
        <w:topLinePunct/>
        <w:ind w:left="851" w:hanging="851"/>
        <w:rPr>
          <w:rFonts w:ascii="仿宋_GB2312" w:hAnsi="宋体"/>
          <w:sz w:val="24"/>
        </w:rPr>
      </w:pPr>
      <w:r>
        <w:rPr>
          <w:rFonts w:ascii="仿宋_GB2312" w:hAnsi="宋体"/>
          <w:sz w:val="24"/>
        </w:rPr>
        <w:t xml:space="preserve"> </w:t>
      </w:r>
    </w:p>
    <w:p>
      <w:pPr>
        <w:kinsoku w:val="0"/>
        <w:wordWrap w:val="0"/>
        <w:topLinePunct/>
        <w:rPr>
          <w:rFonts w:hint="eastAsia" w:ascii="仿宋_GB2312" w:hAnsi="宋体"/>
          <w:sz w:val="24"/>
        </w:rPr>
      </w:pPr>
      <w:r>
        <w:rPr>
          <w:rFonts w:ascii="仿宋_GB2312" w:hAnsi="宋体"/>
          <w:sz w:val="24"/>
        </w:rPr>
        <w:br w:type="page"/>
      </w:r>
      <w:r>
        <w:rPr>
          <w:rFonts w:hint="eastAsia" w:ascii="仿宋_GB2312" w:hAnsi="宋体"/>
          <w:sz w:val="24"/>
        </w:rPr>
        <w:t>投标书附件3：</w:t>
      </w:r>
    </w:p>
    <w:p>
      <w:pPr>
        <w:kinsoku w:val="0"/>
        <w:wordWrap w:val="0"/>
        <w:topLinePunct/>
        <w:ind w:left="851" w:hanging="851"/>
        <w:rPr>
          <w:rFonts w:ascii="仿宋_GB2312" w:hAnsi="宋体"/>
          <w:sz w:val="24"/>
        </w:rPr>
      </w:pPr>
    </w:p>
    <w:p>
      <w:pPr>
        <w:kinsoku w:val="0"/>
        <w:wordWrap w:val="0"/>
        <w:topLinePunct/>
        <w:ind w:left="851" w:hanging="851"/>
        <w:jc w:val="center"/>
        <w:rPr>
          <w:rFonts w:ascii="宋体" w:hAnsi="宋体" w:eastAsia="宋体"/>
          <w:b/>
          <w:sz w:val="32"/>
        </w:rPr>
      </w:pPr>
      <w:r>
        <w:rPr>
          <w:rFonts w:hint="eastAsia" w:ascii="宋体" w:hAnsi="宋体" w:eastAsia="宋体"/>
          <w:b/>
          <w:sz w:val="32"/>
        </w:rPr>
        <w:t>关于资格文件声明的函</w:t>
      </w:r>
    </w:p>
    <w:p>
      <w:pPr>
        <w:kinsoku w:val="0"/>
        <w:wordWrap w:val="0"/>
        <w:topLinePunct/>
        <w:ind w:left="851" w:hanging="851"/>
        <w:rPr>
          <w:rFonts w:ascii="仿宋_GB2312" w:hAnsi="宋体"/>
          <w:sz w:val="24"/>
        </w:rPr>
      </w:pPr>
    </w:p>
    <w:p>
      <w:pPr>
        <w:kinsoku w:val="0"/>
        <w:wordWrap w:val="0"/>
        <w:topLinePunct/>
        <w:spacing w:after="180"/>
        <w:ind w:left="850" w:hanging="266"/>
        <w:rPr>
          <w:rFonts w:ascii="仿宋_GB2312" w:hAnsi="宋体"/>
          <w:sz w:val="24"/>
        </w:rPr>
      </w:pPr>
      <w:r>
        <w:rPr>
          <w:rFonts w:hint="eastAsia" w:ascii="仿宋_GB2312" w:hAnsi="宋体"/>
          <w:sz w:val="24"/>
        </w:rPr>
        <w:t>致：汕头大学医学院</w:t>
      </w:r>
    </w:p>
    <w:p>
      <w:pPr>
        <w:kinsoku w:val="0"/>
        <w:wordWrap w:val="0"/>
        <w:topLinePunct/>
        <w:spacing w:after="180"/>
        <w:ind w:firstLine="585"/>
        <w:rPr>
          <w:rFonts w:ascii="仿宋_GB2312" w:hAnsi="宋体"/>
          <w:sz w:val="24"/>
        </w:rPr>
      </w:pPr>
      <w:r>
        <w:rPr>
          <w:rFonts w:hint="eastAsia" w:ascii="仿宋_GB2312" w:hAnsi="宋体"/>
          <w:sz w:val="24"/>
        </w:rPr>
        <w:t>关于贵方</w:t>
      </w:r>
      <w:r>
        <w:rPr>
          <w:rFonts w:ascii="仿宋_GB2312" w:hAnsi="宋体"/>
          <w:sz w:val="24"/>
          <w:u w:val="single"/>
        </w:rPr>
        <w:t xml:space="preserve">     </w:t>
      </w:r>
      <w:r>
        <w:rPr>
          <w:rFonts w:hint="eastAsia" w:ascii="仿宋_GB2312" w:hAnsi="宋体"/>
          <w:sz w:val="24"/>
        </w:rPr>
        <w:t>年</w:t>
      </w:r>
      <w:r>
        <w:rPr>
          <w:rFonts w:ascii="仿宋_GB2312" w:hAnsi="宋体"/>
          <w:sz w:val="24"/>
          <w:u w:val="single"/>
        </w:rPr>
        <w:t xml:space="preserve">  </w:t>
      </w:r>
      <w:r>
        <w:rPr>
          <w:rFonts w:hint="eastAsia" w:ascii="仿宋_GB2312" w:hAnsi="宋体"/>
          <w:sz w:val="24"/>
        </w:rPr>
        <w:t>月</w:t>
      </w:r>
      <w:r>
        <w:rPr>
          <w:rFonts w:ascii="仿宋_GB2312" w:hAnsi="宋体"/>
          <w:sz w:val="24"/>
          <w:u w:val="single"/>
        </w:rPr>
        <w:t xml:space="preserve">  </w:t>
      </w:r>
      <w:r>
        <w:rPr>
          <w:rFonts w:hint="eastAsia" w:ascii="仿宋_GB2312" w:hAnsi="宋体"/>
          <w:sz w:val="24"/>
        </w:rPr>
        <w:t>日设</w:t>
      </w:r>
      <w:r>
        <w:rPr>
          <w:rFonts w:ascii="仿宋_GB2312" w:hAnsi="宋体"/>
          <w:sz w:val="24"/>
          <w:u w:val="single"/>
        </w:rPr>
        <w:t xml:space="preserve">           </w:t>
      </w:r>
      <w:r>
        <w:rPr>
          <w:rFonts w:hint="eastAsia" w:ascii="仿宋_GB2312" w:hAnsi="宋体"/>
          <w:sz w:val="24"/>
        </w:rPr>
        <w:t>号招标文件的投标邀请，本签字人愿意参加投标，并证明提交的资格文件和说明是准确的和真实的。</w:t>
      </w:r>
    </w:p>
    <w:p>
      <w:pPr>
        <w:kinsoku w:val="0"/>
        <w:wordWrap w:val="0"/>
        <w:topLinePunct/>
        <w:spacing w:after="180"/>
        <w:rPr>
          <w:rFonts w:ascii="仿宋_GB2312" w:hAnsi="宋体"/>
          <w:sz w:val="24"/>
        </w:rPr>
      </w:pPr>
    </w:p>
    <w:p>
      <w:pPr>
        <w:kinsoku w:val="0"/>
        <w:wordWrap w:val="0"/>
        <w:topLinePunct/>
        <w:spacing w:after="180"/>
        <w:rPr>
          <w:rFonts w:ascii="仿宋_GB2312" w:hAnsi="宋体"/>
          <w:sz w:val="24"/>
        </w:rPr>
      </w:pPr>
    </w:p>
    <w:p>
      <w:pPr>
        <w:kinsoku w:val="0"/>
        <w:wordWrap w:val="0"/>
        <w:topLinePunct/>
        <w:spacing w:after="180"/>
        <w:rPr>
          <w:rFonts w:ascii="仿宋_GB2312" w:hAnsi="宋体"/>
          <w:sz w:val="24"/>
        </w:rPr>
      </w:pPr>
      <w:r>
        <w:rPr>
          <w:rFonts w:hint="eastAsia" w:ascii="仿宋_GB2312" w:hAnsi="宋体"/>
          <w:sz w:val="24"/>
        </w:rPr>
        <w:t>单位名称和地址：</w:t>
      </w:r>
      <w:r>
        <w:rPr>
          <w:rFonts w:ascii="仿宋_GB2312" w:hAnsi="宋体"/>
          <w:sz w:val="24"/>
        </w:rPr>
        <w:t xml:space="preserve">              </w:t>
      </w:r>
      <w:r>
        <w:rPr>
          <w:rFonts w:hint="eastAsia" w:ascii="仿宋_GB2312" w:hAnsi="宋体"/>
          <w:sz w:val="24"/>
        </w:rPr>
        <w:t>授权签署本资格文件人：</w:t>
      </w:r>
    </w:p>
    <w:p>
      <w:pPr>
        <w:kinsoku w:val="0"/>
        <w:wordWrap w:val="0"/>
        <w:topLinePunct/>
        <w:spacing w:after="180"/>
        <w:rPr>
          <w:rFonts w:ascii="仿宋_GB2312" w:hAnsi="宋体"/>
          <w:sz w:val="24"/>
        </w:rPr>
      </w:pPr>
      <w:r>
        <w:rPr>
          <w:rFonts w:hint="eastAsia" w:ascii="仿宋_GB2312" w:hAnsi="宋体"/>
          <w:sz w:val="24"/>
        </w:rPr>
        <w:t>名</w:t>
      </w:r>
      <w:r>
        <w:rPr>
          <w:rFonts w:ascii="仿宋_GB2312" w:hAnsi="宋体"/>
          <w:sz w:val="24"/>
        </w:rPr>
        <w:t xml:space="preserve">  </w:t>
      </w:r>
      <w:r>
        <w:rPr>
          <w:rFonts w:hint="eastAsia" w:ascii="仿宋_GB2312" w:hAnsi="宋体"/>
          <w:sz w:val="24"/>
        </w:rPr>
        <w:t>称：</w:t>
      </w:r>
      <w:r>
        <w:rPr>
          <w:rFonts w:ascii="仿宋_GB2312" w:hAnsi="宋体"/>
          <w:sz w:val="24"/>
          <w:u w:val="single"/>
        </w:rPr>
        <w:t xml:space="preserve">                 </w:t>
      </w:r>
      <w:r>
        <w:rPr>
          <w:rFonts w:ascii="仿宋_GB2312" w:hAnsi="宋体"/>
          <w:sz w:val="24"/>
        </w:rPr>
        <w:t xml:space="preserve">     </w:t>
      </w:r>
      <w:r>
        <w:rPr>
          <w:rFonts w:hint="eastAsia" w:ascii="仿宋_GB2312" w:hAnsi="宋体"/>
          <w:sz w:val="24"/>
        </w:rPr>
        <w:t>签</w:t>
      </w:r>
      <w:r>
        <w:rPr>
          <w:rFonts w:ascii="仿宋_GB2312" w:hAnsi="宋体"/>
          <w:sz w:val="24"/>
        </w:rPr>
        <w:t xml:space="preserve">  </w:t>
      </w:r>
      <w:r>
        <w:rPr>
          <w:rFonts w:hint="eastAsia" w:ascii="仿宋_GB2312" w:hAnsi="宋体"/>
          <w:sz w:val="24"/>
        </w:rPr>
        <w:t>字：</w:t>
      </w:r>
      <w:r>
        <w:rPr>
          <w:rFonts w:ascii="仿宋_GB2312" w:hAnsi="宋体"/>
          <w:sz w:val="24"/>
          <w:u w:val="single"/>
        </w:rPr>
        <w:t xml:space="preserve">                 </w:t>
      </w:r>
      <w:r>
        <w:rPr>
          <w:rFonts w:ascii="仿宋_GB2312" w:hAnsi="宋体"/>
          <w:sz w:val="24"/>
        </w:rPr>
        <w:t>.</w:t>
      </w:r>
    </w:p>
    <w:p>
      <w:pPr>
        <w:kinsoku w:val="0"/>
        <w:wordWrap w:val="0"/>
        <w:topLinePunct/>
        <w:spacing w:after="180"/>
        <w:rPr>
          <w:rFonts w:ascii="仿宋_GB2312" w:hAnsi="宋体"/>
          <w:sz w:val="24"/>
        </w:rPr>
      </w:pPr>
      <w:r>
        <w:rPr>
          <w:rFonts w:hint="eastAsia" w:ascii="仿宋_GB2312" w:hAnsi="宋体"/>
          <w:sz w:val="24"/>
        </w:rPr>
        <w:t>地</w:t>
      </w:r>
      <w:r>
        <w:rPr>
          <w:rFonts w:ascii="仿宋_GB2312" w:hAnsi="宋体"/>
          <w:sz w:val="24"/>
        </w:rPr>
        <w:t xml:space="preserve">  </w:t>
      </w:r>
      <w:r>
        <w:rPr>
          <w:rFonts w:hint="eastAsia" w:ascii="仿宋_GB2312" w:hAnsi="宋体"/>
          <w:sz w:val="24"/>
        </w:rPr>
        <w:t>址：</w:t>
      </w:r>
      <w:r>
        <w:rPr>
          <w:rFonts w:ascii="仿宋_GB2312" w:hAnsi="宋体"/>
          <w:sz w:val="24"/>
          <w:u w:val="single"/>
        </w:rPr>
        <w:t xml:space="preserve">                 </w:t>
      </w:r>
      <w:r>
        <w:rPr>
          <w:rFonts w:ascii="仿宋_GB2312" w:hAnsi="宋体"/>
          <w:sz w:val="24"/>
        </w:rPr>
        <w:t xml:space="preserve">     </w:t>
      </w:r>
      <w:r>
        <w:rPr>
          <w:rFonts w:hint="eastAsia" w:ascii="仿宋_GB2312" w:hAnsi="宋体"/>
          <w:sz w:val="24"/>
        </w:rPr>
        <w:t>签字人姓名、职务（印刷体）</w:t>
      </w:r>
    </w:p>
    <w:p>
      <w:pPr>
        <w:kinsoku w:val="0"/>
        <w:wordWrap w:val="0"/>
        <w:topLinePunct/>
        <w:spacing w:after="180"/>
        <w:rPr>
          <w:rFonts w:ascii="仿宋_GB2312" w:hAnsi="宋体"/>
          <w:sz w:val="24"/>
          <w:u w:val="single"/>
        </w:rPr>
      </w:pPr>
      <w:r>
        <w:rPr>
          <w:rFonts w:hint="eastAsia" w:ascii="仿宋_GB2312" w:hAnsi="宋体"/>
          <w:sz w:val="24"/>
        </w:rPr>
        <w:t>传</w:t>
      </w:r>
      <w:r>
        <w:rPr>
          <w:rFonts w:ascii="仿宋_GB2312" w:hAnsi="宋体"/>
          <w:sz w:val="24"/>
        </w:rPr>
        <w:t xml:space="preserve">  </w:t>
      </w:r>
      <w:r>
        <w:rPr>
          <w:rFonts w:hint="eastAsia" w:ascii="仿宋_GB2312" w:hAnsi="宋体"/>
          <w:sz w:val="24"/>
        </w:rPr>
        <w:t>真：</w:t>
      </w:r>
      <w:r>
        <w:rPr>
          <w:rFonts w:ascii="仿宋_GB2312" w:hAnsi="宋体"/>
          <w:sz w:val="24"/>
          <w:u w:val="single"/>
        </w:rPr>
        <w:t xml:space="preserve">                 </w:t>
      </w:r>
      <w:r>
        <w:rPr>
          <w:rFonts w:ascii="仿宋_GB2312" w:hAnsi="宋体"/>
          <w:sz w:val="24"/>
        </w:rPr>
        <w:t xml:space="preserve">      </w:t>
      </w:r>
      <w:r>
        <w:rPr>
          <w:rFonts w:ascii="仿宋_GB2312" w:hAnsi="宋体"/>
          <w:sz w:val="24"/>
          <w:u w:val="single"/>
        </w:rPr>
        <w:t xml:space="preserve">                        </w:t>
      </w:r>
      <w:r>
        <w:rPr>
          <w:rFonts w:hint="eastAsia" w:ascii="仿宋_GB2312" w:hAnsi="宋体"/>
          <w:sz w:val="24"/>
        </w:rPr>
        <w:t>。</w:t>
      </w:r>
    </w:p>
    <w:p>
      <w:pPr>
        <w:kinsoku w:val="0"/>
        <w:wordWrap w:val="0"/>
        <w:topLinePunct/>
        <w:spacing w:after="180"/>
        <w:rPr>
          <w:rFonts w:ascii="仿宋_GB2312" w:hAnsi="宋体"/>
          <w:sz w:val="24"/>
        </w:rPr>
      </w:pPr>
      <w:r>
        <w:rPr>
          <w:rFonts w:hint="eastAsia" w:ascii="仿宋_GB2312" w:hAnsi="宋体"/>
          <w:sz w:val="24"/>
        </w:rPr>
        <w:t>邮</w:t>
      </w:r>
      <w:r>
        <w:rPr>
          <w:rFonts w:ascii="仿宋_GB2312" w:hAnsi="宋体"/>
          <w:sz w:val="24"/>
        </w:rPr>
        <w:t xml:space="preserve">  </w:t>
      </w:r>
      <w:r>
        <w:rPr>
          <w:rFonts w:hint="eastAsia" w:ascii="仿宋_GB2312" w:hAnsi="宋体"/>
          <w:sz w:val="24"/>
        </w:rPr>
        <w:t>编：</w:t>
      </w:r>
      <w:r>
        <w:rPr>
          <w:rFonts w:ascii="仿宋_GB2312" w:hAnsi="宋体"/>
          <w:sz w:val="24"/>
          <w:u w:val="single"/>
        </w:rPr>
        <w:t xml:space="preserve">                 </w:t>
      </w:r>
      <w:r>
        <w:rPr>
          <w:rFonts w:ascii="仿宋_GB2312" w:hAnsi="宋体"/>
          <w:sz w:val="24"/>
        </w:rPr>
        <w:t xml:space="preserve">     </w:t>
      </w:r>
      <w:r>
        <w:rPr>
          <w:rFonts w:hint="eastAsia" w:ascii="仿宋_GB2312" w:hAnsi="宋体"/>
          <w:sz w:val="24"/>
        </w:rPr>
        <w:t>电</w:t>
      </w:r>
      <w:r>
        <w:rPr>
          <w:rFonts w:ascii="仿宋_GB2312" w:hAnsi="宋体"/>
          <w:sz w:val="24"/>
        </w:rPr>
        <w:t xml:space="preserve">  </w:t>
      </w:r>
      <w:r>
        <w:rPr>
          <w:rFonts w:hint="eastAsia" w:ascii="仿宋_GB2312" w:hAnsi="宋体"/>
          <w:sz w:val="24"/>
        </w:rPr>
        <w:t>话：</w:t>
      </w:r>
      <w:r>
        <w:rPr>
          <w:rFonts w:ascii="仿宋_GB2312" w:hAnsi="宋体"/>
          <w:sz w:val="24"/>
          <w:u w:val="single"/>
        </w:rPr>
        <w:t xml:space="preserve">                 </w:t>
      </w:r>
      <w:r>
        <w:rPr>
          <w:rFonts w:ascii="仿宋_GB2312" w:hAnsi="宋体"/>
          <w:sz w:val="24"/>
        </w:rPr>
        <w:t>.</w:t>
      </w:r>
    </w:p>
    <w:p>
      <w:pPr>
        <w:kinsoku w:val="0"/>
        <w:wordWrap w:val="0"/>
        <w:topLinePunct/>
        <w:spacing w:after="180"/>
        <w:rPr>
          <w:rFonts w:ascii="仿宋_GB2312" w:hAnsi="宋体"/>
          <w:sz w:val="24"/>
        </w:rPr>
      </w:pPr>
    </w:p>
    <w:p>
      <w:pPr>
        <w:kinsoku w:val="0"/>
        <w:wordWrap w:val="0"/>
        <w:topLinePunct/>
        <w:spacing w:after="180"/>
        <w:rPr>
          <w:rFonts w:hint="eastAsia" w:ascii="仿宋_GB2312" w:hAnsi="宋体"/>
          <w:sz w:val="24"/>
        </w:rPr>
      </w:pPr>
    </w:p>
    <w:p>
      <w:pPr>
        <w:kinsoku w:val="0"/>
        <w:wordWrap w:val="0"/>
        <w:topLinePunct/>
        <w:spacing w:after="180"/>
        <w:rPr>
          <w:rFonts w:hint="eastAsia" w:ascii="仿宋_GB2312" w:hAnsi="宋体"/>
          <w:sz w:val="24"/>
        </w:rPr>
      </w:pPr>
      <w:r>
        <w:rPr>
          <w:rFonts w:hint="eastAsia" w:ascii="仿宋_GB2312" w:hAnsi="宋体"/>
          <w:sz w:val="24"/>
        </w:rPr>
        <w:t>投标书附件4：</w:t>
      </w:r>
    </w:p>
    <w:p>
      <w:pPr>
        <w:kinsoku w:val="0"/>
        <w:wordWrap w:val="0"/>
        <w:topLinePunct/>
        <w:spacing w:after="180"/>
        <w:rPr>
          <w:rFonts w:ascii="仿宋_GB2312" w:hAnsi="宋体"/>
          <w:sz w:val="24"/>
        </w:rPr>
      </w:pPr>
    </w:p>
    <w:p>
      <w:pPr>
        <w:kinsoku w:val="0"/>
        <w:wordWrap w:val="0"/>
        <w:topLinePunct/>
        <w:spacing w:after="180"/>
        <w:jc w:val="center"/>
        <w:rPr>
          <w:rFonts w:ascii="宋体" w:hAnsi="宋体" w:eastAsia="宋体"/>
          <w:b/>
          <w:sz w:val="32"/>
        </w:rPr>
      </w:pPr>
      <w:r>
        <w:rPr>
          <w:rFonts w:hint="eastAsia" w:ascii="宋体" w:hAnsi="宋体" w:eastAsia="宋体"/>
          <w:b/>
          <w:sz w:val="32"/>
        </w:rPr>
        <w:t>资</w:t>
      </w:r>
      <w:r>
        <w:rPr>
          <w:rFonts w:ascii="宋体" w:hAnsi="宋体" w:eastAsia="宋体"/>
          <w:b/>
          <w:sz w:val="32"/>
        </w:rPr>
        <w:t xml:space="preserve"> </w:t>
      </w:r>
      <w:r>
        <w:rPr>
          <w:rFonts w:hint="eastAsia" w:ascii="宋体" w:hAnsi="宋体" w:eastAsia="宋体"/>
          <w:b/>
          <w:sz w:val="32"/>
        </w:rPr>
        <w:t>格</w:t>
      </w:r>
      <w:r>
        <w:rPr>
          <w:rFonts w:ascii="宋体" w:hAnsi="宋体" w:eastAsia="宋体"/>
          <w:b/>
          <w:sz w:val="32"/>
        </w:rPr>
        <w:t xml:space="preserve"> </w:t>
      </w:r>
      <w:r>
        <w:rPr>
          <w:rFonts w:hint="eastAsia" w:ascii="宋体" w:hAnsi="宋体" w:eastAsia="宋体"/>
          <w:b/>
          <w:sz w:val="32"/>
        </w:rPr>
        <w:t>文</w:t>
      </w:r>
      <w:r>
        <w:rPr>
          <w:rFonts w:ascii="宋体" w:hAnsi="宋体" w:eastAsia="宋体"/>
          <w:b/>
          <w:sz w:val="32"/>
        </w:rPr>
        <w:t xml:space="preserve"> </w:t>
      </w:r>
      <w:r>
        <w:rPr>
          <w:rFonts w:hint="eastAsia" w:ascii="宋体" w:hAnsi="宋体" w:eastAsia="宋体"/>
          <w:b/>
          <w:sz w:val="32"/>
        </w:rPr>
        <w:t>件</w:t>
      </w:r>
    </w:p>
    <w:p>
      <w:pPr>
        <w:kinsoku w:val="0"/>
        <w:wordWrap w:val="0"/>
        <w:topLinePunct/>
        <w:spacing w:after="180"/>
        <w:rPr>
          <w:rFonts w:ascii="仿宋_GB2312" w:hAnsi="宋体"/>
          <w:sz w:val="24"/>
        </w:rPr>
      </w:pPr>
    </w:p>
    <w:p>
      <w:pPr>
        <w:kinsoku w:val="0"/>
        <w:wordWrap w:val="0"/>
        <w:topLinePunct/>
        <w:spacing w:after="180"/>
        <w:ind w:left="332" w:leftChars="100"/>
        <w:rPr>
          <w:rFonts w:ascii="仿宋_GB2312" w:hAnsi="宋体"/>
          <w:sz w:val="24"/>
        </w:rPr>
      </w:pPr>
      <w:r>
        <w:rPr>
          <w:rFonts w:hint="eastAsia" w:ascii="仿宋_GB2312" w:hAnsi="宋体"/>
          <w:sz w:val="24"/>
        </w:rPr>
        <w:t>投标人应按下列要求提交资格文件：</w:t>
      </w:r>
    </w:p>
    <w:p>
      <w:pPr>
        <w:kinsoku w:val="0"/>
        <w:wordWrap w:val="0"/>
        <w:topLinePunct/>
        <w:spacing w:after="180"/>
        <w:ind w:left="332" w:leftChars="100"/>
        <w:rPr>
          <w:rFonts w:ascii="仿宋_GB2312" w:hAnsi="宋体"/>
          <w:sz w:val="24"/>
        </w:rPr>
      </w:pPr>
      <w:r>
        <w:rPr>
          <w:rFonts w:ascii="仿宋_GB2312" w:hAnsi="宋体"/>
          <w:sz w:val="24"/>
        </w:rPr>
        <w:t xml:space="preserve">  1. </w:t>
      </w:r>
      <w:r>
        <w:rPr>
          <w:rFonts w:hint="eastAsia" w:ascii="仿宋_GB2312" w:hAnsi="宋体"/>
          <w:sz w:val="24"/>
        </w:rPr>
        <w:t>投标人全称和注册国。</w:t>
      </w:r>
    </w:p>
    <w:p>
      <w:pPr>
        <w:kinsoku w:val="0"/>
        <w:wordWrap w:val="0"/>
        <w:topLinePunct/>
        <w:spacing w:after="180"/>
        <w:ind w:left="332" w:leftChars="100"/>
        <w:rPr>
          <w:rFonts w:ascii="仿宋_GB2312" w:hAnsi="宋体"/>
          <w:sz w:val="24"/>
        </w:rPr>
      </w:pPr>
      <w:r>
        <w:rPr>
          <w:rFonts w:ascii="仿宋_GB2312" w:hAnsi="宋体"/>
          <w:sz w:val="24"/>
        </w:rPr>
        <w:t xml:space="preserve">  2. </w:t>
      </w:r>
      <w:r>
        <w:rPr>
          <w:rFonts w:hint="eastAsia" w:ascii="仿宋_GB2312" w:hAnsi="宋体"/>
          <w:sz w:val="24"/>
        </w:rPr>
        <w:t>营业执照和工商局签发的销售许可证（复印件）。</w:t>
      </w:r>
    </w:p>
    <w:p>
      <w:pPr>
        <w:kinsoku w:val="0"/>
        <w:wordWrap w:val="0"/>
        <w:topLinePunct/>
        <w:spacing w:after="180"/>
        <w:ind w:left="332" w:leftChars="100"/>
        <w:rPr>
          <w:rFonts w:ascii="仿宋_GB2312" w:hAnsi="宋体"/>
          <w:sz w:val="24"/>
        </w:rPr>
      </w:pPr>
      <w:r>
        <w:rPr>
          <w:rFonts w:ascii="仿宋_GB2312" w:hAnsi="宋体"/>
          <w:sz w:val="24"/>
        </w:rPr>
        <w:t xml:space="preserve">  </w:t>
      </w:r>
      <w:r>
        <w:rPr>
          <w:rFonts w:hint="eastAsia" w:ascii="仿宋_GB2312" w:hAnsi="宋体"/>
          <w:sz w:val="24"/>
        </w:rPr>
        <w:t>3</w:t>
      </w:r>
      <w:r>
        <w:rPr>
          <w:rFonts w:ascii="仿宋_GB2312" w:hAnsi="宋体"/>
          <w:sz w:val="24"/>
        </w:rPr>
        <w:t xml:space="preserve">. </w:t>
      </w:r>
      <w:r>
        <w:rPr>
          <w:rFonts w:hint="eastAsia" w:ascii="仿宋_GB2312" w:hAnsi="宋体"/>
          <w:sz w:val="24"/>
        </w:rPr>
        <w:t>开户银行名称和帐号。</w:t>
      </w:r>
    </w:p>
    <w:p>
      <w:pPr>
        <w:kinsoku w:val="0"/>
        <w:wordWrap w:val="0"/>
        <w:topLinePunct/>
        <w:spacing w:after="180"/>
        <w:ind w:left="332" w:leftChars="100"/>
        <w:rPr>
          <w:rFonts w:hint="eastAsia" w:ascii="仿宋_GB2312" w:hAnsi="宋体"/>
          <w:sz w:val="24"/>
        </w:rPr>
      </w:pPr>
      <w:r>
        <w:rPr>
          <w:rFonts w:ascii="仿宋_GB2312" w:hAnsi="宋体"/>
          <w:sz w:val="24"/>
        </w:rPr>
        <w:t xml:space="preserve">  </w:t>
      </w:r>
      <w:r>
        <w:rPr>
          <w:rFonts w:hint="eastAsia" w:ascii="仿宋_GB2312" w:hAnsi="宋体"/>
          <w:sz w:val="24"/>
        </w:rPr>
        <w:t>4</w:t>
      </w:r>
      <w:r>
        <w:rPr>
          <w:rFonts w:ascii="仿宋_GB2312" w:hAnsi="宋体"/>
          <w:sz w:val="24"/>
        </w:rPr>
        <w:t xml:space="preserve">. </w:t>
      </w:r>
      <w:r>
        <w:rPr>
          <w:rFonts w:hint="eastAsia" w:ascii="仿宋_GB2312" w:hAnsi="宋体"/>
          <w:sz w:val="24"/>
        </w:rPr>
        <w:t>公司历史简介及现状。</w:t>
      </w:r>
    </w:p>
    <w:p>
      <w:pPr>
        <w:kinsoku w:val="0"/>
        <w:wordWrap w:val="0"/>
        <w:topLinePunct/>
        <w:spacing w:after="180"/>
        <w:ind w:left="332" w:leftChars="100"/>
        <w:rPr>
          <w:rFonts w:hint="eastAsia" w:ascii="仿宋_GB2312" w:hAnsi="宋体"/>
          <w:sz w:val="24"/>
        </w:rPr>
      </w:pPr>
      <w:r>
        <w:rPr>
          <w:rFonts w:hint="eastAsia" w:ascii="仿宋_GB2312" w:hAnsi="宋体"/>
          <w:sz w:val="24"/>
        </w:rPr>
        <w:t xml:space="preserve">  5. 投标人拥有进口测序仪或者自主研发的测序仪器设备清单，承诺不以转包形式提供服务；</w:t>
      </w:r>
    </w:p>
    <w:p>
      <w:pPr>
        <w:kinsoku w:val="0"/>
        <w:wordWrap w:val="0"/>
        <w:topLinePunct/>
        <w:spacing w:after="180"/>
        <w:ind w:left="332" w:leftChars="100"/>
        <w:rPr>
          <w:rFonts w:hint="eastAsia" w:ascii="仿宋_GB2312" w:hAnsi="宋体"/>
          <w:sz w:val="24"/>
        </w:rPr>
      </w:pPr>
      <w:r>
        <w:rPr>
          <w:rFonts w:hint="eastAsia" w:ascii="仿宋_GB2312" w:hAnsi="宋体"/>
          <w:sz w:val="24"/>
        </w:rPr>
        <w:t xml:space="preserve">  6. 投标人服务团队2015年7月-2017年7月2年间发表或者参与发表的文章；</w:t>
      </w:r>
    </w:p>
    <w:p>
      <w:pPr>
        <w:kinsoku w:val="0"/>
        <w:wordWrap w:val="0"/>
        <w:topLinePunct/>
        <w:spacing w:after="180"/>
        <w:ind w:left="332" w:leftChars="100"/>
        <w:rPr>
          <w:rFonts w:hint="eastAsia" w:ascii="仿宋_GB2312" w:hAnsi="宋体"/>
          <w:sz w:val="24"/>
        </w:rPr>
      </w:pPr>
      <w:r>
        <w:rPr>
          <w:rFonts w:hint="eastAsia" w:ascii="仿宋_GB2312" w:hAnsi="宋体"/>
          <w:sz w:val="24"/>
        </w:rPr>
        <w:t xml:space="preserve">  7. 投标人在近2年内为各大院校及科研单位提供测序分析服务的业绩列表。</w:t>
      </w:r>
    </w:p>
    <w:p>
      <w:pPr>
        <w:kinsoku w:val="0"/>
        <w:wordWrap w:val="0"/>
        <w:topLinePunct/>
        <w:spacing w:after="180"/>
        <w:ind w:left="332" w:leftChars="100"/>
        <w:rPr>
          <w:rFonts w:hint="eastAsia" w:ascii="仿宋_GB2312" w:hAnsi="宋体"/>
          <w:sz w:val="24"/>
        </w:rPr>
      </w:pPr>
    </w:p>
    <w:p>
      <w:pPr>
        <w:kinsoku w:val="0"/>
        <w:wordWrap w:val="0"/>
        <w:topLinePunct/>
        <w:spacing w:after="180"/>
        <w:ind w:left="332" w:leftChars="100"/>
        <w:rPr>
          <w:rFonts w:hint="eastAsia" w:ascii="仿宋_GB2312" w:hAnsi="宋体"/>
          <w:sz w:val="24"/>
        </w:rPr>
      </w:pPr>
    </w:p>
    <w:sectPr>
      <w:headerReference r:id="rId5" w:type="first"/>
      <w:footerReference r:id="rId8" w:type="first"/>
      <w:headerReference r:id="rId3" w:type="default"/>
      <w:footerReference r:id="rId6" w:type="default"/>
      <w:headerReference r:id="rId4" w:type="even"/>
      <w:footerReference r:id="rId7" w:type="even"/>
      <w:pgSz w:w="11907" w:h="16840"/>
      <w:pgMar w:top="1021" w:right="907" w:bottom="1021" w:left="1134" w:header="851" w:footer="992" w:gutter="0"/>
      <w:pgNumType w:start="0"/>
      <w:cols w:space="720" w:num="1"/>
      <w:titlePg/>
      <w:docGrid w:type="linesAndChars" w:linePitch="381" w:charSpace="106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昆仑楷体">
    <w:altName w:val="新宋体"/>
    <w:panose1 w:val="00000000000000000000"/>
    <w:charset w:val="86"/>
    <w:family w:val="modern"/>
    <w:pitch w:val="default"/>
    <w:sig w:usb0="00000000" w:usb1="00000000" w:usb2="00000010" w:usb3="00000000" w:csb0="00040000" w:csb1="00000000"/>
  </w:font>
  <w:font w:name="新宋体">
    <w:panose1 w:val="02010609030101010101"/>
    <w:charset w:val="86"/>
    <w:family w:val="auto"/>
    <w:pitch w:val="default"/>
    <w:sig w:usb0="00000003" w:usb1="288F0000" w:usb2="0000000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 Narrow">
    <w:altName w:val="Arial"/>
    <w:panose1 w:val="020B0606020202030204"/>
    <w:charset w:val="00"/>
    <w:family w:val="swiss"/>
    <w:pitch w:val="default"/>
    <w:sig w:usb0="00000000" w:usb1="00000000" w:usb2="00000000" w:usb3="00000000" w:csb0="0000009F" w:csb1="00000000"/>
  </w:font>
  <w:font w:name="Verdana">
    <w:panose1 w:val="020B0604030504040204"/>
    <w:charset w:val="00"/>
    <w:family w:val="swiss"/>
    <w:pitch w:val="default"/>
    <w:sig w:usb0="A10006FF" w:usb1="4000205B" w:usb2="00000010" w:usb3="00000000" w:csb0="2000019F" w:csb1="00000000"/>
  </w:font>
  <w:font w:name="Mangal">
    <w:panose1 w:val="02040503050203030202"/>
    <w:charset w:val="00"/>
    <w:family w:val="roman"/>
    <w:pitch w:val="default"/>
    <w:sig w:usb0="00008003" w:usb1="00000000" w:usb2="00000000" w:usb3="00000000" w:csb0="00000001" w:csb1="00000000"/>
  </w:font>
  <w:font w:name="华文仿宋">
    <w:altName w:val="仿宋"/>
    <w:panose1 w:val="02010600040101010101"/>
    <w:charset w:val="86"/>
    <w:family w:val="auto"/>
    <w:pitch w:val="default"/>
    <w:sig w:usb0="00000000" w:usb1="00000000" w:usb2="00000010" w:usb3="00000000" w:csb0="0004009F" w:csb1="00000000"/>
  </w:font>
  <w:font w:name="ˎ̥">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5"/>
      </w:rPr>
    </w:pPr>
    <w:r>
      <w:fldChar w:fldCharType="begin"/>
    </w:r>
    <w:r>
      <w:rPr>
        <w:rStyle w:val="25"/>
      </w:rPr>
      <w:instrText xml:space="preserve">PAGE  </w:instrText>
    </w:r>
    <w:r>
      <w:fldChar w:fldCharType="separate"/>
    </w:r>
    <w:r>
      <w:rPr>
        <w:rStyle w:val="25"/>
      </w:rPr>
      <w:t>5</w:t>
    </w:r>
    <w:r>
      <w:fldChar w:fldCharType="end"/>
    </w:r>
  </w:p>
  <w:p>
    <w:pPr>
      <w:pStyle w:val="14"/>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5"/>
      </w:rPr>
    </w:pPr>
    <w:r>
      <w:fldChar w:fldCharType="begin"/>
    </w:r>
    <w:r>
      <w:rPr>
        <w:rStyle w:val="25"/>
      </w:rPr>
      <w:instrText xml:space="preserve">PAGE  </w:instrText>
    </w:r>
    <w:r>
      <w:fldChar w:fldCharType="end"/>
    </w:r>
  </w:p>
  <w:p>
    <w:pPr>
      <w:pStyle w:val="1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both"/>
      <w:rPr>
        <w:rFonts w:hint="eastAsia"/>
      </w:rPr>
    </w:pPr>
    <w:r>
      <w:rPr>
        <w:rFonts w:hint="eastAsia"/>
      </w:rPr>
      <w:t>汕头大学医学院设备招标文件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63BC5A"/>
    <w:multiLevelType w:val="singleLevel"/>
    <w:tmpl w:val="9E63BC5A"/>
    <w:lvl w:ilvl="0" w:tentative="0">
      <w:start w:val="2"/>
      <w:numFmt w:val="chineseCounting"/>
      <w:suff w:val="nothing"/>
      <w:lvlText w:val="%1．"/>
      <w:lvlJc w:val="left"/>
      <w:rPr>
        <w:rFonts w:hint="eastAsia"/>
      </w:rPr>
    </w:lvl>
  </w:abstractNum>
  <w:abstractNum w:abstractNumId="1">
    <w:nsid w:val="E66DAEE8"/>
    <w:multiLevelType w:val="singleLevel"/>
    <w:tmpl w:val="E66DAEE8"/>
    <w:lvl w:ilvl="0" w:tentative="0">
      <w:start w:val="2"/>
      <w:numFmt w:val="chineseCounting"/>
      <w:suff w:val="nothing"/>
      <w:lvlText w:val="%1、"/>
      <w:lvlJc w:val="left"/>
      <w:rPr>
        <w:rFonts w:hint="eastAsia"/>
      </w:rPr>
    </w:lvl>
  </w:abstractNum>
  <w:abstractNum w:abstractNumId="2">
    <w:nsid w:val="04061080"/>
    <w:multiLevelType w:val="singleLevel"/>
    <w:tmpl w:val="04061080"/>
    <w:lvl w:ilvl="0" w:tentative="0">
      <w:start w:val="1"/>
      <w:numFmt w:val="decimal"/>
      <w:lvlText w:val="%1."/>
      <w:lvlJc w:val="left"/>
      <w:pPr>
        <w:tabs>
          <w:tab w:val="left" w:pos="425"/>
        </w:tabs>
        <w:ind w:left="425" w:hanging="425"/>
      </w:pPr>
      <w:rPr>
        <w:rFonts w:hint="eastAsia"/>
      </w:rPr>
    </w:lvl>
  </w:abstractNum>
  <w:abstractNum w:abstractNumId="3">
    <w:nsid w:val="13892109"/>
    <w:multiLevelType w:val="multilevel"/>
    <w:tmpl w:val="1389210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154413BC"/>
    <w:multiLevelType w:val="singleLevel"/>
    <w:tmpl w:val="154413BC"/>
    <w:lvl w:ilvl="0" w:tentative="0">
      <w:start w:val="1"/>
      <w:numFmt w:val="decimal"/>
      <w:lvlText w:val="%1."/>
      <w:lvlJc w:val="left"/>
      <w:pPr>
        <w:tabs>
          <w:tab w:val="left" w:pos="425"/>
        </w:tabs>
        <w:ind w:left="425" w:hanging="425"/>
      </w:pPr>
      <w:rPr>
        <w:rFonts w:hint="eastAsia"/>
      </w:rPr>
    </w:lvl>
  </w:abstractNum>
  <w:abstractNum w:abstractNumId="5">
    <w:nsid w:val="2DFF5402"/>
    <w:multiLevelType w:val="multilevel"/>
    <w:tmpl w:val="2DFF5402"/>
    <w:lvl w:ilvl="0" w:tentative="0">
      <w:start w:val="1"/>
      <w:numFmt w:val="decimal"/>
      <w:lvlText w:val="%1."/>
      <w:lvlJc w:val="left"/>
      <w:pPr>
        <w:tabs>
          <w:tab w:val="left" w:pos="1260"/>
        </w:tabs>
        <w:ind w:left="1260" w:hanging="420"/>
      </w:pPr>
    </w:lvl>
    <w:lvl w:ilvl="1" w:tentative="0">
      <w:start w:val="2"/>
      <w:numFmt w:val="upperRoman"/>
      <w:pStyle w:val="4"/>
      <w:lvlText w:val="%2."/>
      <w:lvlJc w:val="left"/>
      <w:pPr>
        <w:tabs>
          <w:tab w:val="left" w:pos="1980"/>
        </w:tabs>
        <w:ind w:left="1680" w:hanging="420"/>
      </w:pPr>
      <w:rPr>
        <w:rFonts w:hint="eastAsia"/>
      </w:rPr>
    </w:lvl>
    <w:lvl w:ilvl="2" w:tentative="0">
      <w:start w:val="1"/>
      <w:numFmt w:val="lowerRoman"/>
      <w:lvlText w:val="%3."/>
      <w:lvlJc w:val="right"/>
      <w:pPr>
        <w:tabs>
          <w:tab w:val="left" w:pos="2100"/>
        </w:tabs>
        <w:ind w:left="2100" w:hanging="420"/>
      </w:pPr>
    </w:lvl>
    <w:lvl w:ilvl="3" w:tentative="0">
      <w:start w:val="1"/>
      <w:numFmt w:val="decimal"/>
      <w:lvlText w:val="%4."/>
      <w:lvlJc w:val="left"/>
      <w:pPr>
        <w:tabs>
          <w:tab w:val="left" w:pos="2520"/>
        </w:tabs>
        <w:ind w:left="2520" w:hanging="420"/>
      </w:pPr>
    </w:lvl>
    <w:lvl w:ilvl="4" w:tentative="0">
      <w:start w:val="1"/>
      <w:numFmt w:val="lowerLetter"/>
      <w:lvlText w:val="%5)"/>
      <w:lvlJc w:val="left"/>
      <w:pPr>
        <w:tabs>
          <w:tab w:val="left" w:pos="2940"/>
        </w:tabs>
        <w:ind w:left="2940" w:hanging="420"/>
      </w:pPr>
    </w:lvl>
    <w:lvl w:ilvl="5" w:tentative="0">
      <w:start w:val="1"/>
      <w:numFmt w:val="lowerRoman"/>
      <w:lvlText w:val="%6."/>
      <w:lvlJc w:val="right"/>
      <w:pPr>
        <w:tabs>
          <w:tab w:val="left" w:pos="3360"/>
        </w:tabs>
        <w:ind w:left="3360" w:hanging="420"/>
      </w:pPr>
    </w:lvl>
    <w:lvl w:ilvl="6" w:tentative="0">
      <w:start w:val="1"/>
      <w:numFmt w:val="decimal"/>
      <w:lvlText w:val="%7."/>
      <w:lvlJc w:val="left"/>
      <w:pPr>
        <w:tabs>
          <w:tab w:val="left" w:pos="3780"/>
        </w:tabs>
        <w:ind w:left="3780" w:hanging="420"/>
      </w:pPr>
    </w:lvl>
    <w:lvl w:ilvl="7" w:tentative="0">
      <w:start w:val="1"/>
      <w:numFmt w:val="lowerLetter"/>
      <w:lvlText w:val="%8)"/>
      <w:lvlJc w:val="left"/>
      <w:pPr>
        <w:tabs>
          <w:tab w:val="left" w:pos="4200"/>
        </w:tabs>
        <w:ind w:left="4200" w:hanging="420"/>
      </w:pPr>
    </w:lvl>
    <w:lvl w:ilvl="8" w:tentative="0">
      <w:start w:val="1"/>
      <w:numFmt w:val="lowerRoman"/>
      <w:lvlText w:val="%9."/>
      <w:lvlJc w:val="right"/>
      <w:pPr>
        <w:tabs>
          <w:tab w:val="left" w:pos="4620"/>
        </w:tabs>
        <w:ind w:left="4620" w:hanging="420"/>
      </w:pPr>
    </w:lvl>
  </w:abstractNum>
  <w:abstractNum w:abstractNumId="6">
    <w:nsid w:val="38C06D4F"/>
    <w:multiLevelType w:val="multilevel"/>
    <w:tmpl w:val="38C06D4F"/>
    <w:lvl w:ilvl="0" w:tentative="0">
      <w:start w:val="1"/>
      <w:numFmt w:val="upperRoman"/>
      <w:pStyle w:val="3"/>
      <w:lvlText w:val="%1."/>
      <w:lvlJc w:val="left"/>
      <w:pPr>
        <w:tabs>
          <w:tab w:val="left" w:pos="1085"/>
        </w:tabs>
        <w:ind w:left="1085" w:hanging="420"/>
      </w:pPr>
    </w:lvl>
    <w:lvl w:ilvl="1" w:tentative="0">
      <w:start w:val="1"/>
      <w:numFmt w:val="bullet"/>
      <w:lvlText w:val=""/>
      <w:lvlJc w:val="left"/>
      <w:pPr>
        <w:tabs>
          <w:tab w:val="left" w:pos="1505"/>
        </w:tabs>
        <w:ind w:left="1505" w:hanging="420"/>
      </w:pPr>
      <w:rPr>
        <w:rFonts w:hint="default" w:ascii="Wingdings" w:hAnsi="Wingdings"/>
      </w:rPr>
    </w:lvl>
    <w:lvl w:ilvl="2" w:tentative="0">
      <w:start w:val="1"/>
      <w:numFmt w:val="decimal"/>
      <w:lvlText w:val="%3."/>
      <w:lvlJc w:val="left"/>
      <w:pPr>
        <w:tabs>
          <w:tab w:val="left" w:pos="1925"/>
        </w:tabs>
        <w:ind w:left="1925" w:hanging="420"/>
      </w:pPr>
    </w:lvl>
    <w:lvl w:ilvl="3" w:tentative="0">
      <w:start w:val="1"/>
      <w:numFmt w:val="decimal"/>
      <w:lvlText w:val="%4."/>
      <w:lvlJc w:val="left"/>
      <w:pPr>
        <w:tabs>
          <w:tab w:val="left" w:pos="2345"/>
        </w:tabs>
        <w:ind w:left="2345" w:hanging="420"/>
      </w:pPr>
    </w:lvl>
    <w:lvl w:ilvl="4" w:tentative="0">
      <w:start w:val="1"/>
      <w:numFmt w:val="lowerLetter"/>
      <w:lvlText w:val="%5)"/>
      <w:lvlJc w:val="left"/>
      <w:pPr>
        <w:tabs>
          <w:tab w:val="left" w:pos="2765"/>
        </w:tabs>
        <w:ind w:left="2765" w:hanging="420"/>
      </w:pPr>
    </w:lvl>
    <w:lvl w:ilvl="5" w:tentative="0">
      <w:start w:val="1"/>
      <w:numFmt w:val="lowerRoman"/>
      <w:lvlText w:val="%6."/>
      <w:lvlJc w:val="right"/>
      <w:pPr>
        <w:tabs>
          <w:tab w:val="left" w:pos="3185"/>
        </w:tabs>
        <w:ind w:left="3185" w:hanging="420"/>
      </w:pPr>
    </w:lvl>
    <w:lvl w:ilvl="6" w:tentative="0">
      <w:start w:val="1"/>
      <w:numFmt w:val="decimal"/>
      <w:lvlText w:val="%7."/>
      <w:lvlJc w:val="left"/>
      <w:pPr>
        <w:tabs>
          <w:tab w:val="left" w:pos="3605"/>
        </w:tabs>
        <w:ind w:left="3605" w:hanging="420"/>
      </w:pPr>
    </w:lvl>
    <w:lvl w:ilvl="7" w:tentative="0">
      <w:start w:val="1"/>
      <w:numFmt w:val="lowerLetter"/>
      <w:lvlText w:val="%8)"/>
      <w:lvlJc w:val="left"/>
      <w:pPr>
        <w:tabs>
          <w:tab w:val="left" w:pos="4025"/>
        </w:tabs>
        <w:ind w:left="4025" w:hanging="420"/>
      </w:pPr>
    </w:lvl>
    <w:lvl w:ilvl="8" w:tentative="0">
      <w:start w:val="1"/>
      <w:numFmt w:val="lowerRoman"/>
      <w:lvlText w:val="%9."/>
      <w:lvlJc w:val="right"/>
      <w:pPr>
        <w:tabs>
          <w:tab w:val="left" w:pos="4445"/>
        </w:tabs>
        <w:ind w:left="4445" w:hanging="420"/>
      </w:pPr>
    </w:lvl>
  </w:abstractNum>
  <w:abstractNum w:abstractNumId="7">
    <w:nsid w:val="45D52E3E"/>
    <w:multiLevelType w:val="singleLevel"/>
    <w:tmpl w:val="45D52E3E"/>
    <w:lvl w:ilvl="0" w:tentative="0">
      <w:start w:val="1"/>
      <w:numFmt w:val="japaneseCounting"/>
      <w:lvlText w:val="%1、"/>
      <w:lvlJc w:val="left"/>
      <w:pPr>
        <w:tabs>
          <w:tab w:val="left" w:pos="1920"/>
        </w:tabs>
        <w:ind w:left="1920" w:hanging="660"/>
      </w:pPr>
      <w:rPr>
        <w:rFonts w:hint="eastAsia"/>
      </w:rPr>
    </w:lvl>
  </w:abstractNum>
  <w:abstractNum w:abstractNumId="8">
    <w:nsid w:val="47A30B17"/>
    <w:multiLevelType w:val="singleLevel"/>
    <w:tmpl w:val="47A30B17"/>
    <w:lvl w:ilvl="0" w:tentative="0">
      <w:start w:val="1"/>
      <w:numFmt w:val="decimal"/>
      <w:lvlText w:val="%1."/>
      <w:lvlJc w:val="left"/>
      <w:pPr>
        <w:tabs>
          <w:tab w:val="left" w:pos="425"/>
        </w:tabs>
        <w:ind w:left="425" w:hanging="425"/>
      </w:pPr>
      <w:rPr>
        <w:rFonts w:hint="eastAsia"/>
      </w:rPr>
    </w:lvl>
  </w:abstractNum>
  <w:abstractNum w:abstractNumId="9">
    <w:nsid w:val="497E2A19"/>
    <w:multiLevelType w:val="multilevel"/>
    <w:tmpl w:val="497E2A19"/>
    <w:lvl w:ilvl="0" w:tentative="0">
      <w:start w:val="1"/>
      <w:numFmt w:val="bullet"/>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1140"/>
        </w:tabs>
        <w:ind w:left="1140" w:hanging="720"/>
      </w:p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decimal"/>
      <w:lvlText w:val="（%4）"/>
      <w:lvlJc w:val="left"/>
      <w:pPr>
        <w:tabs>
          <w:tab w:val="left" w:pos="1860"/>
        </w:tabs>
        <w:ind w:left="1860" w:hanging="600"/>
      </w:pPr>
    </w:lvl>
    <w:lvl w:ilvl="4" w:tentative="0">
      <w:start w:val="6"/>
      <w:numFmt w:val="decimal"/>
      <w:lvlText w:val="%5、"/>
      <w:lvlJc w:val="left"/>
      <w:pPr>
        <w:tabs>
          <w:tab w:val="left" w:pos="2400"/>
        </w:tabs>
        <w:ind w:left="2400" w:hanging="72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0">
    <w:nsid w:val="4CEC46AA"/>
    <w:multiLevelType w:val="singleLevel"/>
    <w:tmpl w:val="4CEC46AA"/>
    <w:lvl w:ilvl="0" w:tentative="0">
      <w:start w:val="1"/>
      <w:numFmt w:val="decimal"/>
      <w:lvlText w:val="%1."/>
      <w:lvlJc w:val="left"/>
      <w:pPr>
        <w:tabs>
          <w:tab w:val="left" w:pos="425"/>
        </w:tabs>
        <w:ind w:left="425" w:hanging="425"/>
      </w:pPr>
      <w:rPr>
        <w:rFonts w:hint="eastAsia"/>
      </w:rPr>
    </w:lvl>
  </w:abstractNum>
  <w:abstractNum w:abstractNumId="11">
    <w:nsid w:val="5ECA35ED"/>
    <w:multiLevelType w:val="multilevel"/>
    <w:tmpl w:val="5ECA35ED"/>
    <w:lvl w:ilvl="0" w:tentative="0">
      <w:start w:val="1"/>
      <w:numFmt w:val="japaneseCounting"/>
      <w:lvlText w:val="%1."/>
      <w:lvlJc w:val="left"/>
      <w:pPr>
        <w:tabs>
          <w:tab w:val="left" w:pos="600"/>
        </w:tabs>
        <w:ind w:left="600" w:hanging="60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5F3008B7"/>
    <w:multiLevelType w:val="singleLevel"/>
    <w:tmpl w:val="5F3008B7"/>
    <w:lvl w:ilvl="0" w:tentative="0">
      <w:start w:val="1"/>
      <w:numFmt w:val="decimal"/>
      <w:lvlText w:val="%1."/>
      <w:lvlJc w:val="left"/>
      <w:pPr>
        <w:tabs>
          <w:tab w:val="left" w:pos="425"/>
        </w:tabs>
        <w:ind w:left="425" w:hanging="425"/>
      </w:pPr>
      <w:rPr>
        <w:rFonts w:hint="eastAsia"/>
      </w:rPr>
    </w:lvl>
  </w:abstractNum>
  <w:abstractNum w:abstractNumId="13">
    <w:nsid w:val="640730C6"/>
    <w:multiLevelType w:val="singleLevel"/>
    <w:tmpl w:val="640730C6"/>
    <w:lvl w:ilvl="0" w:tentative="0">
      <w:start w:val="1"/>
      <w:numFmt w:val="decimal"/>
      <w:lvlText w:val="%1."/>
      <w:lvlJc w:val="left"/>
      <w:pPr>
        <w:tabs>
          <w:tab w:val="left" w:pos="425"/>
        </w:tabs>
        <w:ind w:left="425" w:hanging="425"/>
      </w:pPr>
      <w:rPr>
        <w:rFonts w:hint="eastAsia"/>
      </w:rPr>
    </w:lvl>
  </w:abstractNum>
  <w:abstractNum w:abstractNumId="14">
    <w:nsid w:val="656F842A"/>
    <w:multiLevelType w:val="singleLevel"/>
    <w:tmpl w:val="656F842A"/>
    <w:lvl w:ilvl="0" w:tentative="0">
      <w:start w:val="1"/>
      <w:numFmt w:val="decimal"/>
      <w:suff w:val="space"/>
      <w:lvlText w:val="%1."/>
      <w:lvlJc w:val="left"/>
      <w:pPr>
        <w:ind w:left="120" w:firstLine="0"/>
      </w:pPr>
    </w:lvl>
  </w:abstractNum>
  <w:abstractNum w:abstractNumId="15">
    <w:nsid w:val="7CF4638C"/>
    <w:multiLevelType w:val="singleLevel"/>
    <w:tmpl w:val="7CF4638C"/>
    <w:lvl w:ilvl="0" w:tentative="0">
      <w:start w:val="1"/>
      <w:numFmt w:val="japaneseCounting"/>
      <w:lvlText w:val="%1、"/>
      <w:lvlJc w:val="left"/>
      <w:pPr>
        <w:tabs>
          <w:tab w:val="left" w:pos="1920"/>
        </w:tabs>
        <w:ind w:left="1920" w:hanging="660"/>
      </w:pPr>
      <w:rPr>
        <w:rFonts w:hint="eastAsia"/>
      </w:rPr>
    </w:lvl>
  </w:abstractNum>
  <w:abstractNum w:abstractNumId="16">
    <w:nsid w:val="7E2A564C"/>
    <w:multiLevelType w:val="singleLevel"/>
    <w:tmpl w:val="7E2A564C"/>
    <w:lvl w:ilvl="0" w:tentative="0">
      <w:start w:val="1"/>
      <w:numFmt w:val="decimal"/>
      <w:lvlText w:val="%1."/>
      <w:lvlJc w:val="left"/>
      <w:pPr>
        <w:tabs>
          <w:tab w:val="left" w:pos="425"/>
        </w:tabs>
        <w:ind w:left="425" w:hanging="425"/>
      </w:pPr>
      <w:rPr>
        <w:rFonts w:hint="eastAsia"/>
      </w:rPr>
    </w:lvl>
  </w:abstractNum>
  <w:num w:numId="1">
    <w:abstractNumId w:val="6"/>
  </w:num>
  <w:num w:numId="2">
    <w:abstractNumId w:val="5"/>
  </w:num>
  <w:num w:numId="3">
    <w:abstractNumId w:val="15"/>
  </w:num>
  <w:num w:numId="4">
    <w:abstractNumId w:val="7"/>
  </w:num>
  <w:num w:numId="5">
    <w:abstractNumId w:val="2"/>
  </w:num>
  <w:num w:numId="6">
    <w:abstractNumId w:val="10"/>
  </w:num>
  <w:num w:numId="7">
    <w:abstractNumId w:val="13"/>
  </w:num>
  <w:num w:numId="8">
    <w:abstractNumId w:val="4"/>
  </w:num>
  <w:num w:numId="9">
    <w:abstractNumId w:val="3"/>
  </w:num>
  <w:num w:numId="10">
    <w:abstractNumId w:val="1"/>
  </w:num>
  <w:num w:numId="11">
    <w:abstractNumId w:val="14"/>
  </w:num>
  <w:num w:numId="12">
    <w:abstractNumId w:val="0"/>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num>
  <w:num w:numId="15">
    <w:abstractNumId w:val="12"/>
    <w:lvlOverride w:ilvl="0">
      <w:startOverride w:val="1"/>
    </w:lvlOverride>
  </w:num>
  <w:num w:numId="16">
    <w:abstractNumId w:val="16"/>
    <w:lvlOverride w:ilvl="0">
      <w:startOverride w:val="1"/>
    </w:lvlOverride>
  </w:num>
  <w:num w:numId="17">
    <w:abstractNumId w:val="1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5"/>
  <w:hyphenationZone w:val="360"/>
  <w:drawingGridHorizontalSpacing w:val="166"/>
  <w:drawingGridVerticalSpacing w:val="381"/>
  <w:displayHorizontalDrawingGridEvery w:val="2"/>
  <w:displayVerticalDrawingGridEvery w:val="1"/>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VjMzQ1OTRlZTFhN2Y3OGU0MDU2MjdkYTkzYjE4NTIifQ=="/>
  </w:docVars>
  <w:rsids>
    <w:rsidRoot w:val="00A64781"/>
    <w:rsid w:val="0000204A"/>
    <w:rsid w:val="00003B22"/>
    <w:rsid w:val="00004020"/>
    <w:rsid w:val="00005041"/>
    <w:rsid w:val="000059AA"/>
    <w:rsid w:val="0001407A"/>
    <w:rsid w:val="00021081"/>
    <w:rsid w:val="000224C3"/>
    <w:rsid w:val="000231B0"/>
    <w:rsid w:val="00024209"/>
    <w:rsid w:val="00025FD5"/>
    <w:rsid w:val="00026985"/>
    <w:rsid w:val="00034FA8"/>
    <w:rsid w:val="000364E5"/>
    <w:rsid w:val="000401B7"/>
    <w:rsid w:val="00044606"/>
    <w:rsid w:val="00051179"/>
    <w:rsid w:val="00066F22"/>
    <w:rsid w:val="00070D89"/>
    <w:rsid w:val="00071AA3"/>
    <w:rsid w:val="00071C62"/>
    <w:rsid w:val="00075CAF"/>
    <w:rsid w:val="00076A72"/>
    <w:rsid w:val="000770C6"/>
    <w:rsid w:val="0008093C"/>
    <w:rsid w:val="00081A3D"/>
    <w:rsid w:val="000840BC"/>
    <w:rsid w:val="00084B04"/>
    <w:rsid w:val="00086F7D"/>
    <w:rsid w:val="000915D9"/>
    <w:rsid w:val="000A015E"/>
    <w:rsid w:val="000A2EDC"/>
    <w:rsid w:val="000A77AB"/>
    <w:rsid w:val="000B6AED"/>
    <w:rsid w:val="000C16D3"/>
    <w:rsid w:val="000C3941"/>
    <w:rsid w:val="000C3B61"/>
    <w:rsid w:val="000C7F51"/>
    <w:rsid w:val="000D470E"/>
    <w:rsid w:val="000E0A87"/>
    <w:rsid w:val="000F1FE5"/>
    <w:rsid w:val="000F29B1"/>
    <w:rsid w:val="000F383B"/>
    <w:rsid w:val="00100CEC"/>
    <w:rsid w:val="0010379C"/>
    <w:rsid w:val="001066A2"/>
    <w:rsid w:val="00110AB1"/>
    <w:rsid w:val="001127F5"/>
    <w:rsid w:val="00112B75"/>
    <w:rsid w:val="001218F4"/>
    <w:rsid w:val="001242FE"/>
    <w:rsid w:val="00133325"/>
    <w:rsid w:val="001333F0"/>
    <w:rsid w:val="001342EA"/>
    <w:rsid w:val="001369AB"/>
    <w:rsid w:val="0014112B"/>
    <w:rsid w:val="00141FFF"/>
    <w:rsid w:val="001443B7"/>
    <w:rsid w:val="00164C72"/>
    <w:rsid w:val="001656D0"/>
    <w:rsid w:val="0017027B"/>
    <w:rsid w:val="001706C2"/>
    <w:rsid w:val="001716C2"/>
    <w:rsid w:val="001757AA"/>
    <w:rsid w:val="001A64DC"/>
    <w:rsid w:val="001A684F"/>
    <w:rsid w:val="001A733C"/>
    <w:rsid w:val="001B1A25"/>
    <w:rsid w:val="001B256E"/>
    <w:rsid w:val="001B2D88"/>
    <w:rsid w:val="001B36A4"/>
    <w:rsid w:val="001B4AAD"/>
    <w:rsid w:val="001B6D46"/>
    <w:rsid w:val="001C06F8"/>
    <w:rsid w:val="001C1F80"/>
    <w:rsid w:val="001C2184"/>
    <w:rsid w:val="001C5BD0"/>
    <w:rsid w:val="001C6FE3"/>
    <w:rsid w:val="001D277C"/>
    <w:rsid w:val="001D581E"/>
    <w:rsid w:val="001D6BEF"/>
    <w:rsid w:val="001E4034"/>
    <w:rsid w:val="001E5CF1"/>
    <w:rsid w:val="001E610D"/>
    <w:rsid w:val="001E6289"/>
    <w:rsid w:val="001F0C7A"/>
    <w:rsid w:val="001F7EAA"/>
    <w:rsid w:val="0020285D"/>
    <w:rsid w:val="002077D4"/>
    <w:rsid w:val="00213925"/>
    <w:rsid w:val="00213E67"/>
    <w:rsid w:val="00221E77"/>
    <w:rsid w:val="00224A9B"/>
    <w:rsid w:val="0025483C"/>
    <w:rsid w:val="00262EA9"/>
    <w:rsid w:val="002643A4"/>
    <w:rsid w:val="002719DF"/>
    <w:rsid w:val="00273904"/>
    <w:rsid w:val="00277403"/>
    <w:rsid w:val="00277EDE"/>
    <w:rsid w:val="002824BB"/>
    <w:rsid w:val="00283F3C"/>
    <w:rsid w:val="00285904"/>
    <w:rsid w:val="00285BD4"/>
    <w:rsid w:val="0029552F"/>
    <w:rsid w:val="002A165C"/>
    <w:rsid w:val="002A4782"/>
    <w:rsid w:val="002A5244"/>
    <w:rsid w:val="002A565D"/>
    <w:rsid w:val="002A5C3F"/>
    <w:rsid w:val="002B0E09"/>
    <w:rsid w:val="002B240A"/>
    <w:rsid w:val="002B5510"/>
    <w:rsid w:val="002C6E6A"/>
    <w:rsid w:val="002C7F85"/>
    <w:rsid w:val="002D49F5"/>
    <w:rsid w:val="002D4F3E"/>
    <w:rsid w:val="002F51B5"/>
    <w:rsid w:val="002F6C3F"/>
    <w:rsid w:val="003012B4"/>
    <w:rsid w:val="00301EDE"/>
    <w:rsid w:val="003042C1"/>
    <w:rsid w:val="0030762D"/>
    <w:rsid w:val="00307759"/>
    <w:rsid w:val="0031113C"/>
    <w:rsid w:val="00312E44"/>
    <w:rsid w:val="003139DA"/>
    <w:rsid w:val="003164AC"/>
    <w:rsid w:val="00320C2E"/>
    <w:rsid w:val="00321D03"/>
    <w:rsid w:val="00331FB9"/>
    <w:rsid w:val="00361561"/>
    <w:rsid w:val="00364C94"/>
    <w:rsid w:val="003665E8"/>
    <w:rsid w:val="00367CCA"/>
    <w:rsid w:val="00370198"/>
    <w:rsid w:val="003707A2"/>
    <w:rsid w:val="00370A1A"/>
    <w:rsid w:val="00382F1B"/>
    <w:rsid w:val="0038392E"/>
    <w:rsid w:val="00384A71"/>
    <w:rsid w:val="003859ED"/>
    <w:rsid w:val="00387A87"/>
    <w:rsid w:val="0039041F"/>
    <w:rsid w:val="00390807"/>
    <w:rsid w:val="00393B54"/>
    <w:rsid w:val="003948E6"/>
    <w:rsid w:val="003A027D"/>
    <w:rsid w:val="003A028C"/>
    <w:rsid w:val="003A1B09"/>
    <w:rsid w:val="003A26D8"/>
    <w:rsid w:val="003A41E7"/>
    <w:rsid w:val="003A492D"/>
    <w:rsid w:val="003A7B28"/>
    <w:rsid w:val="003B1238"/>
    <w:rsid w:val="003B1F61"/>
    <w:rsid w:val="003B472C"/>
    <w:rsid w:val="003B7E37"/>
    <w:rsid w:val="003C0A6C"/>
    <w:rsid w:val="003C0DF8"/>
    <w:rsid w:val="003C7190"/>
    <w:rsid w:val="003D0CE8"/>
    <w:rsid w:val="003D212B"/>
    <w:rsid w:val="003E0479"/>
    <w:rsid w:val="003E101C"/>
    <w:rsid w:val="003E4A17"/>
    <w:rsid w:val="003E4B96"/>
    <w:rsid w:val="003F19B6"/>
    <w:rsid w:val="003F5C69"/>
    <w:rsid w:val="003F632A"/>
    <w:rsid w:val="004034F6"/>
    <w:rsid w:val="00403D68"/>
    <w:rsid w:val="00406C93"/>
    <w:rsid w:val="00411193"/>
    <w:rsid w:val="00412BC3"/>
    <w:rsid w:val="00413124"/>
    <w:rsid w:val="004209CB"/>
    <w:rsid w:val="00421609"/>
    <w:rsid w:val="00423C35"/>
    <w:rsid w:val="00424A8F"/>
    <w:rsid w:val="00432833"/>
    <w:rsid w:val="0043563E"/>
    <w:rsid w:val="00436760"/>
    <w:rsid w:val="00437122"/>
    <w:rsid w:val="0044386D"/>
    <w:rsid w:val="00445397"/>
    <w:rsid w:val="00445D96"/>
    <w:rsid w:val="00450A7C"/>
    <w:rsid w:val="00453283"/>
    <w:rsid w:val="004546DC"/>
    <w:rsid w:val="0046041C"/>
    <w:rsid w:val="004605AF"/>
    <w:rsid w:val="00464B10"/>
    <w:rsid w:val="00474F8D"/>
    <w:rsid w:val="00483252"/>
    <w:rsid w:val="00483D43"/>
    <w:rsid w:val="00485CF4"/>
    <w:rsid w:val="00487E57"/>
    <w:rsid w:val="0049387D"/>
    <w:rsid w:val="00493E3B"/>
    <w:rsid w:val="004966EF"/>
    <w:rsid w:val="00497654"/>
    <w:rsid w:val="00497859"/>
    <w:rsid w:val="004A4A74"/>
    <w:rsid w:val="004A7DE2"/>
    <w:rsid w:val="004B38E5"/>
    <w:rsid w:val="004B638C"/>
    <w:rsid w:val="004C435A"/>
    <w:rsid w:val="004C661E"/>
    <w:rsid w:val="004D035D"/>
    <w:rsid w:val="004D2F20"/>
    <w:rsid w:val="004D7ED7"/>
    <w:rsid w:val="004E04F6"/>
    <w:rsid w:val="004F1E00"/>
    <w:rsid w:val="004F2003"/>
    <w:rsid w:val="004F2B8D"/>
    <w:rsid w:val="004F6EEE"/>
    <w:rsid w:val="00501D28"/>
    <w:rsid w:val="00502280"/>
    <w:rsid w:val="00503615"/>
    <w:rsid w:val="005072B0"/>
    <w:rsid w:val="00510527"/>
    <w:rsid w:val="00511A8D"/>
    <w:rsid w:val="0052093E"/>
    <w:rsid w:val="00524335"/>
    <w:rsid w:val="00531F1C"/>
    <w:rsid w:val="005320AC"/>
    <w:rsid w:val="0053453F"/>
    <w:rsid w:val="00544C3B"/>
    <w:rsid w:val="005459AB"/>
    <w:rsid w:val="00547A85"/>
    <w:rsid w:val="005506A5"/>
    <w:rsid w:val="00550E7D"/>
    <w:rsid w:val="00551500"/>
    <w:rsid w:val="00557CBB"/>
    <w:rsid w:val="00560062"/>
    <w:rsid w:val="00570682"/>
    <w:rsid w:val="00573CF8"/>
    <w:rsid w:val="0057407B"/>
    <w:rsid w:val="00576E99"/>
    <w:rsid w:val="005822AA"/>
    <w:rsid w:val="00583525"/>
    <w:rsid w:val="00590573"/>
    <w:rsid w:val="00590B41"/>
    <w:rsid w:val="00591B71"/>
    <w:rsid w:val="00593ECB"/>
    <w:rsid w:val="00594A03"/>
    <w:rsid w:val="00597C83"/>
    <w:rsid w:val="005A19EE"/>
    <w:rsid w:val="005A27E5"/>
    <w:rsid w:val="005A2815"/>
    <w:rsid w:val="005A5D53"/>
    <w:rsid w:val="005A727F"/>
    <w:rsid w:val="005B2632"/>
    <w:rsid w:val="005B3071"/>
    <w:rsid w:val="005B4D42"/>
    <w:rsid w:val="005C347F"/>
    <w:rsid w:val="005D0306"/>
    <w:rsid w:val="005D14F6"/>
    <w:rsid w:val="005D182A"/>
    <w:rsid w:val="005D3FE5"/>
    <w:rsid w:val="005D707B"/>
    <w:rsid w:val="005D79E3"/>
    <w:rsid w:val="005E06E4"/>
    <w:rsid w:val="005E381E"/>
    <w:rsid w:val="005E3A7D"/>
    <w:rsid w:val="005E4AB3"/>
    <w:rsid w:val="005E4B95"/>
    <w:rsid w:val="005F3426"/>
    <w:rsid w:val="005F370A"/>
    <w:rsid w:val="00600FD0"/>
    <w:rsid w:val="00612E0C"/>
    <w:rsid w:val="00616747"/>
    <w:rsid w:val="00620697"/>
    <w:rsid w:val="00623B84"/>
    <w:rsid w:val="00626C0A"/>
    <w:rsid w:val="0063427B"/>
    <w:rsid w:val="0063559C"/>
    <w:rsid w:val="00635A31"/>
    <w:rsid w:val="00637703"/>
    <w:rsid w:val="00644BB8"/>
    <w:rsid w:val="00652630"/>
    <w:rsid w:val="00652684"/>
    <w:rsid w:val="00653450"/>
    <w:rsid w:val="00660226"/>
    <w:rsid w:val="00662AEB"/>
    <w:rsid w:val="00662E79"/>
    <w:rsid w:val="00663019"/>
    <w:rsid w:val="006704AF"/>
    <w:rsid w:val="00670B7C"/>
    <w:rsid w:val="006711BB"/>
    <w:rsid w:val="00675CF1"/>
    <w:rsid w:val="006763EE"/>
    <w:rsid w:val="006804DF"/>
    <w:rsid w:val="006A180E"/>
    <w:rsid w:val="006A2D1B"/>
    <w:rsid w:val="006A63FE"/>
    <w:rsid w:val="006B193E"/>
    <w:rsid w:val="006B429B"/>
    <w:rsid w:val="006B52C6"/>
    <w:rsid w:val="006C038A"/>
    <w:rsid w:val="006C1872"/>
    <w:rsid w:val="006C1C37"/>
    <w:rsid w:val="006C7671"/>
    <w:rsid w:val="006D13B6"/>
    <w:rsid w:val="006D3111"/>
    <w:rsid w:val="006D3B89"/>
    <w:rsid w:val="006D4B5D"/>
    <w:rsid w:val="006D654D"/>
    <w:rsid w:val="006D7309"/>
    <w:rsid w:val="006E757E"/>
    <w:rsid w:val="006F2493"/>
    <w:rsid w:val="006F3FC3"/>
    <w:rsid w:val="006F554D"/>
    <w:rsid w:val="00701668"/>
    <w:rsid w:val="0070195E"/>
    <w:rsid w:val="007067CF"/>
    <w:rsid w:val="00706A88"/>
    <w:rsid w:val="00706DF5"/>
    <w:rsid w:val="00707998"/>
    <w:rsid w:val="007139EC"/>
    <w:rsid w:val="00713EF4"/>
    <w:rsid w:val="00713FE6"/>
    <w:rsid w:val="00715088"/>
    <w:rsid w:val="00715526"/>
    <w:rsid w:val="00715550"/>
    <w:rsid w:val="00716EF4"/>
    <w:rsid w:val="00724C1C"/>
    <w:rsid w:val="00726C7B"/>
    <w:rsid w:val="007274E1"/>
    <w:rsid w:val="007371C9"/>
    <w:rsid w:val="0074185A"/>
    <w:rsid w:val="00750827"/>
    <w:rsid w:val="00752970"/>
    <w:rsid w:val="007537CC"/>
    <w:rsid w:val="00753D53"/>
    <w:rsid w:val="007548A8"/>
    <w:rsid w:val="00755CC9"/>
    <w:rsid w:val="00766B63"/>
    <w:rsid w:val="00771F91"/>
    <w:rsid w:val="007721A7"/>
    <w:rsid w:val="00777BF4"/>
    <w:rsid w:val="00777C6E"/>
    <w:rsid w:val="0078212C"/>
    <w:rsid w:val="0078401C"/>
    <w:rsid w:val="007842EC"/>
    <w:rsid w:val="0078487E"/>
    <w:rsid w:val="00785609"/>
    <w:rsid w:val="00786D80"/>
    <w:rsid w:val="007900DB"/>
    <w:rsid w:val="0079124E"/>
    <w:rsid w:val="00793B82"/>
    <w:rsid w:val="007A367B"/>
    <w:rsid w:val="007A7A03"/>
    <w:rsid w:val="007B6849"/>
    <w:rsid w:val="007C032B"/>
    <w:rsid w:val="007C12C5"/>
    <w:rsid w:val="007C4D09"/>
    <w:rsid w:val="007C7791"/>
    <w:rsid w:val="007C7B5F"/>
    <w:rsid w:val="007D1D44"/>
    <w:rsid w:val="007D6608"/>
    <w:rsid w:val="007D6E55"/>
    <w:rsid w:val="007D7AA4"/>
    <w:rsid w:val="007E0C40"/>
    <w:rsid w:val="007E0EE4"/>
    <w:rsid w:val="007E3ADF"/>
    <w:rsid w:val="007E6054"/>
    <w:rsid w:val="007E782D"/>
    <w:rsid w:val="007F07C7"/>
    <w:rsid w:val="007F5DDD"/>
    <w:rsid w:val="007F5F99"/>
    <w:rsid w:val="00800E0C"/>
    <w:rsid w:val="00801DD9"/>
    <w:rsid w:val="008050A3"/>
    <w:rsid w:val="008104AF"/>
    <w:rsid w:val="00812D6A"/>
    <w:rsid w:val="0081701A"/>
    <w:rsid w:val="00822FC8"/>
    <w:rsid w:val="00823EE5"/>
    <w:rsid w:val="00824CD0"/>
    <w:rsid w:val="00830881"/>
    <w:rsid w:val="008346E4"/>
    <w:rsid w:val="008377A0"/>
    <w:rsid w:val="00844E4E"/>
    <w:rsid w:val="0084618A"/>
    <w:rsid w:val="008501B9"/>
    <w:rsid w:val="008503D9"/>
    <w:rsid w:val="00856627"/>
    <w:rsid w:val="00864302"/>
    <w:rsid w:val="0087744A"/>
    <w:rsid w:val="00882C94"/>
    <w:rsid w:val="008841DD"/>
    <w:rsid w:val="00885DAF"/>
    <w:rsid w:val="00885F32"/>
    <w:rsid w:val="0088684A"/>
    <w:rsid w:val="008870D2"/>
    <w:rsid w:val="00887F8B"/>
    <w:rsid w:val="00890BB0"/>
    <w:rsid w:val="008976A8"/>
    <w:rsid w:val="008A1586"/>
    <w:rsid w:val="008B3399"/>
    <w:rsid w:val="008C1D5E"/>
    <w:rsid w:val="008C40DC"/>
    <w:rsid w:val="008C797F"/>
    <w:rsid w:val="008D297D"/>
    <w:rsid w:val="008D2C4D"/>
    <w:rsid w:val="008D3D23"/>
    <w:rsid w:val="008E3F55"/>
    <w:rsid w:val="008F5468"/>
    <w:rsid w:val="0090162D"/>
    <w:rsid w:val="0090206E"/>
    <w:rsid w:val="00907A41"/>
    <w:rsid w:val="009125C9"/>
    <w:rsid w:val="00912E99"/>
    <w:rsid w:val="00913781"/>
    <w:rsid w:val="00921907"/>
    <w:rsid w:val="00922E6F"/>
    <w:rsid w:val="00923FAA"/>
    <w:rsid w:val="009250E3"/>
    <w:rsid w:val="00937153"/>
    <w:rsid w:val="00940115"/>
    <w:rsid w:val="00940140"/>
    <w:rsid w:val="009422A2"/>
    <w:rsid w:val="00946608"/>
    <w:rsid w:val="00953904"/>
    <w:rsid w:val="00953FAE"/>
    <w:rsid w:val="00954D1C"/>
    <w:rsid w:val="00955826"/>
    <w:rsid w:val="009559D8"/>
    <w:rsid w:val="00956C39"/>
    <w:rsid w:val="009654E5"/>
    <w:rsid w:val="00966CAE"/>
    <w:rsid w:val="009673D3"/>
    <w:rsid w:val="009708C3"/>
    <w:rsid w:val="00973D0E"/>
    <w:rsid w:val="0098147F"/>
    <w:rsid w:val="0098167B"/>
    <w:rsid w:val="0098546C"/>
    <w:rsid w:val="0098798F"/>
    <w:rsid w:val="00987FED"/>
    <w:rsid w:val="00995365"/>
    <w:rsid w:val="00996104"/>
    <w:rsid w:val="00997A5B"/>
    <w:rsid w:val="009A09EA"/>
    <w:rsid w:val="009A2173"/>
    <w:rsid w:val="009A25EA"/>
    <w:rsid w:val="009A7699"/>
    <w:rsid w:val="009A7B23"/>
    <w:rsid w:val="009B3C2B"/>
    <w:rsid w:val="009C0E05"/>
    <w:rsid w:val="009C25EA"/>
    <w:rsid w:val="009C448A"/>
    <w:rsid w:val="009C54A3"/>
    <w:rsid w:val="009C54F2"/>
    <w:rsid w:val="009D3CBA"/>
    <w:rsid w:val="009D5CE9"/>
    <w:rsid w:val="009E1912"/>
    <w:rsid w:val="009E38B2"/>
    <w:rsid w:val="009E4853"/>
    <w:rsid w:val="009F4023"/>
    <w:rsid w:val="009F471B"/>
    <w:rsid w:val="009F7F9F"/>
    <w:rsid w:val="00A022D7"/>
    <w:rsid w:val="00A03D8C"/>
    <w:rsid w:val="00A0433B"/>
    <w:rsid w:val="00A054DC"/>
    <w:rsid w:val="00A071D5"/>
    <w:rsid w:val="00A16B56"/>
    <w:rsid w:val="00A209B6"/>
    <w:rsid w:val="00A23072"/>
    <w:rsid w:val="00A260A6"/>
    <w:rsid w:val="00A30E38"/>
    <w:rsid w:val="00A31EC3"/>
    <w:rsid w:val="00A33330"/>
    <w:rsid w:val="00A34B0C"/>
    <w:rsid w:val="00A34C3C"/>
    <w:rsid w:val="00A3659C"/>
    <w:rsid w:val="00A3679E"/>
    <w:rsid w:val="00A3746F"/>
    <w:rsid w:val="00A441B3"/>
    <w:rsid w:val="00A45AA2"/>
    <w:rsid w:val="00A47EA0"/>
    <w:rsid w:val="00A5011F"/>
    <w:rsid w:val="00A5098B"/>
    <w:rsid w:val="00A51DA4"/>
    <w:rsid w:val="00A520B3"/>
    <w:rsid w:val="00A53627"/>
    <w:rsid w:val="00A55C61"/>
    <w:rsid w:val="00A60FB1"/>
    <w:rsid w:val="00A62C79"/>
    <w:rsid w:val="00A64781"/>
    <w:rsid w:val="00A6649B"/>
    <w:rsid w:val="00A759FB"/>
    <w:rsid w:val="00A76383"/>
    <w:rsid w:val="00A77F6D"/>
    <w:rsid w:val="00A80062"/>
    <w:rsid w:val="00A80C3E"/>
    <w:rsid w:val="00A8109B"/>
    <w:rsid w:val="00A816BC"/>
    <w:rsid w:val="00A83FFA"/>
    <w:rsid w:val="00A91508"/>
    <w:rsid w:val="00A91DA7"/>
    <w:rsid w:val="00A920C9"/>
    <w:rsid w:val="00A94887"/>
    <w:rsid w:val="00A94CF9"/>
    <w:rsid w:val="00A97A08"/>
    <w:rsid w:val="00AA08AC"/>
    <w:rsid w:val="00AA377F"/>
    <w:rsid w:val="00AA489E"/>
    <w:rsid w:val="00AA4A15"/>
    <w:rsid w:val="00AA5873"/>
    <w:rsid w:val="00AB3CF8"/>
    <w:rsid w:val="00AB721A"/>
    <w:rsid w:val="00AC2909"/>
    <w:rsid w:val="00AC5155"/>
    <w:rsid w:val="00AD07F8"/>
    <w:rsid w:val="00AD1A9A"/>
    <w:rsid w:val="00AD3E2C"/>
    <w:rsid w:val="00AD74B5"/>
    <w:rsid w:val="00AE1E63"/>
    <w:rsid w:val="00AE7CC9"/>
    <w:rsid w:val="00AF42EA"/>
    <w:rsid w:val="00B00CE9"/>
    <w:rsid w:val="00B0145F"/>
    <w:rsid w:val="00B0233B"/>
    <w:rsid w:val="00B02641"/>
    <w:rsid w:val="00B07CBA"/>
    <w:rsid w:val="00B1257C"/>
    <w:rsid w:val="00B1259F"/>
    <w:rsid w:val="00B132F8"/>
    <w:rsid w:val="00B17088"/>
    <w:rsid w:val="00B206EE"/>
    <w:rsid w:val="00B20D4E"/>
    <w:rsid w:val="00B21A7D"/>
    <w:rsid w:val="00B21C0C"/>
    <w:rsid w:val="00B226D0"/>
    <w:rsid w:val="00B32A33"/>
    <w:rsid w:val="00B33123"/>
    <w:rsid w:val="00B36115"/>
    <w:rsid w:val="00B36427"/>
    <w:rsid w:val="00B43476"/>
    <w:rsid w:val="00B434D1"/>
    <w:rsid w:val="00B47071"/>
    <w:rsid w:val="00B506D1"/>
    <w:rsid w:val="00B51B01"/>
    <w:rsid w:val="00B52A71"/>
    <w:rsid w:val="00B54370"/>
    <w:rsid w:val="00B557E8"/>
    <w:rsid w:val="00B558B7"/>
    <w:rsid w:val="00B5600D"/>
    <w:rsid w:val="00B56D06"/>
    <w:rsid w:val="00B61194"/>
    <w:rsid w:val="00B6156F"/>
    <w:rsid w:val="00B72ADD"/>
    <w:rsid w:val="00B77C24"/>
    <w:rsid w:val="00B87660"/>
    <w:rsid w:val="00B92C98"/>
    <w:rsid w:val="00BA2814"/>
    <w:rsid w:val="00BA5D01"/>
    <w:rsid w:val="00BB0660"/>
    <w:rsid w:val="00BB6D42"/>
    <w:rsid w:val="00BB7E55"/>
    <w:rsid w:val="00BC1B59"/>
    <w:rsid w:val="00BC7BE0"/>
    <w:rsid w:val="00BD1DE0"/>
    <w:rsid w:val="00BD3BDC"/>
    <w:rsid w:val="00BD5D63"/>
    <w:rsid w:val="00BD629C"/>
    <w:rsid w:val="00BE0403"/>
    <w:rsid w:val="00BE04EE"/>
    <w:rsid w:val="00BE4239"/>
    <w:rsid w:val="00BF3F40"/>
    <w:rsid w:val="00C041A2"/>
    <w:rsid w:val="00C0563C"/>
    <w:rsid w:val="00C06570"/>
    <w:rsid w:val="00C07185"/>
    <w:rsid w:val="00C13279"/>
    <w:rsid w:val="00C151D8"/>
    <w:rsid w:val="00C1781D"/>
    <w:rsid w:val="00C2110E"/>
    <w:rsid w:val="00C221B4"/>
    <w:rsid w:val="00C26A99"/>
    <w:rsid w:val="00C277BF"/>
    <w:rsid w:val="00C30447"/>
    <w:rsid w:val="00C30FFE"/>
    <w:rsid w:val="00C36586"/>
    <w:rsid w:val="00C40077"/>
    <w:rsid w:val="00C4287B"/>
    <w:rsid w:val="00C42899"/>
    <w:rsid w:val="00C435FA"/>
    <w:rsid w:val="00C475AE"/>
    <w:rsid w:val="00C476F5"/>
    <w:rsid w:val="00C47CCD"/>
    <w:rsid w:val="00C53E8F"/>
    <w:rsid w:val="00C551DC"/>
    <w:rsid w:val="00C72541"/>
    <w:rsid w:val="00C75C45"/>
    <w:rsid w:val="00C866F5"/>
    <w:rsid w:val="00C87892"/>
    <w:rsid w:val="00C92360"/>
    <w:rsid w:val="00C94B0C"/>
    <w:rsid w:val="00C94FB2"/>
    <w:rsid w:val="00C959D5"/>
    <w:rsid w:val="00C95A27"/>
    <w:rsid w:val="00C97339"/>
    <w:rsid w:val="00C97E96"/>
    <w:rsid w:val="00CA216C"/>
    <w:rsid w:val="00CA6DD1"/>
    <w:rsid w:val="00CB0CEF"/>
    <w:rsid w:val="00CB5DBA"/>
    <w:rsid w:val="00CB716B"/>
    <w:rsid w:val="00CC0B7B"/>
    <w:rsid w:val="00CC52E4"/>
    <w:rsid w:val="00CC7A80"/>
    <w:rsid w:val="00CD177D"/>
    <w:rsid w:val="00CD2F19"/>
    <w:rsid w:val="00CD3221"/>
    <w:rsid w:val="00CD659D"/>
    <w:rsid w:val="00CD78CF"/>
    <w:rsid w:val="00CE10A8"/>
    <w:rsid w:val="00CE17B8"/>
    <w:rsid w:val="00CE1854"/>
    <w:rsid w:val="00CE2E27"/>
    <w:rsid w:val="00CE31C5"/>
    <w:rsid w:val="00CE46C2"/>
    <w:rsid w:val="00CE72AC"/>
    <w:rsid w:val="00CF2197"/>
    <w:rsid w:val="00CF396D"/>
    <w:rsid w:val="00D02106"/>
    <w:rsid w:val="00D03655"/>
    <w:rsid w:val="00D03F79"/>
    <w:rsid w:val="00D11A94"/>
    <w:rsid w:val="00D12092"/>
    <w:rsid w:val="00D12521"/>
    <w:rsid w:val="00D17650"/>
    <w:rsid w:val="00D26318"/>
    <w:rsid w:val="00D2662C"/>
    <w:rsid w:val="00D27C71"/>
    <w:rsid w:val="00D321BE"/>
    <w:rsid w:val="00D32723"/>
    <w:rsid w:val="00D367F1"/>
    <w:rsid w:val="00D37F09"/>
    <w:rsid w:val="00D4228C"/>
    <w:rsid w:val="00D44B42"/>
    <w:rsid w:val="00D4560A"/>
    <w:rsid w:val="00D47CA9"/>
    <w:rsid w:val="00D536BF"/>
    <w:rsid w:val="00D5590C"/>
    <w:rsid w:val="00D56A29"/>
    <w:rsid w:val="00D57375"/>
    <w:rsid w:val="00D57605"/>
    <w:rsid w:val="00D66A71"/>
    <w:rsid w:val="00D6763B"/>
    <w:rsid w:val="00D679B2"/>
    <w:rsid w:val="00D83636"/>
    <w:rsid w:val="00D85FA3"/>
    <w:rsid w:val="00D8790B"/>
    <w:rsid w:val="00D94BFF"/>
    <w:rsid w:val="00D959B5"/>
    <w:rsid w:val="00D97F13"/>
    <w:rsid w:val="00DA0868"/>
    <w:rsid w:val="00DA1B09"/>
    <w:rsid w:val="00DA7DA4"/>
    <w:rsid w:val="00DB20A0"/>
    <w:rsid w:val="00DB2733"/>
    <w:rsid w:val="00DB3EA6"/>
    <w:rsid w:val="00DB6CC2"/>
    <w:rsid w:val="00DC1AF8"/>
    <w:rsid w:val="00DC2B04"/>
    <w:rsid w:val="00DC2C01"/>
    <w:rsid w:val="00DC6AAA"/>
    <w:rsid w:val="00DC75B2"/>
    <w:rsid w:val="00DD4DA5"/>
    <w:rsid w:val="00DD7453"/>
    <w:rsid w:val="00DE42D5"/>
    <w:rsid w:val="00DE5604"/>
    <w:rsid w:val="00DE5FA5"/>
    <w:rsid w:val="00E00794"/>
    <w:rsid w:val="00E015A2"/>
    <w:rsid w:val="00E076E6"/>
    <w:rsid w:val="00E10169"/>
    <w:rsid w:val="00E10452"/>
    <w:rsid w:val="00E137EE"/>
    <w:rsid w:val="00E21024"/>
    <w:rsid w:val="00E22AEB"/>
    <w:rsid w:val="00E24BA6"/>
    <w:rsid w:val="00E30829"/>
    <w:rsid w:val="00E308D3"/>
    <w:rsid w:val="00E35A25"/>
    <w:rsid w:val="00E371FC"/>
    <w:rsid w:val="00E375A3"/>
    <w:rsid w:val="00E37DA9"/>
    <w:rsid w:val="00E41C0F"/>
    <w:rsid w:val="00E41F33"/>
    <w:rsid w:val="00E431CD"/>
    <w:rsid w:val="00E470CF"/>
    <w:rsid w:val="00E5487C"/>
    <w:rsid w:val="00E5729B"/>
    <w:rsid w:val="00E6707E"/>
    <w:rsid w:val="00E7028D"/>
    <w:rsid w:val="00E73D07"/>
    <w:rsid w:val="00E8079A"/>
    <w:rsid w:val="00E80BEB"/>
    <w:rsid w:val="00E81533"/>
    <w:rsid w:val="00E97112"/>
    <w:rsid w:val="00E97121"/>
    <w:rsid w:val="00E97813"/>
    <w:rsid w:val="00EA11B8"/>
    <w:rsid w:val="00EA14B0"/>
    <w:rsid w:val="00EA1C89"/>
    <w:rsid w:val="00EA2E35"/>
    <w:rsid w:val="00EA7D40"/>
    <w:rsid w:val="00EB0022"/>
    <w:rsid w:val="00EB081E"/>
    <w:rsid w:val="00EB087E"/>
    <w:rsid w:val="00EB16E4"/>
    <w:rsid w:val="00EB1E07"/>
    <w:rsid w:val="00EB254F"/>
    <w:rsid w:val="00EC2378"/>
    <w:rsid w:val="00EC393F"/>
    <w:rsid w:val="00EC693B"/>
    <w:rsid w:val="00ED3BF1"/>
    <w:rsid w:val="00ED50DD"/>
    <w:rsid w:val="00ED5DA5"/>
    <w:rsid w:val="00EF0C99"/>
    <w:rsid w:val="00F030AC"/>
    <w:rsid w:val="00F043A6"/>
    <w:rsid w:val="00F04673"/>
    <w:rsid w:val="00F17BE0"/>
    <w:rsid w:val="00F2043C"/>
    <w:rsid w:val="00F22086"/>
    <w:rsid w:val="00F22587"/>
    <w:rsid w:val="00F24623"/>
    <w:rsid w:val="00F24E2B"/>
    <w:rsid w:val="00F3037A"/>
    <w:rsid w:val="00F474D5"/>
    <w:rsid w:val="00F56705"/>
    <w:rsid w:val="00F6247F"/>
    <w:rsid w:val="00F651EC"/>
    <w:rsid w:val="00F6657D"/>
    <w:rsid w:val="00F665F6"/>
    <w:rsid w:val="00F67CF6"/>
    <w:rsid w:val="00F75E1D"/>
    <w:rsid w:val="00F766BF"/>
    <w:rsid w:val="00F95645"/>
    <w:rsid w:val="00F964F4"/>
    <w:rsid w:val="00F96E4F"/>
    <w:rsid w:val="00F97CF7"/>
    <w:rsid w:val="00F97F20"/>
    <w:rsid w:val="00FA02A9"/>
    <w:rsid w:val="00FB2C8C"/>
    <w:rsid w:val="00FB4617"/>
    <w:rsid w:val="00FB598E"/>
    <w:rsid w:val="00FD56F9"/>
    <w:rsid w:val="00FE50F6"/>
    <w:rsid w:val="00FE7DC3"/>
    <w:rsid w:val="00FE7E5D"/>
    <w:rsid w:val="00FF10DB"/>
    <w:rsid w:val="00FF1FB7"/>
    <w:rsid w:val="00FF299B"/>
    <w:rsid w:val="00FF717A"/>
    <w:rsid w:val="09C272B2"/>
    <w:rsid w:val="0A1D0E2A"/>
    <w:rsid w:val="1A0921F0"/>
    <w:rsid w:val="498774ED"/>
    <w:rsid w:val="4B607184"/>
    <w:rsid w:val="535E1403"/>
    <w:rsid w:val="682827B6"/>
    <w:rsid w:val="6EAA3F94"/>
    <w:rsid w:val="6FA96D16"/>
    <w:rsid w:val="775C4488"/>
    <w:rsid w:val="7FC610D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28"/>
      <w:lang w:val="en-US" w:eastAsia="zh-CN" w:bidi="ar-SA"/>
    </w:rPr>
  </w:style>
  <w:style w:type="paragraph" w:styleId="2">
    <w:name w:val="heading 1"/>
    <w:basedOn w:val="1"/>
    <w:next w:val="1"/>
    <w:uiPriority w:val="0"/>
    <w:pPr>
      <w:autoSpaceDE w:val="0"/>
      <w:autoSpaceDN w:val="0"/>
      <w:adjustRightInd w:val="0"/>
      <w:spacing w:before="240" w:line="315" w:lineRule="atLeast"/>
      <w:jc w:val="left"/>
      <w:outlineLvl w:val="0"/>
    </w:pPr>
    <w:rPr>
      <w:rFonts w:ascii="黑体" w:eastAsia="黑体"/>
      <w:kern w:val="0"/>
      <w:sz w:val="60"/>
    </w:rPr>
  </w:style>
  <w:style w:type="paragraph" w:styleId="3">
    <w:name w:val="heading 2"/>
    <w:basedOn w:val="1"/>
    <w:next w:val="1"/>
    <w:uiPriority w:val="0"/>
    <w:pPr>
      <w:keepNext/>
      <w:numPr>
        <w:ilvl w:val="0"/>
        <w:numId w:val="1"/>
      </w:numPr>
      <w:outlineLvl w:val="1"/>
    </w:pPr>
    <w:rPr>
      <w:b/>
      <w:bCs/>
    </w:rPr>
  </w:style>
  <w:style w:type="paragraph" w:styleId="4">
    <w:name w:val="heading 3"/>
    <w:basedOn w:val="1"/>
    <w:next w:val="1"/>
    <w:uiPriority w:val="0"/>
    <w:pPr>
      <w:keepNext/>
      <w:numPr>
        <w:ilvl w:val="1"/>
        <w:numId w:val="2"/>
      </w:numPr>
      <w:outlineLvl w:val="2"/>
    </w:pPr>
    <w:rPr>
      <w:b/>
      <w:bCs/>
    </w:rPr>
  </w:style>
  <w:style w:type="paragraph" w:styleId="5">
    <w:name w:val="heading 4"/>
    <w:basedOn w:val="1"/>
    <w:next w:val="1"/>
    <w:uiPriority w:val="0"/>
    <w:pPr>
      <w:keepNext/>
      <w:outlineLvl w:val="3"/>
    </w:pPr>
    <w:rPr>
      <w:rFonts w:ascii="宋体" w:hAnsi="宋体" w:eastAsia="宋体"/>
      <w:b/>
      <w:bCs/>
    </w:rPr>
  </w:style>
  <w:style w:type="character" w:default="1" w:styleId="23">
    <w:name w:val="Default Paragraph Font"/>
    <w:semiHidden/>
    <w:uiPriority w:val="0"/>
  </w:style>
  <w:style w:type="table" w:default="1" w:styleId="21">
    <w:name w:val="Normal Table"/>
    <w:semiHidden/>
    <w:uiPriority w:val="0"/>
    <w:tblPr>
      <w:tblCellMar>
        <w:top w:w="0" w:type="dxa"/>
        <w:left w:w="108" w:type="dxa"/>
        <w:bottom w:w="0" w:type="dxa"/>
        <w:right w:w="108" w:type="dxa"/>
      </w:tblCellMar>
    </w:tblPr>
  </w:style>
  <w:style w:type="paragraph" w:styleId="6">
    <w:name w:val="List 3"/>
    <w:basedOn w:val="1"/>
    <w:uiPriority w:val="0"/>
    <w:pPr>
      <w:autoSpaceDE w:val="0"/>
      <w:autoSpaceDN w:val="0"/>
      <w:adjustRightInd w:val="0"/>
      <w:spacing w:line="315" w:lineRule="atLeast"/>
      <w:ind w:left="100" w:leftChars="400" w:hanging="200" w:hangingChars="200"/>
      <w:jc w:val="left"/>
    </w:pPr>
    <w:rPr>
      <w:rFonts w:ascii="昆仑楷体" w:eastAsia="昆仑楷体"/>
      <w:kern w:val="0"/>
      <w:sz w:val="30"/>
    </w:rPr>
  </w:style>
  <w:style w:type="paragraph" w:styleId="7">
    <w:name w:val="Document Map"/>
    <w:basedOn w:val="1"/>
    <w:semiHidden/>
    <w:uiPriority w:val="0"/>
    <w:pPr>
      <w:shd w:val="clear" w:color="auto" w:fill="000080"/>
    </w:pPr>
  </w:style>
  <w:style w:type="paragraph" w:styleId="8">
    <w:name w:val="annotation text"/>
    <w:basedOn w:val="1"/>
    <w:semiHidden/>
    <w:uiPriority w:val="0"/>
    <w:pPr>
      <w:jc w:val="left"/>
    </w:pPr>
  </w:style>
  <w:style w:type="paragraph" w:styleId="9">
    <w:name w:val="Body Text 3"/>
    <w:basedOn w:val="1"/>
    <w:uiPriority w:val="0"/>
    <w:rPr>
      <w:rFonts w:eastAsia="楷体_GB2312"/>
      <w:sz w:val="24"/>
      <w:szCs w:val="27"/>
    </w:rPr>
  </w:style>
  <w:style w:type="paragraph" w:styleId="10">
    <w:name w:val="Body Text"/>
    <w:basedOn w:val="1"/>
    <w:uiPriority w:val="0"/>
    <w:pPr>
      <w:autoSpaceDE w:val="0"/>
      <w:autoSpaceDN w:val="0"/>
      <w:adjustRightInd w:val="0"/>
      <w:spacing w:after="120" w:line="315" w:lineRule="atLeast"/>
      <w:jc w:val="left"/>
    </w:pPr>
    <w:rPr>
      <w:rFonts w:ascii="昆仑楷体" w:eastAsia="昆仑楷体"/>
      <w:kern w:val="0"/>
      <w:sz w:val="30"/>
    </w:rPr>
  </w:style>
  <w:style w:type="paragraph" w:styleId="11">
    <w:name w:val="Body Text Indent"/>
    <w:basedOn w:val="1"/>
    <w:uiPriority w:val="0"/>
    <w:pPr>
      <w:autoSpaceDE w:val="0"/>
      <w:autoSpaceDN w:val="0"/>
      <w:adjustRightInd w:val="0"/>
      <w:spacing w:line="360" w:lineRule="atLeast"/>
      <w:ind w:firstLine="598" w:firstLineChars="187"/>
    </w:pPr>
    <w:rPr>
      <w:rFonts w:ascii="昆仑楷体" w:eastAsia="昆仑楷体"/>
      <w:kern w:val="0"/>
      <w:sz w:val="32"/>
    </w:rPr>
  </w:style>
  <w:style w:type="paragraph" w:styleId="12">
    <w:name w:val="List 2"/>
    <w:basedOn w:val="1"/>
    <w:uiPriority w:val="0"/>
    <w:pPr>
      <w:autoSpaceDE w:val="0"/>
      <w:autoSpaceDN w:val="0"/>
      <w:adjustRightInd w:val="0"/>
      <w:spacing w:line="315" w:lineRule="atLeast"/>
      <w:ind w:left="100" w:leftChars="200" w:hanging="200" w:hangingChars="200"/>
      <w:jc w:val="left"/>
    </w:pPr>
    <w:rPr>
      <w:rFonts w:ascii="昆仑楷体" w:eastAsia="昆仑楷体"/>
      <w:kern w:val="0"/>
      <w:sz w:val="30"/>
    </w:rPr>
  </w:style>
  <w:style w:type="paragraph" w:styleId="13">
    <w:name w:val="Body Text Indent 2"/>
    <w:basedOn w:val="1"/>
    <w:uiPriority w:val="0"/>
    <w:pPr>
      <w:topLinePunct/>
      <w:spacing w:line="500" w:lineRule="exact"/>
      <w:ind w:firstLine="664"/>
    </w:pPr>
    <w:rPr>
      <w:rFonts w:ascii="仿宋_GB2312" w:hAnsi="宋体"/>
      <w:sz w:val="24"/>
    </w:rPr>
  </w:style>
  <w:style w:type="paragraph" w:styleId="14">
    <w:name w:val="footer"/>
    <w:basedOn w:val="1"/>
    <w:uiPriority w:val="0"/>
    <w:pPr>
      <w:tabs>
        <w:tab w:val="center" w:pos="4153"/>
        <w:tab w:val="right" w:pos="8306"/>
      </w:tabs>
      <w:snapToGrid w:val="0"/>
      <w:jc w:val="left"/>
    </w:pPr>
    <w:rPr>
      <w:rFonts w:eastAsia="宋体"/>
      <w:sz w:val="18"/>
      <w:szCs w:val="18"/>
    </w:rPr>
  </w:style>
  <w:style w:type="paragraph" w:styleId="15">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16">
    <w:name w:val="List"/>
    <w:basedOn w:val="1"/>
    <w:uiPriority w:val="0"/>
    <w:pPr>
      <w:autoSpaceDE w:val="0"/>
      <w:autoSpaceDN w:val="0"/>
      <w:adjustRightInd w:val="0"/>
      <w:spacing w:line="315" w:lineRule="atLeast"/>
      <w:ind w:left="200" w:hanging="200" w:hangingChars="200"/>
      <w:jc w:val="left"/>
    </w:pPr>
    <w:rPr>
      <w:rFonts w:ascii="昆仑楷体" w:eastAsia="昆仑楷体"/>
      <w:kern w:val="0"/>
      <w:sz w:val="30"/>
    </w:rPr>
  </w:style>
  <w:style w:type="paragraph" w:styleId="17">
    <w:name w:val="Body Text Indent 3"/>
    <w:basedOn w:val="1"/>
    <w:uiPriority w:val="0"/>
    <w:pPr>
      <w:ind w:firstLine="777"/>
    </w:pPr>
    <w:rPr>
      <w:rFonts w:ascii="楷体_GB2312" w:hAnsi="Arial Narrow" w:eastAsia="楷体_GB2312"/>
    </w:rPr>
  </w:style>
  <w:style w:type="paragraph" w:styleId="18">
    <w:name w:val="Body Text 2"/>
    <w:basedOn w:val="1"/>
    <w:uiPriority w:val="0"/>
    <w:rPr>
      <w:rFonts w:ascii="Arial Narrow" w:hAnsi="Arial Narrow" w:eastAsia="楷体_GB2312"/>
      <w:sz w:val="21"/>
    </w:rPr>
  </w:style>
  <w:style w:type="paragraph" w:styleId="19">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eastAsia="宋体" w:cs="Arial"/>
      <w:kern w:val="0"/>
      <w:sz w:val="24"/>
      <w:szCs w:val="24"/>
    </w:rPr>
  </w:style>
  <w:style w:type="paragraph" w:styleId="20">
    <w:name w:val="Normal (Web)"/>
    <w:basedOn w:val="1"/>
    <w:uiPriority w:val="0"/>
    <w:pPr>
      <w:widowControl/>
      <w:spacing w:before="100" w:beforeAutospacing="1" w:after="100" w:afterAutospacing="1"/>
      <w:jc w:val="left"/>
    </w:pPr>
    <w:rPr>
      <w:rFonts w:ascii="宋体" w:hAnsi="宋体" w:eastAsia="宋体" w:cs="宋体"/>
      <w:color w:val="000000"/>
      <w:kern w:val="0"/>
      <w:sz w:val="24"/>
      <w:szCs w:val="24"/>
    </w:rPr>
  </w:style>
  <w:style w:type="table" w:styleId="22">
    <w:name w:val="Table Grid"/>
    <w:basedOn w:val="21"/>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Strong"/>
    <w:basedOn w:val="23"/>
    <w:uiPriority w:val="0"/>
    <w:rPr>
      <w:b/>
      <w:bCs/>
    </w:rPr>
  </w:style>
  <w:style w:type="character" w:styleId="25">
    <w:name w:val="page number"/>
    <w:basedOn w:val="23"/>
    <w:uiPriority w:val="0"/>
  </w:style>
  <w:style w:type="character" w:styleId="26">
    <w:name w:val="FollowedHyperlink"/>
    <w:basedOn w:val="23"/>
    <w:uiPriority w:val="0"/>
    <w:rPr>
      <w:color w:val="800080"/>
      <w:u w:val="single"/>
    </w:rPr>
  </w:style>
  <w:style w:type="character" w:styleId="27">
    <w:name w:val="Emphasis"/>
    <w:basedOn w:val="23"/>
    <w:uiPriority w:val="0"/>
    <w:rPr>
      <w:color w:val="CC0033"/>
    </w:rPr>
  </w:style>
  <w:style w:type="character" w:styleId="28">
    <w:name w:val="Hyperlink"/>
    <w:basedOn w:val="23"/>
    <w:uiPriority w:val="0"/>
    <w:rPr>
      <w:color w:val="0000FF"/>
      <w:u w:val="single"/>
    </w:rPr>
  </w:style>
  <w:style w:type="character" w:styleId="29">
    <w:name w:val="annotation reference"/>
    <w:basedOn w:val="23"/>
    <w:semiHidden/>
    <w:uiPriority w:val="0"/>
    <w:rPr>
      <w:sz w:val="21"/>
    </w:rPr>
  </w:style>
  <w:style w:type="character" w:customStyle="1" w:styleId="30">
    <w:name w:val="font141"/>
    <w:basedOn w:val="23"/>
    <w:uiPriority w:val="0"/>
  </w:style>
  <w:style w:type="character" w:customStyle="1" w:styleId="31">
    <w:name w:val="style31"/>
    <w:basedOn w:val="23"/>
    <w:uiPriority w:val="0"/>
    <w:rPr>
      <w:b/>
      <w:bCs/>
      <w:color w:val="A16601"/>
    </w:rPr>
  </w:style>
  <w:style w:type="character" w:customStyle="1" w:styleId="32">
    <w:name w:val="dct-tt"/>
    <w:basedOn w:val="23"/>
    <w:uiPriority w:val="0"/>
    <w:rPr>
      <w:rFonts w:hint="default" w:ascii="Arial" w:hAnsi="Arial" w:cs="Arial"/>
    </w:rPr>
  </w:style>
  <w:style w:type="character" w:customStyle="1" w:styleId="33">
    <w:name w:val="style36"/>
    <w:basedOn w:val="23"/>
    <w:uiPriority w:val="0"/>
  </w:style>
  <w:style w:type="character" w:customStyle="1" w:styleId="34">
    <w:name w:val="search_highlight2"/>
    <w:basedOn w:val="23"/>
    <w:uiPriority w:val="0"/>
    <w:rPr>
      <w:rFonts w:hint="default" w:ascii="Arial" w:hAnsi="Arial" w:cs="Arial"/>
      <w:shd w:val="clear" w:color="auto" w:fill="FFFFB0"/>
    </w:rPr>
  </w:style>
  <w:style w:type="character" w:customStyle="1" w:styleId="35">
    <w:name w:val="style4"/>
    <w:basedOn w:val="23"/>
    <w:uiPriority w:val="0"/>
  </w:style>
  <w:style w:type="character" w:customStyle="1" w:styleId="36">
    <w:name w:val="f141"/>
    <w:basedOn w:val="23"/>
    <w:uiPriority w:val="0"/>
    <w:rPr>
      <w:b/>
      <w:bCs/>
      <w:sz w:val="21"/>
      <w:szCs w:val="21"/>
    </w:rPr>
  </w:style>
  <w:style w:type="character" w:customStyle="1" w:styleId="37">
    <w:name w:val="hei12b"/>
    <w:basedOn w:val="23"/>
    <w:uiPriority w:val="0"/>
  </w:style>
  <w:style w:type="paragraph" w:customStyle="1" w:styleId="38">
    <w:name w:val="xl38"/>
    <w:basedOn w:val="1"/>
    <w:uiPriority w:val="0"/>
    <w:pPr>
      <w:widowControl/>
      <w:spacing w:before="100" w:beforeAutospacing="1" w:after="100" w:afterAutospacing="1"/>
      <w:jc w:val="left"/>
      <w:textAlignment w:val="top"/>
    </w:pPr>
    <w:rPr>
      <w:rFonts w:eastAsia="宋体"/>
      <w:color w:val="003366"/>
      <w:kern w:val="0"/>
      <w:sz w:val="20"/>
    </w:rPr>
  </w:style>
  <w:style w:type="paragraph" w:customStyle="1" w:styleId="39">
    <w:name w:val="xl60"/>
    <w:basedOn w:val="1"/>
    <w:uiPriority w:val="0"/>
    <w:pPr>
      <w:widowControl/>
      <w:pBdr>
        <w:top w:val="single" w:color="auto" w:sz="4" w:space="0"/>
        <w:bottom w:val="single" w:color="auto" w:sz="4" w:space="0"/>
      </w:pBdr>
      <w:spacing w:before="100" w:beforeAutospacing="1" w:after="100" w:afterAutospacing="1"/>
      <w:jc w:val="left"/>
      <w:textAlignment w:val="top"/>
    </w:pPr>
    <w:rPr>
      <w:rFonts w:eastAsia="宋体"/>
      <w:kern w:val="0"/>
      <w:sz w:val="18"/>
      <w:szCs w:val="18"/>
    </w:rPr>
  </w:style>
  <w:style w:type="paragraph" w:customStyle="1" w:styleId="40">
    <w:name w:val="xl49"/>
    <w:basedOn w:val="1"/>
    <w:uiPriority w:val="0"/>
    <w:pPr>
      <w:widowControl/>
      <w:spacing w:before="100" w:beforeAutospacing="1" w:after="100" w:afterAutospacing="1"/>
      <w:jc w:val="left"/>
      <w:textAlignment w:val="top"/>
    </w:pPr>
    <w:rPr>
      <w:rFonts w:eastAsia="宋体"/>
      <w:kern w:val="0"/>
      <w:sz w:val="18"/>
      <w:szCs w:val="18"/>
    </w:rPr>
  </w:style>
  <w:style w:type="paragraph" w:customStyle="1" w:styleId="41">
    <w:name w:val="xl55"/>
    <w:basedOn w:val="1"/>
    <w:uiPriority w:val="0"/>
    <w:pPr>
      <w:widowControl/>
      <w:pBdr>
        <w:top w:val="single" w:color="auto" w:sz="4" w:space="0"/>
      </w:pBdr>
      <w:spacing w:before="100" w:beforeAutospacing="1" w:after="100" w:afterAutospacing="1"/>
      <w:jc w:val="left"/>
      <w:textAlignment w:val="top"/>
    </w:pPr>
    <w:rPr>
      <w:rFonts w:ascii="宋体" w:hAnsi="宋体" w:eastAsia="宋体"/>
      <w:kern w:val="0"/>
      <w:sz w:val="24"/>
      <w:szCs w:val="24"/>
    </w:rPr>
  </w:style>
  <w:style w:type="paragraph" w:customStyle="1" w:styleId="42">
    <w:name w:val="xl50"/>
    <w:basedOn w:val="1"/>
    <w:uiPriority w:val="0"/>
    <w:pPr>
      <w:widowControl/>
      <w:spacing w:before="100" w:beforeAutospacing="1" w:after="100" w:afterAutospacing="1"/>
      <w:jc w:val="left"/>
      <w:textAlignment w:val="top"/>
    </w:pPr>
    <w:rPr>
      <w:rFonts w:eastAsia="宋体"/>
      <w:kern w:val="0"/>
      <w:sz w:val="18"/>
      <w:szCs w:val="18"/>
    </w:rPr>
  </w:style>
  <w:style w:type="paragraph" w:customStyle="1" w:styleId="43">
    <w:name w:val="xl2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Courier New" w:hAnsi="Courier New" w:eastAsia="宋体" w:cs="Courier New"/>
      <w:kern w:val="0"/>
      <w:sz w:val="24"/>
      <w:szCs w:val="24"/>
    </w:rPr>
  </w:style>
  <w:style w:type="paragraph" w:customStyle="1" w:styleId="44">
    <w:name w:val=" Char Char Char Char Char Char"/>
    <w:basedOn w:val="1"/>
    <w:uiPriority w:val="0"/>
    <w:pPr>
      <w:widowControl/>
      <w:spacing w:line="400" w:lineRule="exact"/>
      <w:jc w:val="center"/>
    </w:pPr>
    <w:rPr>
      <w:rFonts w:ascii="Verdana" w:hAnsi="Verdana" w:eastAsia="宋体"/>
      <w:kern w:val="0"/>
      <w:sz w:val="21"/>
      <w:lang w:eastAsia="en-US"/>
    </w:rPr>
  </w:style>
  <w:style w:type="paragraph" w:customStyle="1" w:styleId="45">
    <w:name w:val="xl2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Courier New" w:hAnsi="Courier New" w:eastAsia="宋体" w:cs="Courier New"/>
      <w:kern w:val="0"/>
      <w:sz w:val="24"/>
      <w:szCs w:val="24"/>
    </w:rPr>
  </w:style>
  <w:style w:type="paragraph" w:customStyle="1" w:styleId="46">
    <w:name w:val="xl45"/>
    <w:basedOn w:val="1"/>
    <w:uiPriority w:val="0"/>
    <w:pPr>
      <w:widowControl/>
      <w:spacing w:before="100" w:beforeAutospacing="1" w:after="100" w:afterAutospacing="1"/>
      <w:jc w:val="left"/>
      <w:textAlignment w:val="top"/>
    </w:pPr>
    <w:rPr>
      <w:rFonts w:eastAsia="宋体"/>
      <w:kern w:val="0"/>
      <w:sz w:val="20"/>
    </w:rPr>
  </w:style>
  <w:style w:type="paragraph" w:customStyle="1" w:styleId="47">
    <w:name w:val="xl36"/>
    <w:basedOn w:val="1"/>
    <w:uiPriority w:val="0"/>
    <w:pPr>
      <w:widowControl/>
      <w:spacing w:before="100" w:beforeAutospacing="1" w:after="100" w:afterAutospacing="1"/>
      <w:jc w:val="left"/>
    </w:pPr>
    <w:rPr>
      <w:rFonts w:eastAsia="宋体"/>
      <w:kern w:val="0"/>
      <w:sz w:val="18"/>
      <w:szCs w:val="18"/>
    </w:rPr>
  </w:style>
  <w:style w:type="paragraph" w:customStyle="1" w:styleId="48">
    <w:name w:val="xl46"/>
    <w:basedOn w:val="1"/>
    <w:uiPriority w:val="0"/>
    <w:pPr>
      <w:widowControl/>
      <w:pBdr>
        <w:bottom w:val="single" w:color="auto" w:sz="4" w:space="0"/>
      </w:pBdr>
      <w:spacing w:before="100" w:beforeAutospacing="1" w:after="100" w:afterAutospacing="1"/>
      <w:jc w:val="left"/>
      <w:textAlignment w:val="top"/>
    </w:pPr>
    <w:rPr>
      <w:rFonts w:eastAsia="宋体"/>
      <w:kern w:val="0"/>
      <w:sz w:val="20"/>
    </w:rPr>
  </w:style>
  <w:style w:type="paragraph" w:customStyle="1" w:styleId="49">
    <w:name w:val="xl63"/>
    <w:basedOn w:val="1"/>
    <w:uiPriority w:val="0"/>
    <w:pPr>
      <w:widowControl/>
      <w:pBdr>
        <w:top w:val="single" w:color="auto" w:sz="4" w:space="0"/>
        <w:bottom w:val="single" w:color="auto" w:sz="4" w:space="0"/>
      </w:pBdr>
      <w:spacing w:before="100" w:beforeAutospacing="1" w:after="100" w:afterAutospacing="1"/>
      <w:jc w:val="left"/>
    </w:pPr>
    <w:rPr>
      <w:rFonts w:ascii="宋体" w:hAnsi="宋体" w:eastAsia="宋体"/>
      <w:kern w:val="0"/>
      <w:sz w:val="24"/>
      <w:szCs w:val="24"/>
    </w:rPr>
  </w:style>
  <w:style w:type="paragraph" w:customStyle="1" w:styleId="50">
    <w:name w:val="xl67"/>
    <w:basedOn w:val="1"/>
    <w:uiPriority w:val="0"/>
    <w:pPr>
      <w:widowControl/>
      <w:pBdr>
        <w:top w:val="single" w:color="auto" w:sz="4" w:space="0"/>
        <w:bottom w:val="single" w:color="auto" w:sz="4" w:space="0"/>
      </w:pBdr>
      <w:spacing w:before="100" w:beforeAutospacing="1" w:after="100" w:afterAutospacing="1"/>
      <w:jc w:val="left"/>
    </w:pPr>
    <w:rPr>
      <w:rFonts w:ascii="宋体" w:hAnsi="宋体" w:eastAsia="宋体"/>
      <w:b/>
      <w:bCs/>
      <w:kern w:val="0"/>
      <w:sz w:val="24"/>
      <w:szCs w:val="24"/>
    </w:rPr>
  </w:style>
  <w:style w:type="paragraph" w:customStyle="1" w:styleId="51">
    <w:name w:val="xl42"/>
    <w:basedOn w:val="1"/>
    <w:uiPriority w:val="0"/>
    <w:pPr>
      <w:widowControl/>
      <w:spacing w:before="100" w:beforeAutospacing="1" w:after="100" w:afterAutospacing="1"/>
      <w:jc w:val="left"/>
      <w:textAlignment w:val="top"/>
    </w:pPr>
    <w:rPr>
      <w:rFonts w:eastAsia="宋体"/>
      <w:kern w:val="0"/>
      <w:sz w:val="20"/>
    </w:rPr>
  </w:style>
  <w:style w:type="paragraph" w:customStyle="1" w:styleId="52">
    <w:name w:val="xl47"/>
    <w:basedOn w:val="1"/>
    <w:uiPriority w:val="0"/>
    <w:pPr>
      <w:widowControl/>
      <w:pBdr>
        <w:bottom w:val="single" w:color="auto" w:sz="4" w:space="0"/>
      </w:pBdr>
      <w:spacing w:before="100" w:beforeAutospacing="1" w:after="100" w:afterAutospacing="1"/>
      <w:jc w:val="center"/>
      <w:textAlignment w:val="top"/>
    </w:pPr>
    <w:rPr>
      <w:rFonts w:eastAsia="宋体"/>
      <w:kern w:val="0"/>
      <w:sz w:val="18"/>
      <w:szCs w:val="18"/>
    </w:rPr>
  </w:style>
  <w:style w:type="paragraph" w:customStyle="1" w:styleId="53">
    <w:name w:val="xl58"/>
    <w:basedOn w:val="1"/>
    <w:uiPriority w:val="0"/>
    <w:pPr>
      <w:widowControl/>
      <w:pBdr>
        <w:top w:val="single" w:color="auto" w:sz="4" w:space="0"/>
      </w:pBdr>
      <w:spacing w:before="100" w:beforeAutospacing="1" w:after="100" w:afterAutospacing="1"/>
      <w:jc w:val="center"/>
      <w:textAlignment w:val="top"/>
    </w:pPr>
    <w:rPr>
      <w:rFonts w:eastAsia="宋体"/>
      <w:kern w:val="0"/>
      <w:sz w:val="18"/>
      <w:szCs w:val="18"/>
    </w:rPr>
  </w:style>
  <w:style w:type="paragraph" w:customStyle="1" w:styleId="54">
    <w:name w:val="xl62"/>
    <w:basedOn w:val="1"/>
    <w:uiPriority w:val="0"/>
    <w:pPr>
      <w:widowControl/>
      <w:pBdr>
        <w:top w:val="single" w:color="auto" w:sz="4" w:space="0"/>
        <w:bottom w:val="single" w:color="auto" w:sz="4" w:space="0"/>
      </w:pBdr>
      <w:spacing w:before="100" w:beforeAutospacing="1" w:after="100" w:afterAutospacing="1"/>
      <w:jc w:val="center"/>
      <w:textAlignment w:val="top"/>
    </w:pPr>
    <w:rPr>
      <w:rFonts w:eastAsia="宋体"/>
      <w:kern w:val="0"/>
      <w:sz w:val="18"/>
      <w:szCs w:val="18"/>
    </w:rPr>
  </w:style>
  <w:style w:type="paragraph" w:customStyle="1" w:styleId="55">
    <w:name w:val="xl39"/>
    <w:basedOn w:val="1"/>
    <w:uiPriority w:val="0"/>
    <w:pPr>
      <w:widowControl/>
      <w:spacing w:before="100" w:beforeAutospacing="1" w:after="100" w:afterAutospacing="1"/>
      <w:jc w:val="left"/>
      <w:textAlignment w:val="top"/>
    </w:pPr>
    <w:rPr>
      <w:rFonts w:eastAsia="宋体"/>
      <w:kern w:val="0"/>
      <w:sz w:val="20"/>
    </w:rPr>
  </w:style>
  <w:style w:type="paragraph" w:customStyle="1" w:styleId="56">
    <w:name w:val="xl43"/>
    <w:basedOn w:val="1"/>
    <w:uiPriority w:val="0"/>
    <w:pPr>
      <w:widowControl/>
      <w:spacing w:before="100" w:beforeAutospacing="1" w:after="100" w:afterAutospacing="1"/>
      <w:jc w:val="left"/>
      <w:textAlignment w:val="top"/>
    </w:pPr>
    <w:rPr>
      <w:rFonts w:eastAsia="宋体"/>
      <w:kern w:val="0"/>
      <w:sz w:val="20"/>
    </w:rPr>
  </w:style>
  <w:style w:type="paragraph" w:customStyle="1" w:styleId="57">
    <w:name w:val="xl65"/>
    <w:basedOn w:val="1"/>
    <w:uiPriority w:val="0"/>
    <w:pPr>
      <w:widowControl/>
      <w:pBdr>
        <w:bottom w:val="single" w:color="auto" w:sz="4" w:space="0"/>
      </w:pBdr>
      <w:spacing w:before="100" w:beforeAutospacing="1" w:after="100" w:afterAutospacing="1"/>
      <w:jc w:val="left"/>
      <w:textAlignment w:val="top"/>
    </w:pPr>
    <w:rPr>
      <w:rFonts w:eastAsia="宋体"/>
      <w:kern w:val="0"/>
      <w:sz w:val="18"/>
      <w:szCs w:val="18"/>
    </w:rPr>
  </w:style>
  <w:style w:type="paragraph" w:customStyle="1" w:styleId="58">
    <w:name w:val="font8"/>
    <w:basedOn w:val="1"/>
    <w:uiPriority w:val="0"/>
    <w:pPr>
      <w:widowControl/>
      <w:spacing w:before="100" w:beforeAutospacing="1" w:after="100" w:afterAutospacing="1"/>
      <w:jc w:val="left"/>
    </w:pPr>
    <w:rPr>
      <w:rFonts w:ascii="Courier New" w:hAnsi="Courier New" w:eastAsia="宋体" w:cs="Courier New"/>
      <w:kern w:val="0"/>
      <w:sz w:val="24"/>
      <w:szCs w:val="24"/>
    </w:rPr>
  </w:style>
  <w:style w:type="paragraph" w:customStyle="1" w:styleId="59">
    <w:name w:val="xl40"/>
    <w:basedOn w:val="1"/>
    <w:uiPriority w:val="0"/>
    <w:pPr>
      <w:widowControl/>
      <w:spacing w:before="100" w:beforeAutospacing="1" w:after="100" w:afterAutospacing="1"/>
      <w:jc w:val="center"/>
      <w:textAlignment w:val="top"/>
    </w:pPr>
    <w:rPr>
      <w:rFonts w:eastAsia="宋体"/>
      <w:kern w:val="0"/>
      <w:sz w:val="18"/>
      <w:szCs w:val="18"/>
    </w:rPr>
  </w:style>
  <w:style w:type="paragraph" w:customStyle="1" w:styleId="60">
    <w:name w:val=" Char Char Char Char"/>
    <w:basedOn w:val="1"/>
    <w:uiPriority w:val="0"/>
    <w:rPr>
      <w:rFonts w:eastAsia="宋体"/>
      <w:sz w:val="21"/>
    </w:rPr>
  </w:style>
  <w:style w:type="paragraph" w:customStyle="1" w:styleId="61">
    <w:name w:val="xl61"/>
    <w:basedOn w:val="1"/>
    <w:uiPriority w:val="0"/>
    <w:pPr>
      <w:widowControl/>
      <w:pBdr>
        <w:top w:val="single" w:color="auto" w:sz="4" w:space="0"/>
        <w:bottom w:val="single" w:color="auto" w:sz="4" w:space="0"/>
      </w:pBdr>
      <w:spacing w:before="100" w:beforeAutospacing="1" w:after="100" w:afterAutospacing="1"/>
      <w:jc w:val="left"/>
      <w:textAlignment w:val="top"/>
    </w:pPr>
    <w:rPr>
      <w:rFonts w:eastAsia="宋体"/>
      <w:kern w:val="0"/>
      <w:sz w:val="18"/>
      <w:szCs w:val="18"/>
    </w:rPr>
  </w:style>
  <w:style w:type="paragraph" w:customStyle="1" w:styleId="62">
    <w:name w:val="font6"/>
    <w:basedOn w:val="1"/>
    <w:uiPriority w:val="0"/>
    <w:pPr>
      <w:widowControl/>
      <w:spacing w:before="100" w:beforeAutospacing="1" w:after="100" w:afterAutospacing="1"/>
      <w:jc w:val="left"/>
    </w:pPr>
    <w:rPr>
      <w:rFonts w:eastAsia="宋体"/>
      <w:kern w:val="0"/>
      <w:sz w:val="24"/>
      <w:szCs w:val="24"/>
    </w:rPr>
  </w:style>
  <w:style w:type="paragraph" w:customStyle="1" w:styleId="63">
    <w:name w:val="xl31"/>
    <w:basedOn w:val="1"/>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kern w:val="0"/>
      <w:sz w:val="24"/>
      <w:szCs w:val="24"/>
    </w:rPr>
  </w:style>
  <w:style w:type="paragraph" w:customStyle="1" w:styleId="64">
    <w:name w:val="xl34"/>
    <w:basedOn w:val="1"/>
    <w:uiPriority w:val="0"/>
    <w:pPr>
      <w:widowControl/>
      <w:pBdr>
        <w:bottom w:val="single" w:color="auto" w:sz="4" w:space="0"/>
      </w:pBdr>
      <w:spacing w:before="100" w:beforeAutospacing="1" w:after="100" w:afterAutospacing="1"/>
      <w:jc w:val="left"/>
    </w:pPr>
    <w:rPr>
      <w:rFonts w:eastAsia="宋体"/>
      <w:b/>
      <w:bCs/>
      <w:kern w:val="0"/>
      <w:sz w:val="24"/>
      <w:szCs w:val="24"/>
    </w:rPr>
  </w:style>
  <w:style w:type="paragraph" w:customStyle="1" w:styleId="65">
    <w:name w:val=" Char Char Char Char Char"/>
    <w:basedOn w:val="1"/>
    <w:uiPriority w:val="0"/>
    <w:pPr>
      <w:widowControl/>
      <w:spacing w:line="400" w:lineRule="exact"/>
      <w:jc w:val="center"/>
    </w:pPr>
    <w:rPr>
      <w:rFonts w:ascii="Verdana" w:hAnsi="Verdana" w:eastAsia="宋体"/>
      <w:kern w:val="0"/>
      <w:sz w:val="21"/>
      <w:lang w:eastAsia="en-US"/>
    </w:rPr>
  </w:style>
  <w:style w:type="paragraph" w:customStyle="1" w:styleId="66">
    <w:name w:val="xl69"/>
    <w:basedOn w:val="1"/>
    <w:uiPriority w:val="0"/>
    <w:pPr>
      <w:widowControl/>
      <w:pBdr>
        <w:top w:val="single" w:color="auto" w:sz="4" w:space="0"/>
        <w:bottom w:val="single" w:color="auto" w:sz="4" w:space="0"/>
      </w:pBdr>
      <w:spacing w:before="100" w:beforeAutospacing="1" w:after="100" w:afterAutospacing="1"/>
      <w:jc w:val="left"/>
    </w:pPr>
    <w:rPr>
      <w:rFonts w:ascii="宋体" w:hAnsi="宋体" w:eastAsia="宋体"/>
      <w:b/>
      <w:bCs/>
      <w:kern w:val="0"/>
      <w:sz w:val="24"/>
      <w:szCs w:val="24"/>
    </w:rPr>
  </w:style>
  <w:style w:type="paragraph" w:customStyle="1" w:styleId="67">
    <w:name w:val="xl53"/>
    <w:basedOn w:val="1"/>
    <w:uiPriority w:val="0"/>
    <w:pPr>
      <w:widowControl/>
      <w:pBdr>
        <w:bottom w:val="single" w:color="auto" w:sz="4" w:space="0"/>
      </w:pBdr>
      <w:spacing w:before="100" w:beforeAutospacing="1" w:after="100" w:afterAutospacing="1"/>
      <w:jc w:val="left"/>
      <w:textAlignment w:val="top"/>
    </w:pPr>
    <w:rPr>
      <w:rFonts w:eastAsia="宋体"/>
      <w:kern w:val="0"/>
      <w:sz w:val="18"/>
      <w:szCs w:val="18"/>
    </w:rPr>
  </w:style>
  <w:style w:type="paragraph" w:customStyle="1" w:styleId="68">
    <w:name w:val="font9"/>
    <w:basedOn w:val="1"/>
    <w:uiPriority w:val="0"/>
    <w:pPr>
      <w:widowControl/>
      <w:spacing w:before="100" w:beforeAutospacing="1" w:after="100" w:afterAutospacing="1"/>
      <w:jc w:val="left"/>
    </w:pPr>
    <w:rPr>
      <w:rFonts w:eastAsia="宋体"/>
      <w:color w:val="FF0000"/>
      <w:kern w:val="0"/>
      <w:sz w:val="20"/>
    </w:rPr>
  </w:style>
  <w:style w:type="paragraph" w:customStyle="1" w:styleId="69">
    <w:name w:val="xl37"/>
    <w:basedOn w:val="1"/>
    <w:uiPriority w:val="0"/>
    <w:pPr>
      <w:widowControl/>
      <w:spacing w:before="100" w:beforeAutospacing="1" w:after="100" w:afterAutospacing="1"/>
      <w:jc w:val="left"/>
    </w:pPr>
    <w:rPr>
      <w:rFonts w:eastAsia="宋体"/>
      <w:kern w:val="0"/>
      <w:sz w:val="18"/>
      <w:szCs w:val="18"/>
    </w:rPr>
  </w:style>
  <w:style w:type="paragraph" w:customStyle="1" w:styleId="70">
    <w:name w:val="xl66"/>
    <w:basedOn w:val="1"/>
    <w:uiPriority w:val="0"/>
    <w:pPr>
      <w:widowControl/>
      <w:pBdr>
        <w:top w:val="single" w:color="auto" w:sz="4" w:space="0"/>
        <w:bottom w:val="single" w:color="auto" w:sz="4" w:space="0"/>
      </w:pBdr>
      <w:spacing w:before="100" w:beforeAutospacing="1" w:after="100" w:afterAutospacing="1"/>
      <w:jc w:val="left"/>
    </w:pPr>
    <w:rPr>
      <w:rFonts w:eastAsia="宋体"/>
      <w:b/>
      <w:bCs/>
      <w:kern w:val="0"/>
      <w:sz w:val="24"/>
      <w:szCs w:val="24"/>
    </w:rPr>
  </w:style>
  <w:style w:type="paragraph" w:customStyle="1" w:styleId="71">
    <w:name w:val="font10"/>
    <w:basedOn w:val="1"/>
    <w:uiPriority w:val="0"/>
    <w:pPr>
      <w:widowControl/>
      <w:spacing w:before="100" w:beforeAutospacing="1" w:after="100" w:afterAutospacing="1"/>
      <w:jc w:val="left"/>
    </w:pPr>
    <w:rPr>
      <w:rFonts w:hint="eastAsia" w:ascii="宋体" w:hAnsi="宋体" w:eastAsia="宋体"/>
      <w:kern w:val="0"/>
      <w:sz w:val="20"/>
    </w:rPr>
  </w:style>
  <w:style w:type="paragraph" w:customStyle="1" w:styleId="72">
    <w:name w:val="列出段落1"/>
    <w:basedOn w:val="1"/>
    <w:uiPriority w:val="0"/>
    <w:pPr>
      <w:suppressAutoHyphens/>
      <w:ind w:left="720"/>
      <w:jc w:val="left"/>
    </w:pPr>
    <w:rPr>
      <w:rFonts w:eastAsia="Times New Roman"/>
      <w:kern w:val="0"/>
      <w:sz w:val="24"/>
      <w:szCs w:val="24"/>
      <w:lang w:eastAsia="ar-SA"/>
    </w:rPr>
  </w:style>
  <w:style w:type="paragraph" w:customStyle="1" w:styleId="73">
    <w:name w:val="xl44"/>
    <w:basedOn w:val="1"/>
    <w:uiPriority w:val="0"/>
    <w:pPr>
      <w:widowControl/>
      <w:spacing w:before="100" w:beforeAutospacing="1" w:after="100" w:afterAutospacing="1"/>
      <w:jc w:val="left"/>
      <w:textAlignment w:val="top"/>
    </w:pPr>
    <w:rPr>
      <w:rFonts w:eastAsia="宋体"/>
      <w:color w:val="0000FF"/>
      <w:kern w:val="0"/>
      <w:sz w:val="20"/>
    </w:rPr>
  </w:style>
  <w:style w:type="paragraph" w:customStyle="1" w:styleId="74">
    <w:name w:val="xl30"/>
    <w:basedOn w:val="1"/>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kern w:val="0"/>
      <w:sz w:val="24"/>
      <w:szCs w:val="24"/>
    </w:rPr>
  </w:style>
  <w:style w:type="paragraph" w:customStyle="1" w:styleId="75">
    <w:name w:val="xl64"/>
    <w:basedOn w:val="1"/>
    <w:uiPriority w:val="0"/>
    <w:pPr>
      <w:widowControl/>
      <w:spacing w:before="100" w:beforeAutospacing="1" w:after="100" w:afterAutospacing="1"/>
      <w:jc w:val="left"/>
      <w:textAlignment w:val="top"/>
    </w:pPr>
    <w:rPr>
      <w:rFonts w:eastAsia="宋体"/>
      <w:kern w:val="0"/>
      <w:sz w:val="18"/>
      <w:szCs w:val="18"/>
    </w:rPr>
  </w:style>
  <w:style w:type="paragraph" w:customStyle="1" w:styleId="76">
    <w:name w:val="xl52"/>
    <w:basedOn w:val="1"/>
    <w:uiPriority w:val="0"/>
    <w:pPr>
      <w:widowControl/>
      <w:pBdr>
        <w:bottom w:val="single" w:color="auto" w:sz="4" w:space="0"/>
      </w:pBdr>
      <w:spacing w:before="100" w:beforeAutospacing="1" w:after="100" w:afterAutospacing="1"/>
      <w:jc w:val="left"/>
      <w:textAlignment w:val="top"/>
    </w:pPr>
    <w:rPr>
      <w:rFonts w:eastAsia="宋体"/>
      <w:color w:val="003366"/>
      <w:kern w:val="0"/>
      <w:sz w:val="18"/>
      <w:szCs w:val="18"/>
    </w:rPr>
  </w:style>
  <w:style w:type="paragraph" w:customStyle="1" w:styleId="77">
    <w:name w:val="Standard"/>
    <w:uiPriority w:val="0"/>
    <w:pPr>
      <w:widowControl w:val="0"/>
      <w:suppressAutoHyphens/>
      <w:autoSpaceDN w:val="0"/>
      <w:textAlignment w:val="baseline"/>
    </w:pPr>
    <w:rPr>
      <w:rFonts w:ascii="Times New Roman" w:hAnsi="Times New Roman" w:eastAsia="Times New Roman" w:cs="Mangal"/>
      <w:kern w:val="3"/>
      <w:sz w:val="24"/>
      <w:szCs w:val="24"/>
      <w:lang w:val="en-US" w:eastAsia="zh-CN" w:bidi="ar-SA"/>
    </w:rPr>
  </w:style>
  <w:style w:type="paragraph" w:customStyle="1" w:styleId="78">
    <w:name w:val="font7"/>
    <w:basedOn w:val="1"/>
    <w:uiPriority w:val="0"/>
    <w:pPr>
      <w:widowControl/>
      <w:spacing w:before="100" w:beforeAutospacing="1" w:after="100" w:afterAutospacing="1"/>
      <w:jc w:val="left"/>
    </w:pPr>
    <w:rPr>
      <w:rFonts w:hint="eastAsia" w:ascii="宋体" w:hAnsi="宋体" w:eastAsia="宋体"/>
      <w:kern w:val="0"/>
      <w:sz w:val="18"/>
      <w:szCs w:val="18"/>
    </w:rPr>
  </w:style>
  <w:style w:type="paragraph" w:customStyle="1" w:styleId="79">
    <w:name w:val="xl56"/>
    <w:basedOn w:val="1"/>
    <w:uiPriority w:val="0"/>
    <w:pPr>
      <w:widowControl/>
      <w:pBdr>
        <w:top w:val="single" w:color="auto" w:sz="4" w:space="0"/>
      </w:pBdr>
      <w:spacing w:before="100" w:beforeAutospacing="1" w:after="100" w:afterAutospacing="1"/>
      <w:jc w:val="left"/>
      <w:textAlignment w:val="top"/>
    </w:pPr>
    <w:rPr>
      <w:rFonts w:eastAsia="宋体"/>
      <w:kern w:val="0"/>
      <w:sz w:val="18"/>
      <w:szCs w:val="18"/>
    </w:rPr>
  </w:style>
  <w:style w:type="paragraph" w:customStyle="1" w:styleId="80">
    <w:name w:val="UP标题3"/>
    <w:basedOn w:val="1"/>
    <w:uiPriority w:val="0"/>
    <w:pPr>
      <w:spacing w:line="360" w:lineRule="auto"/>
      <w:ind w:firstLine="149" w:firstLineChars="149"/>
    </w:pPr>
    <w:rPr>
      <w:rFonts w:ascii="黑体" w:hAnsi="Calibri" w:eastAsia="黑体" w:cs="宋体"/>
      <w:szCs w:val="28"/>
    </w:rPr>
  </w:style>
  <w:style w:type="paragraph" w:customStyle="1" w:styleId="81">
    <w:name w:val="xl54"/>
    <w:basedOn w:val="1"/>
    <w:uiPriority w:val="0"/>
    <w:pPr>
      <w:widowControl/>
      <w:pBdr>
        <w:bottom w:val="single" w:color="auto" w:sz="4" w:space="0"/>
      </w:pBdr>
      <w:spacing w:before="100" w:beforeAutospacing="1" w:after="100" w:afterAutospacing="1"/>
      <w:jc w:val="left"/>
      <w:textAlignment w:val="top"/>
    </w:pPr>
    <w:rPr>
      <w:rFonts w:eastAsia="宋体"/>
      <w:kern w:val="0"/>
      <w:sz w:val="18"/>
      <w:szCs w:val="18"/>
    </w:rPr>
  </w:style>
  <w:style w:type="paragraph" w:customStyle="1" w:styleId="82">
    <w:name w:val="xl51"/>
    <w:basedOn w:val="1"/>
    <w:uiPriority w:val="0"/>
    <w:pPr>
      <w:widowControl/>
      <w:pBdr>
        <w:bottom w:val="single" w:color="auto" w:sz="4" w:space="0"/>
      </w:pBdr>
      <w:spacing w:before="100" w:beforeAutospacing="1" w:after="100" w:afterAutospacing="1"/>
      <w:jc w:val="left"/>
      <w:textAlignment w:val="top"/>
    </w:pPr>
    <w:rPr>
      <w:rFonts w:ascii="宋体" w:hAnsi="宋体" w:eastAsia="宋体"/>
      <w:kern w:val="0"/>
      <w:sz w:val="24"/>
      <w:szCs w:val="24"/>
    </w:rPr>
  </w:style>
  <w:style w:type="paragraph" w:customStyle="1" w:styleId="83">
    <w:name w:val="xl48"/>
    <w:basedOn w:val="1"/>
    <w:uiPriority w:val="0"/>
    <w:pPr>
      <w:widowControl/>
      <w:spacing w:before="100" w:beforeAutospacing="1" w:after="100" w:afterAutospacing="1"/>
      <w:jc w:val="left"/>
      <w:textAlignment w:val="top"/>
    </w:pPr>
    <w:rPr>
      <w:rFonts w:ascii="宋体" w:hAnsi="宋体" w:eastAsia="宋体"/>
      <w:kern w:val="0"/>
      <w:sz w:val="24"/>
      <w:szCs w:val="24"/>
    </w:rPr>
  </w:style>
  <w:style w:type="paragraph" w:customStyle="1" w:styleId="84">
    <w:name w:val="xl28"/>
    <w:basedOn w:val="1"/>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kern w:val="0"/>
      <w:sz w:val="24"/>
      <w:szCs w:val="24"/>
    </w:rPr>
  </w:style>
  <w:style w:type="paragraph" w:customStyle="1" w:styleId="85">
    <w:name w:val="xl68"/>
    <w:basedOn w:val="1"/>
    <w:uiPriority w:val="0"/>
    <w:pPr>
      <w:widowControl/>
      <w:pBdr>
        <w:top w:val="single" w:color="auto" w:sz="4" w:space="0"/>
        <w:bottom w:val="single" w:color="auto" w:sz="4" w:space="0"/>
      </w:pBdr>
      <w:spacing w:before="100" w:beforeAutospacing="1" w:after="100" w:afterAutospacing="1"/>
      <w:jc w:val="left"/>
    </w:pPr>
    <w:rPr>
      <w:rFonts w:eastAsia="宋体"/>
      <w:b/>
      <w:bCs/>
      <w:kern w:val="0"/>
      <w:sz w:val="24"/>
      <w:szCs w:val="24"/>
    </w:rPr>
  </w:style>
  <w:style w:type="paragraph" w:customStyle="1" w:styleId="86">
    <w:name w:val="List Paragraph"/>
    <w:basedOn w:val="1"/>
    <w:uiPriority w:val="0"/>
    <w:pPr>
      <w:ind w:firstLine="420" w:firstLineChars="200"/>
    </w:pPr>
    <w:rPr>
      <w:rFonts w:eastAsia="Times New Roman"/>
      <w:sz w:val="21"/>
      <w:szCs w:val="24"/>
    </w:rPr>
  </w:style>
  <w:style w:type="paragraph" w:customStyle="1" w:styleId="87">
    <w:name w:val="font5"/>
    <w:basedOn w:val="1"/>
    <w:uiPriority w:val="0"/>
    <w:pPr>
      <w:widowControl/>
      <w:spacing w:before="100" w:beforeAutospacing="1" w:after="100" w:afterAutospacing="1"/>
      <w:jc w:val="left"/>
    </w:pPr>
    <w:rPr>
      <w:rFonts w:hint="eastAsia" w:ascii="宋体" w:hAnsi="宋体" w:eastAsia="宋体"/>
      <w:kern w:val="0"/>
      <w:sz w:val="24"/>
      <w:szCs w:val="24"/>
    </w:rPr>
  </w:style>
  <w:style w:type="paragraph" w:customStyle="1" w:styleId="88">
    <w:name w:val="xl41"/>
    <w:basedOn w:val="1"/>
    <w:uiPriority w:val="0"/>
    <w:pPr>
      <w:widowControl/>
      <w:spacing w:before="100" w:beforeAutospacing="1" w:after="100" w:afterAutospacing="1"/>
      <w:jc w:val="left"/>
      <w:textAlignment w:val="top"/>
    </w:pPr>
    <w:rPr>
      <w:rFonts w:eastAsia="宋体"/>
      <w:kern w:val="0"/>
      <w:sz w:val="20"/>
    </w:rPr>
  </w:style>
  <w:style w:type="paragraph" w:customStyle="1" w:styleId="89">
    <w:name w:val="xl35"/>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eastAsia="宋体"/>
      <w:b/>
      <w:bCs/>
      <w:kern w:val="0"/>
      <w:sz w:val="24"/>
      <w:szCs w:val="24"/>
    </w:rPr>
  </w:style>
  <w:style w:type="paragraph" w:customStyle="1" w:styleId="90">
    <w:name w:val="xl32"/>
    <w:basedOn w:val="1"/>
    <w:uiPriority w:val="0"/>
    <w:pPr>
      <w:widowControl/>
      <w:pBdr>
        <w:bottom w:val="single" w:color="auto" w:sz="4" w:space="0"/>
      </w:pBdr>
      <w:spacing w:before="100" w:beforeAutospacing="1" w:after="100" w:afterAutospacing="1"/>
      <w:jc w:val="left"/>
    </w:pPr>
    <w:rPr>
      <w:rFonts w:eastAsia="宋体"/>
      <w:kern w:val="0"/>
      <w:sz w:val="20"/>
    </w:rPr>
  </w:style>
  <w:style w:type="paragraph" w:customStyle="1" w:styleId="91">
    <w:name w:val="xl29"/>
    <w:basedOn w:val="1"/>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kern w:val="0"/>
      <w:sz w:val="24"/>
      <w:szCs w:val="24"/>
    </w:rPr>
  </w:style>
  <w:style w:type="paragraph" w:customStyle="1" w:styleId="92">
    <w:name w:val="xl33"/>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eastAsia="宋体"/>
      <w:kern w:val="0"/>
      <w:sz w:val="18"/>
      <w:szCs w:val="18"/>
    </w:rPr>
  </w:style>
  <w:style w:type="paragraph" w:customStyle="1" w:styleId="93">
    <w:name w:val="xl57"/>
    <w:basedOn w:val="1"/>
    <w:uiPriority w:val="0"/>
    <w:pPr>
      <w:widowControl/>
      <w:pBdr>
        <w:top w:val="single" w:color="auto" w:sz="4" w:space="0"/>
      </w:pBdr>
      <w:spacing w:before="100" w:beforeAutospacing="1" w:after="100" w:afterAutospacing="1"/>
      <w:jc w:val="left"/>
      <w:textAlignment w:val="top"/>
    </w:pPr>
    <w:rPr>
      <w:rFonts w:eastAsia="宋体"/>
      <w:kern w:val="0"/>
      <w:sz w:val="18"/>
      <w:szCs w:val="18"/>
    </w:rPr>
  </w:style>
  <w:style w:type="paragraph" w:customStyle="1" w:styleId="94">
    <w:name w:val="xl59"/>
    <w:basedOn w:val="1"/>
    <w:uiPriority w:val="0"/>
    <w:pPr>
      <w:widowControl/>
      <w:pBdr>
        <w:top w:val="single" w:color="auto" w:sz="4" w:space="0"/>
        <w:bottom w:val="single" w:color="auto" w:sz="4" w:space="0"/>
      </w:pBdr>
      <w:spacing w:before="100" w:beforeAutospacing="1" w:after="100" w:afterAutospacing="1"/>
      <w:jc w:val="left"/>
      <w:textAlignment w:val="top"/>
    </w:pPr>
    <w:rPr>
      <w:rFonts w:ascii="宋体" w:hAnsi="宋体" w:eastAsia="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5774;&#22791;&#25307;&#26631;.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设备招标.dot</Template>
  <Company>设备办</Company>
  <Pages>16</Pages>
  <Words>4399</Words>
  <Characters>5104</Characters>
  <Lines>40</Lines>
  <Paragraphs>11</Paragraphs>
  <TotalTime>8</TotalTime>
  <ScaleCrop>false</ScaleCrop>
  <LinksUpToDate>false</LinksUpToDate>
  <CharactersWithSpaces>6075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2015-12-21T02:26:00Z</dcterms:created>
  <dc:creator>许慰玲</dc:creator>
  <cp:lastModifiedBy>Administrator</cp:lastModifiedBy>
  <cp:lastPrinted>2015-06-12T00:58:00Z</cp:lastPrinted>
  <dcterms:modified xsi:type="dcterms:W3CDTF">2022-07-14T03:30:27Z</dcterms:modified>
  <dc:title>广东省政府采购中心</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8D7CAD15C71A42529C422FD15C9BA75A</vt:lpwstr>
  </property>
</Properties>
</file>