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D144E">
      <w:pPr>
        <w:pStyle w:val="2"/>
        <w:kinsoku w:val="0"/>
        <w:wordWrap w:val="0"/>
        <w:topLinePunct/>
        <w:autoSpaceDE/>
        <w:spacing w:line="240" w:lineRule="auto"/>
        <w:ind w:right="-1132" w:rightChars="-341"/>
        <w:jc w:val="center"/>
        <w:rPr>
          <w:rFonts w:hint="eastAsia" w:ascii="仿宋" w:hAnsi="仿宋" w:eastAsia="仿宋" w:cs="仿宋"/>
          <w:sz w:val="32"/>
        </w:rPr>
      </w:pPr>
    </w:p>
    <w:p w14:paraId="52074E49">
      <w:pPr>
        <w:pStyle w:val="2"/>
        <w:kinsoku w:val="0"/>
        <w:wordWrap w:val="0"/>
        <w:topLinePunct/>
        <w:autoSpaceDE/>
        <w:spacing w:line="240" w:lineRule="auto"/>
        <w:jc w:val="center"/>
        <w:rPr>
          <w:rFonts w:hint="eastAsia" w:ascii="仿宋" w:hAnsi="仿宋" w:eastAsia="仿宋" w:cs="仿宋"/>
          <w:sz w:val="44"/>
        </w:rPr>
      </w:pPr>
      <w:r>
        <w:rPr>
          <w:rFonts w:hint="eastAsia" w:ascii="仿宋" w:hAnsi="仿宋" w:eastAsia="仿宋" w:cs="仿宋"/>
          <w:sz w:val="44"/>
        </w:rPr>
        <w:t>汕头大学医学院技术服务招标项目</w:t>
      </w:r>
    </w:p>
    <w:p w14:paraId="2F690095">
      <w:pPr>
        <w:pStyle w:val="2"/>
        <w:kinsoku w:val="0"/>
        <w:wordWrap w:val="0"/>
        <w:topLinePunct/>
        <w:autoSpaceDE/>
        <w:spacing w:line="240" w:lineRule="auto"/>
        <w:jc w:val="center"/>
        <w:rPr>
          <w:rFonts w:hint="eastAsia" w:ascii="仿宋" w:hAnsi="仿宋" w:eastAsia="仿宋" w:cs="仿宋"/>
          <w:sz w:val="44"/>
        </w:rPr>
      </w:pPr>
    </w:p>
    <w:p w14:paraId="76D4EC1F">
      <w:pPr>
        <w:pStyle w:val="2"/>
        <w:kinsoku w:val="0"/>
        <w:wordWrap w:val="0"/>
        <w:topLinePunct/>
        <w:autoSpaceDE/>
        <w:spacing w:line="240" w:lineRule="auto"/>
        <w:jc w:val="center"/>
      </w:pPr>
      <w:r>
        <w:rPr>
          <w:rFonts w:hint="eastAsia"/>
        </w:rPr>
        <w:t>招   标   文   件</w:t>
      </w:r>
    </w:p>
    <w:p w14:paraId="305F99C6">
      <w:pPr>
        <w:kinsoku w:val="0"/>
        <w:wordWrap w:val="0"/>
        <w:topLinePunct/>
        <w:rPr>
          <w:rFonts w:hint="eastAsia" w:ascii="仿宋" w:hAnsi="仿宋" w:eastAsia="仿宋" w:cs="仿宋"/>
        </w:rPr>
      </w:pPr>
    </w:p>
    <w:p w14:paraId="71DEC4EC">
      <w:pPr>
        <w:kinsoku w:val="0"/>
        <w:wordWrap w:val="0"/>
        <w:topLinePunct/>
        <w:rPr>
          <w:rFonts w:hint="eastAsia" w:ascii="仿宋" w:hAnsi="仿宋" w:eastAsia="仿宋" w:cs="仿宋"/>
        </w:rPr>
      </w:pPr>
    </w:p>
    <w:p w14:paraId="7478D778">
      <w:pPr>
        <w:kinsoku w:val="0"/>
        <w:wordWrap w:val="0"/>
        <w:topLinePunct/>
        <w:rPr>
          <w:rFonts w:hint="eastAsia" w:ascii="仿宋" w:hAnsi="仿宋" w:eastAsia="仿宋" w:cs="仿宋"/>
        </w:rPr>
      </w:pPr>
    </w:p>
    <w:p w14:paraId="03576EF3">
      <w:pPr>
        <w:kinsoku w:val="0"/>
        <w:wordWrap w:val="0"/>
        <w:topLinePunct/>
        <w:rPr>
          <w:rFonts w:hint="eastAsia" w:ascii="仿宋" w:hAnsi="仿宋" w:eastAsia="仿宋" w:cs="仿宋"/>
        </w:rPr>
      </w:pPr>
    </w:p>
    <w:p w14:paraId="7432E140">
      <w:pPr>
        <w:kinsoku w:val="0"/>
        <w:wordWrap w:val="0"/>
        <w:topLinePunct/>
        <w:rPr>
          <w:rFonts w:hint="eastAsia" w:ascii="仿宋" w:hAnsi="仿宋" w:eastAsia="仿宋" w:cs="仿宋"/>
        </w:rPr>
      </w:pPr>
    </w:p>
    <w:p w14:paraId="016CD8F8">
      <w:pPr>
        <w:rPr>
          <w:rFonts w:hint="default" w:eastAsia="仿宋_GB2312"/>
          <w:lang w:val="en-US" w:eastAsia="zh-CN"/>
        </w:rPr>
      </w:pPr>
      <w:r>
        <w:rPr>
          <w:rFonts w:hint="eastAsia"/>
        </w:rPr>
        <w:t>招标编号：</w:t>
      </w:r>
      <w:r>
        <w:rPr>
          <w:rFonts w:hint="eastAsia"/>
          <w:highlight w:val="yellow"/>
          <w:lang w:eastAsia="zh-CN"/>
        </w:rPr>
        <w:t>汕医招</w:t>
      </w:r>
      <w:r>
        <w:rPr>
          <w:rFonts w:hint="eastAsia"/>
          <w:highlight w:val="yellow"/>
        </w:rPr>
        <w:t>2025-</w:t>
      </w:r>
      <w:r>
        <w:rPr>
          <w:highlight w:val="yellow"/>
        </w:rPr>
        <w:t xml:space="preserve"> </w:t>
      </w:r>
      <w:r>
        <w:rPr>
          <w:rFonts w:hint="eastAsia"/>
          <w:highlight w:val="yellow"/>
          <w:lang w:val="en-US" w:eastAsia="zh-CN"/>
        </w:rPr>
        <w:t>7</w:t>
      </w:r>
      <w:r>
        <w:rPr>
          <w:highlight w:val="yellow"/>
        </w:rPr>
        <w:t>-</w:t>
      </w:r>
      <w:r>
        <w:rPr>
          <w:rFonts w:hint="eastAsia"/>
          <w:highlight w:val="yellow"/>
          <w:lang w:val="en-US" w:eastAsia="zh-CN"/>
        </w:rPr>
        <w:t>14</w:t>
      </w:r>
    </w:p>
    <w:p w14:paraId="08E1A979">
      <w:pPr>
        <w:spacing w:line="360" w:lineRule="auto"/>
        <w:jc w:val="center"/>
        <w:rPr>
          <w:rFonts w:hint="eastAsia" w:ascii="仿宋" w:hAnsi="仿宋" w:eastAsia="仿宋" w:cs="仿宋"/>
          <w:sz w:val="30"/>
          <w:szCs w:val="30"/>
        </w:rPr>
      </w:pPr>
      <w:r>
        <w:rPr>
          <w:rFonts w:hint="eastAsia" w:ascii="仿宋" w:hAnsi="仿宋" w:eastAsia="仿宋" w:cs="仿宋"/>
          <w:sz w:val="30"/>
          <w:szCs w:val="30"/>
        </w:rPr>
        <w:t>项目名称：汕头大学医学院条件性基因敲除小鼠模型构建及饲养造模服务招标项目</w:t>
      </w:r>
    </w:p>
    <w:p w14:paraId="28CAB07E">
      <w:pPr>
        <w:kinsoku w:val="0"/>
        <w:wordWrap w:val="0"/>
        <w:topLinePunct/>
        <w:ind w:firstLine="1494"/>
        <w:rPr>
          <w:rFonts w:hint="eastAsia" w:ascii="仿宋" w:hAnsi="仿宋" w:eastAsia="仿宋" w:cs="仿宋"/>
          <w:sz w:val="24"/>
        </w:rPr>
      </w:pPr>
    </w:p>
    <w:p w14:paraId="528B1F6A">
      <w:pPr>
        <w:kinsoku w:val="0"/>
        <w:wordWrap w:val="0"/>
        <w:topLinePunct/>
        <w:rPr>
          <w:rFonts w:hint="eastAsia" w:ascii="仿宋" w:hAnsi="仿宋" w:eastAsia="仿宋" w:cs="仿宋"/>
          <w:sz w:val="24"/>
        </w:rPr>
      </w:pPr>
    </w:p>
    <w:p w14:paraId="19729A91">
      <w:pPr>
        <w:kinsoku w:val="0"/>
        <w:wordWrap w:val="0"/>
        <w:topLinePunct/>
        <w:jc w:val="center"/>
        <w:rPr>
          <w:rFonts w:hint="eastAsia" w:ascii="仿宋" w:hAnsi="仿宋" w:eastAsia="仿宋" w:cs="仿宋"/>
          <w:sz w:val="36"/>
        </w:rPr>
      </w:pPr>
    </w:p>
    <w:p w14:paraId="28618A5A">
      <w:pPr>
        <w:kinsoku w:val="0"/>
        <w:wordWrap w:val="0"/>
        <w:topLinePunct/>
        <w:jc w:val="center"/>
        <w:rPr>
          <w:rFonts w:hint="eastAsia" w:ascii="仿宋" w:hAnsi="仿宋" w:eastAsia="仿宋" w:cs="仿宋"/>
          <w:sz w:val="36"/>
        </w:rPr>
      </w:pPr>
      <w:r>
        <w:rPr>
          <w:rFonts w:hint="eastAsia" w:ascii="仿宋" w:hAnsi="仿宋" w:eastAsia="仿宋" w:cs="仿宋"/>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14:paraId="2B77F675">
      <w:pPr>
        <w:kinsoku w:val="0"/>
        <w:wordWrap w:val="0"/>
        <w:topLinePunct/>
        <w:jc w:val="center"/>
        <w:rPr>
          <w:rFonts w:hint="eastAsia" w:ascii="仿宋" w:hAnsi="仿宋" w:eastAsia="仿宋" w:cs="仿宋"/>
          <w:sz w:val="21"/>
        </w:rPr>
      </w:pPr>
      <w:r>
        <w:rPr>
          <w:rFonts w:hint="eastAsia" w:ascii="仿宋" w:hAnsi="仿宋" w:eastAsia="仿宋" w:cs="仿宋"/>
          <w:sz w:val="21"/>
        </w:rPr>
        <w:t>(欢迎访问我们的网站:http://www.med.stu.edu.cn)</w:t>
      </w:r>
    </w:p>
    <w:p w14:paraId="6D887D6E">
      <w:pPr>
        <w:kinsoku w:val="0"/>
        <w:wordWrap w:val="0"/>
        <w:topLinePunct/>
        <w:jc w:val="center"/>
        <w:rPr>
          <w:rFonts w:hint="eastAsia" w:ascii="仿宋" w:hAnsi="仿宋" w:eastAsia="仿宋" w:cs="仿宋"/>
        </w:rPr>
      </w:pPr>
    </w:p>
    <w:p w14:paraId="39C62C5F">
      <w:pPr>
        <w:kinsoku w:val="0"/>
        <w:wordWrap w:val="0"/>
        <w:topLinePunct/>
        <w:jc w:val="center"/>
        <w:rPr>
          <w:rFonts w:hint="eastAsia" w:ascii="仿宋" w:hAnsi="仿宋" w:eastAsia="仿宋" w:cs="仿宋"/>
          <w:sz w:val="36"/>
        </w:rPr>
      </w:pPr>
      <w:r>
        <w:rPr>
          <w:rFonts w:hint="eastAsia" w:ascii="仿宋" w:hAnsi="仿宋" w:eastAsia="仿宋" w:cs="仿宋"/>
          <w:sz w:val="36"/>
        </w:rPr>
        <w:t>汕头大学医学院</w:t>
      </w:r>
    </w:p>
    <w:p w14:paraId="579906B4">
      <w:pPr>
        <w:kinsoku w:val="0"/>
        <w:wordWrap w:val="0"/>
        <w:topLinePunct/>
        <w:jc w:val="center"/>
        <w:rPr>
          <w:rFonts w:hint="default" w:ascii="仿宋" w:hAnsi="仿宋" w:eastAsia="仿宋" w:cs="仿宋"/>
          <w:sz w:val="44"/>
          <w:lang w:val="en-US" w:eastAsia="zh-CN"/>
        </w:rPr>
      </w:pPr>
      <w:r>
        <w:rPr>
          <w:rFonts w:hint="eastAsia" w:ascii="仿宋" w:hAnsi="仿宋" w:eastAsia="仿宋" w:cs="仿宋"/>
          <w:sz w:val="44"/>
          <w:highlight w:val="yellow"/>
        </w:rPr>
        <w:t>2025.</w:t>
      </w:r>
      <w:r>
        <w:rPr>
          <w:rFonts w:hint="eastAsia" w:ascii="仿宋" w:hAnsi="仿宋" w:eastAsia="仿宋" w:cs="仿宋"/>
          <w:sz w:val="44"/>
          <w:highlight w:val="yellow"/>
          <w:lang w:val="en-US" w:eastAsia="zh-CN"/>
        </w:rPr>
        <w:t>7</w:t>
      </w:r>
      <w:r>
        <w:rPr>
          <w:rFonts w:hint="eastAsia" w:ascii="仿宋" w:hAnsi="仿宋" w:eastAsia="仿宋" w:cs="仿宋"/>
          <w:sz w:val="44"/>
          <w:highlight w:val="yellow"/>
        </w:rPr>
        <w:t>.</w:t>
      </w:r>
      <w:r>
        <w:rPr>
          <w:rFonts w:hint="eastAsia" w:ascii="仿宋" w:hAnsi="仿宋" w:eastAsia="仿宋" w:cs="仿宋"/>
          <w:sz w:val="44"/>
          <w:highlight w:val="yellow"/>
          <w:lang w:val="en-US" w:eastAsia="zh-CN"/>
        </w:rPr>
        <w:t>14</w:t>
      </w:r>
    </w:p>
    <w:p w14:paraId="46F8E276">
      <w:pPr>
        <w:kinsoku w:val="0"/>
        <w:wordWrap w:val="0"/>
        <w:topLinePunct/>
        <w:rPr>
          <w:rFonts w:hint="eastAsia" w:ascii="仿宋" w:hAnsi="仿宋" w:eastAsia="仿宋" w:cs="仿宋"/>
          <w:sz w:val="24"/>
        </w:rPr>
      </w:pPr>
    </w:p>
    <w:p w14:paraId="5605047B">
      <w:pPr>
        <w:kinsoku w:val="0"/>
        <w:wordWrap w:val="0"/>
        <w:topLinePunct/>
        <w:rPr>
          <w:rFonts w:hint="eastAsia" w:ascii="仿宋" w:hAnsi="仿宋" w:eastAsia="仿宋" w:cs="仿宋"/>
          <w:sz w:val="24"/>
        </w:rPr>
      </w:pPr>
    </w:p>
    <w:p w14:paraId="1BC7154D">
      <w:pPr>
        <w:pageBreakBefore/>
        <w:kinsoku w:val="0"/>
        <w:wordWrap w:val="0"/>
        <w:topLinePunct/>
        <w:jc w:val="center"/>
        <w:rPr>
          <w:rFonts w:hint="eastAsia" w:ascii="仿宋" w:hAnsi="仿宋" w:eastAsia="仿宋" w:cs="仿宋"/>
          <w:b/>
          <w:sz w:val="44"/>
        </w:rPr>
      </w:pPr>
      <w:r>
        <w:rPr>
          <w:rFonts w:hint="eastAsia" w:ascii="仿宋" w:hAnsi="仿宋" w:eastAsia="仿宋" w:cs="仿宋"/>
          <w:b/>
          <w:sz w:val="44"/>
        </w:rPr>
        <w:t>目  录</w:t>
      </w:r>
    </w:p>
    <w:p w14:paraId="6AD1DC27">
      <w:pPr>
        <w:kinsoku w:val="0"/>
        <w:wordWrap w:val="0"/>
        <w:topLinePunct/>
        <w:jc w:val="center"/>
        <w:rPr>
          <w:rFonts w:hint="eastAsia" w:ascii="仿宋" w:hAnsi="仿宋" w:eastAsia="仿宋" w:cs="仿宋"/>
          <w:b/>
          <w:sz w:val="44"/>
        </w:rPr>
      </w:pPr>
    </w:p>
    <w:p w14:paraId="111C0316">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第一部分  投标须知、招标项目说明</w:t>
      </w:r>
    </w:p>
    <w:p w14:paraId="2399E011">
      <w:pPr>
        <w:numPr>
          <w:ilvl w:val="0"/>
          <w:numId w:val="3"/>
        </w:numPr>
        <w:kinsoku w:val="0"/>
        <w:wordWrap w:val="0"/>
        <w:topLinePunct/>
        <w:rPr>
          <w:rFonts w:hint="eastAsia" w:ascii="仿宋" w:hAnsi="仿宋" w:eastAsia="仿宋" w:cs="仿宋"/>
        </w:rPr>
      </w:pPr>
      <w:r>
        <w:rPr>
          <w:rFonts w:hint="eastAsia" w:ascii="仿宋" w:hAnsi="仿宋" w:eastAsia="仿宋" w:cs="仿宋"/>
        </w:rPr>
        <w:t>投标人须知</w:t>
      </w:r>
    </w:p>
    <w:p w14:paraId="2C74DFE4">
      <w:pPr>
        <w:numPr>
          <w:ilvl w:val="0"/>
          <w:numId w:val="3"/>
        </w:numPr>
        <w:kinsoku w:val="0"/>
        <w:wordWrap w:val="0"/>
        <w:topLinePunct/>
        <w:rPr>
          <w:rFonts w:hint="eastAsia" w:ascii="仿宋" w:hAnsi="仿宋" w:eastAsia="仿宋" w:cs="仿宋"/>
        </w:rPr>
      </w:pPr>
      <w:r>
        <w:rPr>
          <w:rFonts w:hint="eastAsia" w:ascii="仿宋" w:hAnsi="仿宋" w:eastAsia="仿宋" w:cs="仿宋"/>
        </w:rPr>
        <w:t>招标项目的名称、性质和数量</w:t>
      </w:r>
    </w:p>
    <w:p w14:paraId="592894EC">
      <w:pPr>
        <w:numPr>
          <w:ilvl w:val="0"/>
          <w:numId w:val="3"/>
        </w:numPr>
        <w:kinsoku w:val="0"/>
        <w:wordWrap w:val="0"/>
        <w:topLinePunct/>
        <w:rPr>
          <w:rFonts w:hint="eastAsia" w:ascii="仿宋" w:hAnsi="仿宋" w:eastAsia="仿宋" w:cs="仿宋"/>
        </w:rPr>
      </w:pPr>
      <w:r>
        <w:rPr>
          <w:rFonts w:hint="eastAsia" w:ascii="仿宋" w:hAnsi="仿宋" w:eastAsia="仿宋" w:cs="仿宋"/>
        </w:rPr>
        <w:t>投标报价方式及报价要求</w:t>
      </w:r>
    </w:p>
    <w:p w14:paraId="1EE86DDF">
      <w:pPr>
        <w:numPr>
          <w:ilvl w:val="0"/>
          <w:numId w:val="3"/>
        </w:numPr>
        <w:kinsoku w:val="0"/>
        <w:wordWrap w:val="0"/>
        <w:topLinePunct/>
        <w:rPr>
          <w:rFonts w:hint="eastAsia" w:ascii="仿宋" w:hAnsi="仿宋" w:eastAsia="仿宋" w:cs="仿宋"/>
        </w:rPr>
      </w:pPr>
      <w:r>
        <w:rPr>
          <w:rFonts w:hint="eastAsia" w:ascii="仿宋" w:hAnsi="仿宋" w:eastAsia="仿宋" w:cs="仿宋"/>
        </w:rPr>
        <w:t>提交投标书的方式、地点和截止日期</w:t>
      </w:r>
    </w:p>
    <w:p w14:paraId="336298EF">
      <w:pPr>
        <w:numPr>
          <w:ilvl w:val="0"/>
          <w:numId w:val="3"/>
        </w:numPr>
        <w:kinsoku w:val="0"/>
        <w:wordWrap w:val="0"/>
        <w:topLinePunct/>
        <w:rPr>
          <w:rFonts w:hint="eastAsia" w:ascii="仿宋" w:hAnsi="仿宋" w:eastAsia="仿宋" w:cs="仿宋"/>
        </w:rPr>
      </w:pPr>
      <w:r>
        <w:rPr>
          <w:rFonts w:hint="eastAsia" w:ascii="仿宋" w:hAnsi="仿宋" w:eastAsia="仿宋" w:cs="仿宋"/>
        </w:rPr>
        <w:t>评（议）标原则</w:t>
      </w:r>
    </w:p>
    <w:p w14:paraId="3881924A">
      <w:pPr>
        <w:numPr>
          <w:ilvl w:val="0"/>
          <w:numId w:val="3"/>
        </w:numPr>
        <w:kinsoku w:val="0"/>
        <w:wordWrap w:val="0"/>
        <w:topLinePunct/>
        <w:rPr>
          <w:rFonts w:hint="eastAsia" w:ascii="仿宋" w:hAnsi="仿宋" w:eastAsia="仿宋" w:cs="仿宋"/>
        </w:rPr>
      </w:pPr>
      <w:r>
        <w:rPr>
          <w:rFonts w:hint="eastAsia" w:ascii="仿宋" w:hAnsi="仿宋" w:eastAsia="仿宋" w:cs="仿宋"/>
        </w:rPr>
        <w:t>开标、评标、定标</w:t>
      </w:r>
    </w:p>
    <w:p w14:paraId="640678D3">
      <w:pPr>
        <w:numPr>
          <w:ilvl w:val="0"/>
          <w:numId w:val="3"/>
        </w:numPr>
        <w:kinsoku w:val="0"/>
        <w:wordWrap w:val="0"/>
        <w:topLinePunct/>
        <w:rPr>
          <w:rFonts w:hint="eastAsia" w:ascii="仿宋" w:hAnsi="仿宋" w:eastAsia="仿宋" w:cs="仿宋"/>
        </w:rPr>
      </w:pPr>
      <w:r>
        <w:rPr>
          <w:rFonts w:hint="eastAsia" w:ascii="仿宋" w:hAnsi="仿宋" w:eastAsia="仿宋" w:cs="仿宋"/>
        </w:rPr>
        <w:t>评标过程的保密性</w:t>
      </w:r>
    </w:p>
    <w:p w14:paraId="64B5D5E8">
      <w:pPr>
        <w:kinsoku w:val="0"/>
        <w:wordWrap w:val="0"/>
        <w:topLinePunct/>
        <w:adjustRightInd w:val="0"/>
        <w:snapToGrid w:val="0"/>
        <w:spacing w:before="50" w:after="50"/>
        <w:rPr>
          <w:rFonts w:hint="eastAsia" w:ascii="仿宋" w:hAnsi="仿宋" w:eastAsia="仿宋" w:cs="仿宋"/>
          <w:sz w:val="32"/>
        </w:rPr>
      </w:pPr>
    </w:p>
    <w:p w14:paraId="633311A0">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第二部分  技术规格要求和交货日期等</w:t>
      </w:r>
    </w:p>
    <w:p w14:paraId="620A967B">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项目内容数量</w:t>
      </w:r>
    </w:p>
    <w:p w14:paraId="00191B67">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主要技术指标、技术服务要求、时间</w:t>
      </w:r>
    </w:p>
    <w:p w14:paraId="13B2AC82">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技术服务质量及售后服务要求</w:t>
      </w:r>
    </w:p>
    <w:p w14:paraId="05ED29BA">
      <w:pPr>
        <w:kinsoku w:val="0"/>
        <w:wordWrap w:val="0"/>
        <w:topLinePunct/>
        <w:adjustRightInd w:val="0"/>
        <w:snapToGrid w:val="0"/>
        <w:spacing w:before="50" w:after="50"/>
        <w:rPr>
          <w:rFonts w:hint="eastAsia" w:ascii="仿宋" w:hAnsi="仿宋" w:eastAsia="仿宋" w:cs="仿宋"/>
          <w:sz w:val="32"/>
        </w:rPr>
      </w:pPr>
    </w:p>
    <w:p w14:paraId="116CA53C">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第三部分  合同样本</w:t>
      </w:r>
    </w:p>
    <w:p w14:paraId="43272155">
      <w:pPr>
        <w:kinsoku w:val="0"/>
        <w:wordWrap w:val="0"/>
        <w:topLinePunct/>
        <w:adjustRightInd w:val="0"/>
        <w:snapToGrid w:val="0"/>
        <w:spacing w:before="50" w:after="50"/>
        <w:rPr>
          <w:rFonts w:hint="eastAsia" w:ascii="仿宋" w:hAnsi="仿宋" w:eastAsia="仿宋" w:cs="仿宋"/>
          <w:b/>
          <w:sz w:val="32"/>
        </w:rPr>
      </w:pPr>
    </w:p>
    <w:p w14:paraId="2401799C">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第四部分  投标书格式</w:t>
      </w:r>
    </w:p>
    <w:p w14:paraId="62E8F3D6">
      <w:pPr>
        <w:kinsoku w:val="0"/>
        <w:wordWrap w:val="0"/>
        <w:topLinePunct/>
        <w:adjustRightInd w:val="0"/>
        <w:snapToGrid w:val="0"/>
        <w:spacing w:before="50" w:after="50"/>
        <w:rPr>
          <w:rFonts w:hint="eastAsia" w:ascii="仿宋" w:hAnsi="仿宋" w:eastAsia="仿宋" w:cs="仿宋"/>
          <w:b/>
          <w:sz w:val="32"/>
        </w:rPr>
      </w:pPr>
    </w:p>
    <w:p w14:paraId="26C60F1F">
      <w:pPr>
        <w:kinsoku w:val="0"/>
        <w:wordWrap w:val="0"/>
        <w:topLinePunct/>
        <w:jc w:val="center"/>
        <w:rPr>
          <w:rFonts w:hint="eastAsia"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14:paraId="3F6E4F71">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一、投标人须知</w:t>
      </w:r>
    </w:p>
    <w:p w14:paraId="7B972B5B">
      <w:pPr>
        <w:numPr>
          <w:ilvl w:val="0"/>
          <w:numId w:val="0"/>
        </w:numPr>
        <w:tabs>
          <w:tab w:val="left" w:pos="166"/>
        </w:tabs>
        <w:kinsoku w:val="0"/>
        <w:wordWrap w:val="0"/>
        <w:topLinePunct/>
        <w:ind w:firstLine="524"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投标文件要求：正本（含资质文件）一份，副本五份[内容与正本一致]</w:t>
      </w:r>
      <w:r>
        <w:rPr>
          <w:rFonts w:hint="eastAsia" w:ascii="仿宋" w:hAnsi="仿宋" w:eastAsia="仿宋" w:cs="仿宋"/>
          <w:sz w:val="21"/>
          <w:szCs w:val="21"/>
        </w:rPr>
        <w:t>。</w:t>
      </w:r>
    </w:p>
    <w:p w14:paraId="29764325">
      <w:pPr>
        <w:spacing w:line="540" w:lineRule="exact"/>
        <w:ind w:firstLine="524" w:firstLineChars="200"/>
        <w:rPr>
          <w:rFonts w:hint="eastAsia" w:ascii="仿宋" w:hAnsi="仿宋" w:eastAsia="仿宋" w:cs="仿宋"/>
          <w:b/>
          <w:sz w:val="21"/>
          <w:szCs w:val="21"/>
        </w:rPr>
      </w:pPr>
      <w:r>
        <w:rPr>
          <w:rFonts w:hint="eastAsia" w:ascii="仿宋" w:hAnsi="仿宋" w:eastAsia="仿宋" w:cs="仿宋"/>
          <w:b/>
          <w:sz w:val="21"/>
          <w:szCs w:val="21"/>
        </w:rPr>
        <w:t>2.供应商资格要求</w:t>
      </w:r>
    </w:p>
    <w:p w14:paraId="5CB637A0">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（1）具有独立承担民事责任的能力，投标人须在中国境内注册</w:t>
      </w:r>
      <w:r>
        <w:rPr>
          <w:rFonts w:hint="eastAsia" w:ascii="仿宋" w:hAnsi="仿宋" w:eastAsia="仿宋" w:cs="仿宋"/>
          <w:sz w:val="21"/>
          <w:szCs w:val="21"/>
          <w:lang w:eastAsia="zh-CN"/>
        </w:rPr>
        <w:t>并且经营范围包含本项目内容</w:t>
      </w:r>
      <w:r>
        <w:rPr>
          <w:rFonts w:hint="eastAsia" w:ascii="仿宋" w:hAnsi="仿宋" w:eastAsia="仿宋" w:cs="仿宋"/>
          <w:sz w:val="21"/>
          <w:szCs w:val="21"/>
        </w:rPr>
        <w:t>。</w:t>
      </w:r>
    </w:p>
    <w:p w14:paraId="011B08C9">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（2）参加本项目招标采购活动前三年内，在经营活动中没有重大违法记录（投标人自行提供书面声明）。</w:t>
      </w:r>
    </w:p>
    <w:p w14:paraId="0F5A33F1">
      <w:pPr>
        <w:spacing w:line="540" w:lineRule="exact"/>
        <w:ind w:left="425"/>
        <w:rPr>
          <w:rFonts w:hint="eastAsia" w:ascii="仿宋" w:hAnsi="仿宋" w:eastAsia="仿宋" w:cs="仿宋"/>
          <w:sz w:val="21"/>
          <w:szCs w:val="21"/>
        </w:rPr>
      </w:pPr>
      <w:r>
        <w:rPr>
          <w:rFonts w:hint="eastAsia" w:ascii="仿宋" w:hAnsi="仿宋" w:eastAsia="仿宋" w:cs="仿宋"/>
          <w:sz w:val="21"/>
          <w:szCs w:val="21"/>
        </w:rPr>
        <w:t>（3）投标人单位负责人为同一人或者存在控股、管理关系的不同单位，不得参加本次投标。</w:t>
      </w:r>
    </w:p>
    <w:p w14:paraId="1270561B">
      <w:pPr>
        <w:spacing w:line="540" w:lineRule="exact"/>
        <w:ind w:left="425"/>
        <w:rPr>
          <w:rFonts w:hint="eastAsia" w:ascii="仿宋" w:hAnsi="仿宋" w:eastAsia="仿宋" w:cs="仿宋"/>
          <w:sz w:val="21"/>
          <w:szCs w:val="21"/>
        </w:rPr>
      </w:pPr>
      <w:r>
        <w:rPr>
          <w:rFonts w:hint="eastAsia" w:ascii="仿宋" w:hAnsi="仿宋" w:eastAsia="仿宋" w:cs="仿宋"/>
          <w:sz w:val="21"/>
          <w:szCs w:val="21"/>
        </w:rPr>
        <w:t>（4）投标人未被列入“信用中国”网站失信被执行人、重大税收违法案件严重违法失信行为记录名单（投标人自行提供截图）。</w:t>
      </w:r>
    </w:p>
    <w:p w14:paraId="5EE449A1">
      <w:pPr>
        <w:spacing w:line="540" w:lineRule="exact"/>
        <w:ind w:left="425"/>
        <w:rPr>
          <w:rFonts w:hint="eastAsia" w:ascii="仿宋" w:hAnsi="仿宋" w:eastAsia="仿宋" w:cs="仿宋"/>
          <w:sz w:val="21"/>
          <w:szCs w:val="21"/>
        </w:rPr>
      </w:pPr>
      <w:r>
        <w:rPr>
          <w:rFonts w:hint="eastAsia" w:ascii="仿宋" w:hAnsi="仿宋" w:eastAsia="仿宋" w:cs="仿宋"/>
          <w:sz w:val="21"/>
          <w:szCs w:val="21"/>
        </w:rPr>
        <w:t>（5）取得省科学技术行政部门颁发的实验动物使用许可证。</w:t>
      </w:r>
    </w:p>
    <w:p w14:paraId="2E94AF69">
      <w:pPr>
        <w:spacing w:line="540" w:lineRule="exact"/>
        <w:ind w:left="425"/>
        <w:rPr>
          <w:rFonts w:hint="eastAsia" w:ascii="仿宋" w:hAnsi="仿宋" w:eastAsia="仿宋" w:cs="仿宋"/>
          <w:sz w:val="21"/>
          <w:szCs w:val="21"/>
        </w:rPr>
      </w:pPr>
      <w:r>
        <w:rPr>
          <w:rFonts w:hint="eastAsia" w:ascii="仿宋" w:hAnsi="仿宋" w:eastAsia="仿宋" w:cs="仿宋"/>
          <w:sz w:val="21"/>
          <w:szCs w:val="21"/>
        </w:rPr>
        <w:t>（6）本项目不接受联合体投标。</w:t>
      </w:r>
    </w:p>
    <w:p w14:paraId="22C20E53">
      <w:pPr>
        <w:numPr>
          <w:ilvl w:val="255"/>
          <w:numId w:val="0"/>
        </w:numPr>
        <w:tabs>
          <w:tab w:val="left" w:pos="0"/>
        </w:tabs>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rPr>
        <w:t>3. 投标人可以在汕头大学医学院网站主页自行下载招标文件。投标人拿到招标书后，如有疑问，可在投标截止日期内与招标有关联系人联系。</w:t>
      </w:r>
    </w:p>
    <w:p w14:paraId="3B1A9306">
      <w:pPr>
        <w:numPr>
          <w:ilvl w:val="255"/>
          <w:numId w:val="0"/>
        </w:numPr>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rPr>
        <w:t>4.投标书和签定合同要求企业法人或企业法人授权委托代表签名方为有效。</w:t>
      </w:r>
    </w:p>
    <w:p w14:paraId="4A26C22D">
      <w:pPr>
        <w:numPr>
          <w:ilvl w:val="255"/>
          <w:numId w:val="0"/>
        </w:numPr>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rPr>
        <w:t>5.如有必要，投标人应接受招标人的答辩要求。</w:t>
      </w:r>
    </w:p>
    <w:p w14:paraId="0CC9B428">
      <w:pPr>
        <w:numPr>
          <w:ilvl w:val="255"/>
          <w:numId w:val="0"/>
        </w:numPr>
        <w:kinsoku w:val="0"/>
        <w:wordWrap w:val="0"/>
        <w:topLinePunct/>
        <w:ind w:left="498"/>
        <w:rPr>
          <w:rFonts w:hint="eastAsia" w:ascii="仿宋" w:hAnsi="仿宋" w:eastAsia="仿宋" w:cs="仿宋"/>
          <w:sz w:val="21"/>
          <w:szCs w:val="21"/>
          <w:lang w:eastAsia="zh-CN"/>
        </w:rPr>
      </w:pPr>
      <w:r>
        <w:rPr>
          <w:rFonts w:hint="eastAsia" w:ascii="仿宋" w:hAnsi="仿宋" w:eastAsia="仿宋" w:cs="仿宋"/>
          <w:sz w:val="21"/>
          <w:szCs w:val="21"/>
        </w:rPr>
        <w:t>6.投标时每个投标单位向我院缴交人民币</w:t>
      </w:r>
      <w:r>
        <w:rPr>
          <w:rFonts w:hint="eastAsia" w:ascii="仿宋" w:hAnsi="仿宋" w:eastAsia="仿宋" w:cs="仿宋"/>
          <w:sz w:val="21"/>
          <w:szCs w:val="21"/>
          <w:lang w:eastAsia="zh-CN"/>
        </w:rPr>
        <w:t>三百</w:t>
      </w:r>
      <w:r>
        <w:rPr>
          <w:rFonts w:hint="eastAsia" w:ascii="仿宋" w:hAnsi="仿宋" w:eastAsia="仿宋" w:cs="仿宋"/>
          <w:sz w:val="21"/>
          <w:szCs w:val="21"/>
        </w:rPr>
        <w:t>元资料费</w:t>
      </w:r>
      <w:r>
        <w:rPr>
          <w:rFonts w:hint="eastAsia" w:ascii="仿宋" w:hAnsi="仿宋" w:eastAsia="仿宋" w:cs="仿宋"/>
          <w:sz w:val="21"/>
          <w:szCs w:val="21"/>
          <w:lang w:eastAsia="zh-CN"/>
        </w:rPr>
        <w:t>。</w:t>
      </w:r>
    </w:p>
    <w:p w14:paraId="00E2F9F4">
      <w:pPr>
        <w:numPr>
          <w:ilvl w:val="255"/>
          <w:numId w:val="0"/>
        </w:numPr>
        <w:kinsoku w:val="0"/>
        <w:wordWrap w:val="0"/>
        <w:topLinePunct/>
        <w:ind w:left="498"/>
        <w:rPr>
          <w:rFonts w:hint="eastAsia" w:ascii="仿宋" w:hAnsi="仿宋" w:eastAsia="仿宋" w:cs="仿宋"/>
          <w:b/>
          <w:sz w:val="21"/>
          <w:szCs w:val="21"/>
        </w:rPr>
      </w:pPr>
      <w:r>
        <w:rPr>
          <w:rFonts w:hint="eastAsia" w:ascii="仿宋" w:hAnsi="仿宋" w:eastAsia="仿宋" w:cs="仿宋"/>
          <w:sz w:val="21"/>
          <w:szCs w:val="21"/>
        </w:rPr>
        <w:t>7.向我院缴交资料费时用此专用户头：</w:t>
      </w:r>
      <w:r>
        <w:rPr>
          <w:rFonts w:hint="eastAsia" w:ascii="仿宋" w:hAnsi="仿宋" w:eastAsia="仿宋" w:cs="仿宋"/>
          <w:b/>
          <w:sz w:val="21"/>
          <w:szCs w:val="21"/>
        </w:rPr>
        <w:t xml:space="preserve">单位名称：（汕头大学医学院 ）  帐号：（705557744822 ）  开户行：（中行嘉泰支行） </w:t>
      </w:r>
    </w:p>
    <w:p w14:paraId="4BF162B2">
      <w:pPr>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rPr>
        <w:t>8.投标人必须接受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14:paraId="6D386308">
      <w:pPr>
        <w:kinsoku w:val="0"/>
        <w:wordWrap w:val="0"/>
        <w:topLinePunct/>
        <w:ind w:left="425"/>
        <w:rPr>
          <w:rFonts w:hint="eastAsia" w:ascii="仿宋" w:hAnsi="仿宋" w:eastAsia="仿宋" w:cs="仿宋"/>
          <w:sz w:val="21"/>
        </w:rPr>
      </w:pPr>
      <w:r>
        <w:rPr>
          <w:rFonts w:hint="eastAsia" w:ascii="仿宋" w:hAnsi="仿宋" w:eastAsia="仿宋" w:cs="仿宋"/>
          <w:sz w:val="18"/>
        </w:rPr>
        <w:t xml:space="preserve">   </w:t>
      </w:r>
    </w:p>
    <w:p w14:paraId="263B95D6">
      <w:pPr>
        <w:kinsoku w:val="0"/>
        <w:wordWrap w:val="0"/>
        <w:topLinePunct/>
        <w:rPr>
          <w:rFonts w:hint="eastAsia" w:ascii="仿宋" w:hAnsi="仿宋" w:eastAsia="仿宋" w:cs="仿宋"/>
          <w:b/>
          <w:sz w:val="21"/>
        </w:rPr>
      </w:pPr>
      <w:r>
        <w:rPr>
          <w:rFonts w:hint="eastAsia" w:ascii="仿宋" w:hAnsi="仿宋" w:eastAsia="仿宋" w:cs="仿宋"/>
          <w:b/>
          <w:sz w:val="21"/>
        </w:rPr>
        <w:t>二、招标项目的名称</w:t>
      </w:r>
    </w:p>
    <w:p w14:paraId="6E57982E">
      <w:pPr>
        <w:spacing w:line="360" w:lineRule="auto"/>
        <w:ind w:firstLine="524" w:firstLineChars="200"/>
        <w:rPr>
          <w:rFonts w:hint="eastAsia" w:ascii="仿宋" w:hAnsi="仿宋" w:eastAsia="仿宋" w:cs="仿宋"/>
          <w:sz w:val="30"/>
          <w:szCs w:val="30"/>
        </w:rPr>
      </w:pPr>
      <w:r>
        <w:rPr>
          <w:rFonts w:hint="eastAsia" w:ascii="仿宋" w:hAnsi="仿宋" w:eastAsia="仿宋" w:cs="仿宋"/>
          <w:sz w:val="21"/>
          <w:szCs w:val="21"/>
        </w:rPr>
        <w:t>汕头大学医学院条件性基因敲除小鼠模型构建及饲养造模服务招标项目</w:t>
      </w:r>
    </w:p>
    <w:p w14:paraId="277ADB40">
      <w:pPr>
        <w:kinsoku w:val="0"/>
        <w:wordWrap w:val="0"/>
        <w:topLinePunct/>
        <w:rPr>
          <w:rFonts w:hint="eastAsia" w:ascii="仿宋" w:hAnsi="仿宋" w:eastAsia="仿宋" w:cs="仿宋"/>
          <w:b/>
          <w:sz w:val="21"/>
        </w:rPr>
      </w:pPr>
    </w:p>
    <w:p w14:paraId="75856484">
      <w:pPr>
        <w:kinsoku w:val="0"/>
        <w:wordWrap w:val="0"/>
        <w:topLinePunct/>
        <w:rPr>
          <w:rFonts w:hint="eastAsia" w:ascii="仿宋" w:hAnsi="仿宋" w:eastAsia="仿宋" w:cs="仿宋"/>
          <w:b/>
          <w:sz w:val="21"/>
        </w:rPr>
      </w:pPr>
      <w:r>
        <w:rPr>
          <w:rFonts w:hint="eastAsia" w:ascii="仿宋" w:hAnsi="仿宋" w:eastAsia="仿宋" w:cs="仿宋"/>
          <w:b/>
          <w:sz w:val="21"/>
        </w:rPr>
        <w:t>三、投标报价方式及报价要求</w:t>
      </w:r>
    </w:p>
    <w:p w14:paraId="513A6513">
      <w:pPr>
        <w:spacing w:line="360" w:lineRule="auto"/>
        <w:ind w:firstLine="524" w:firstLineChars="200"/>
        <w:rPr>
          <w:rFonts w:hint="eastAsia" w:ascii="仿宋" w:hAnsi="仿宋" w:eastAsia="仿宋" w:cs="仿宋"/>
          <w:sz w:val="21"/>
          <w:szCs w:val="21"/>
        </w:rPr>
      </w:pPr>
      <w:r>
        <w:rPr>
          <w:rFonts w:hint="eastAsia" w:ascii="仿宋" w:hAnsi="仿宋" w:eastAsia="仿宋" w:cs="仿宋"/>
          <w:sz w:val="21"/>
          <w:szCs w:val="21"/>
        </w:rPr>
        <w:t>报价方式：仅以人民币报价，投标总价不得高于总预算。</w:t>
      </w:r>
    </w:p>
    <w:p w14:paraId="32D492CE">
      <w:pPr>
        <w:spacing w:line="360" w:lineRule="auto"/>
        <w:ind w:firstLine="524" w:firstLineChars="200"/>
        <w:rPr>
          <w:rFonts w:hint="eastAsia" w:ascii="仿宋" w:hAnsi="仿宋" w:eastAsia="仿宋" w:cs="仿宋"/>
          <w:sz w:val="21"/>
          <w:szCs w:val="21"/>
        </w:rPr>
      </w:pPr>
    </w:p>
    <w:p w14:paraId="5385BA9C">
      <w:pPr>
        <w:kinsoku w:val="0"/>
        <w:wordWrap w:val="0"/>
        <w:topLinePunct/>
        <w:rPr>
          <w:rFonts w:hint="eastAsia" w:ascii="仿宋" w:hAnsi="仿宋" w:eastAsia="仿宋" w:cs="仿宋"/>
          <w:b/>
          <w:sz w:val="21"/>
        </w:rPr>
      </w:pPr>
      <w:r>
        <w:rPr>
          <w:rFonts w:hint="eastAsia" w:ascii="仿宋" w:hAnsi="仿宋" w:eastAsia="仿宋" w:cs="仿宋"/>
          <w:b/>
          <w:sz w:val="21"/>
        </w:rPr>
        <w:t>四、提交投标书的方式、地点和截止时间</w:t>
      </w:r>
    </w:p>
    <w:p w14:paraId="109D8B1B">
      <w:pPr>
        <w:numPr>
          <w:ilvl w:val="0"/>
          <w:numId w:val="5"/>
        </w:numPr>
        <w:kinsoku w:val="0"/>
        <w:wordWrap w:val="0"/>
        <w:topLinePunct/>
        <w:ind w:firstLine="73"/>
        <w:rPr>
          <w:rFonts w:hint="eastAsia" w:ascii="仿宋" w:hAnsi="仿宋" w:eastAsia="仿宋" w:cs="仿宋"/>
          <w:sz w:val="21"/>
          <w:szCs w:val="21"/>
        </w:rPr>
      </w:pPr>
      <w:r>
        <w:rPr>
          <w:rFonts w:hint="eastAsia" w:ascii="仿宋" w:hAnsi="仿宋" w:eastAsia="仿宋" w:cs="仿宋"/>
          <w:sz w:val="21"/>
          <w:szCs w:val="21"/>
        </w:rPr>
        <w:t xml:space="preserve">投标书必须以密封加盖骑缝章的形式亲自或快递送达汕头新陵路22号汕头大学医学院   </w:t>
      </w:r>
      <w:r>
        <w:rPr>
          <w:rFonts w:hint="eastAsia" w:ascii="仿宋" w:hAnsi="仿宋" w:eastAsia="仿宋" w:cs="仿宋"/>
          <w:sz w:val="21"/>
          <w:szCs w:val="21"/>
          <w:lang w:eastAsia="zh-CN"/>
        </w:rPr>
        <w:t>招投标中心</w:t>
      </w:r>
    </w:p>
    <w:p w14:paraId="3A369E8D">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联系人：杨成瑜</w:t>
      </w:r>
    </w:p>
    <w:p w14:paraId="706C5F65">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联系电话：（0754）8890</w:t>
      </w:r>
      <w:r>
        <w:rPr>
          <w:rFonts w:hint="eastAsia" w:ascii="仿宋" w:hAnsi="仿宋" w:eastAsia="仿宋" w:cs="仿宋"/>
          <w:sz w:val="21"/>
          <w:szCs w:val="21"/>
          <w:lang w:val="en-US" w:eastAsia="zh-CN"/>
        </w:rPr>
        <w:t>0305</w:t>
      </w:r>
      <w:r>
        <w:rPr>
          <w:rFonts w:hint="eastAsia" w:ascii="仿宋" w:hAnsi="仿宋" w:eastAsia="仿宋" w:cs="仿宋"/>
          <w:sz w:val="21"/>
          <w:szCs w:val="21"/>
        </w:rPr>
        <w:t>、13016667886</w:t>
      </w:r>
    </w:p>
    <w:p w14:paraId="1DA7C9D1">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传真电话：（0754）88900305</w:t>
      </w:r>
    </w:p>
    <w:p w14:paraId="4B667D18">
      <w:pPr>
        <w:kinsoku w:val="0"/>
        <w:wordWrap w:val="0"/>
        <w:topLinePunct/>
        <w:ind w:firstLine="780"/>
        <w:rPr>
          <w:rFonts w:hint="eastAsia" w:ascii="仿宋" w:hAnsi="仿宋" w:eastAsia="仿宋" w:cs="仿宋"/>
          <w:b/>
          <w:bCs/>
          <w:i/>
          <w:iCs/>
          <w:sz w:val="24"/>
        </w:rPr>
      </w:pPr>
    </w:p>
    <w:p w14:paraId="0B25EDAA">
      <w:pPr>
        <w:kinsoku w:val="0"/>
        <w:wordWrap w:val="0"/>
        <w:topLinePunct/>
        <w:ind w:firstLine="780"/>
        <w:rPr>
          <w:rFonts w:hint="eastAsia" w:ascii="仿宋" w:hAnsi="仿宋" w:eastAsia="仿宋" w:cs="仿宋"/>
          <w:b/>
          <w:bCs/>
          <w:i/>
          <w:iCs/>
          <w:sz w:val="24"/>
          <w:highlight w:val="yellow"/>
        </w:rPr>
      </w:pPr>
      <w:r>
        <w:rPr>
          <w:rFonts w:hint="eastAsia" w:ascii="仿宋" w:hAnsi="仿宋" w:eastAsia="仿宋" w:cs="仿宋"/>
          <w:b/>
          <w:bCs/>
          <w:i/>
          <w:iCs/>
          <w:sz w:val="24"/>
        </w:rPr>
        <w:t>投标截止时间：</w:t>
      </w:r>
      <w:r>
        <w:rPr>
          <w:rFonts w:hint="eastAsia" w:ascii="仿宋" w:hAnsi="仿宋" w:eastAsia="仿宋" w:cs="仿宋"/>
          <w:b/>
          <w:bCs/>
          <w:i/>
          <w:iCs/>
          <w:sz w:val="24"/>
          <w:highlight w:val="yellow"/>
        </w:rPr>
        <w:t xml:space="preserve">2025年 </w:t>
      </w:r>
      <w:r>
        <w:rPr>
          <w:rFonts w:hint="eastAsia" w:ascii="仿宋" w:hAnsi="仿宋" w:eastAsia="仿宋" w:cs="仿宋"/>
          <w:b/>
          <w:bCs/>
          <w:i/>
          <w:iCs/>
          <w:sz w:val="24"/>
          <w:highlight w:val="yellow"/>
          <w:lang w:val="en-US" w:eastAsia="zh-CN"/>
        </w:rPr>
        <w:t>8</w:t>
      </w:r>
      <w:r>
        <w:rPr>
          <w:rFonts w:hint="eastAsia" w:ascii="仿宋" w:hAnsi="仿宋" w:eastAsia="仿宋" w:cs="仿宋"/>
          <w:b/>
          <w:bCs/>
          <w:i/>
          <w:iCs/>
          <w:sz w:val="24"/>
          <w:highlight w:val="yellow"/>
        </w:rPr>
        <w:t>月</w:t>
      </w:r>
      <w:r>
        <w:rPr>
          <w:rFonts w:hint="eastAsia" w:ascii="仿宋" w:hAnsi="仿宋" w:eastAsia="仿宋" w:cs="仿宋"/>
          <w:b/>
          <w:bCs/>
          <w:i/>
          <w:iCs/>
          <w:sz w:val="24"/>
          <w:highlight w:val="yellow"/>
          <w:lang w:val="en-US" w:eastAsia="zh-CN"/>
        </w:rPr>
        <w:t>4</w:t>
      </w:r>
      <w:r>
        <w:rPr>
          <w:rFonts w:hint="eastAsia" w:ascii="仿宋" w:hAnsi="仿宋" w:eastAsia="仿宋" w:cs="仿宋"/>
          <w:b/>
          <w:bCs/>
          <w:i/>
          <w:iCs/>
          <w:sz w:val="24"/>
          <w:highlight w:val="yellow"/>
        </w:rPr>
        <w:t xml:space="preserve"> 日上午9:30(北京时间)</w:t>
      </w:r>
    </w:p>
    <w:p w14:paraId="02CF6B0B">
      <w:pPr>
        <w:kinsoku w:val="0"/>
        <w:wordWrap w:val="0"/>
        <w:topLinePunct/>
        <w:rPr>
          <w:rFonts w:hint="eastAsia" w:ascii="仿宋" w:hAnsi="仿宋" w:eastAsia="仿宋" w:cs="仿宋"/>
          <w:b/>
          <w:sz w:val="21"/>
        </w:rPr>
      </w:pPr>
      <w:r>
        <w:rPr>
          <w:rFonts w:hint="eastAsia" w:ascii="仿宋" w:hAnsi="仿宋" w:eastAsia="仿宋" w:cs="仿宋"/>
          <w:b/>
          <w:sz w:val="21"/>
        </w:rPr>
        <w:t>五、评（议）标原则</w:t>
      </w:r>
    </w:p>
    <w:p w14:paraId="2341A2E9">
      <w:pPr>
        <w:kinsoku w:val="0"/>
        <w:wordWrap w:val="0"/>
        <w:topLinePunct/>
        <w:ind w:firstLine="524" w:firstLineChars="200"/>
        <w:rPr>
          <w:rFonts w:ascii="仿宋" w:hAnsi="仿宋" w:eastAsia="仿宋" w:cs="仿宋"/>
          <w:b/>
          <w:sz w:val="21"/>
          <w:szCs w:val="21"/>
        </w:rPr>
      </w:pPr>
      <w:r>
        <w:rPr>
          <w:rFonts w:hint="eastAsia" w:ascii="仿宋" w:hAnsi="仿宋" w:eastAsia="仿宋" w:cs="仿宋"/>
          <w:sz w:val="21"/>
          <w:szCs w:val="21"/>
        </w:rPr>
        <w:t>1.本次采购采用综合评分法，按分数高低选出中标候选人。</w:t>
      </w:r>
    </w:p>
    <w:p w14:paraId="3A328D63">
      <w:pPr>
        <w:pStyle w:val="17"/>
        <w:tabs>
          <w:tab w:val="left" w:pos="-166"/>
        </w:tabs>
        <w:kinsoku w:val="0"/>
        <w:wordWrap w:val="0"/>
        <w:topLinePunct/>
        <w:ind w:left="0" w:leftChars="0" w:firstLine="524" w:firstLineChars="200"/>
        <w:rPr>
          <w:rFonts w:hint="eastAsia" w:ascii="仿宋" w:hAnsi="仿宋" w:eastAsia="仿宋" w:cs="仿宋"/>
          <w:sz w:val="21"/>
          <w:szCs w:val="21"/>
        </w:rPr>
      </w:pPr>
      <w:r>
        <w:rPr>
          <w:rFonts w:hint="eastAsia" w:ascii="仿宋" w:hAnsi="仿宋" w:eastAsia="仿宋" w:cs="仿宋"/>
          <w:sz w:val="21"/>
          <w:szCs w:val="21"/>
        </w:rPr>
        <w:t>2.评分表：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465"/>
        <w:gridCol w:w="4910"/>
      </w:tblGrid>
      <w:tr w14:paraId="5655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14:paraId="40D84772">
            <w:pPr>
              <w:jc w:val="center"/>
              <w:rPr>
                <w:sz w:val="21"/>
                <w:szCs w:val="21"/>
              </w:rPr>
            </w:pPr>
            <w:r>
              <w:rPr>
                <w:sz w:val="21"/>
                <w:szCs w:val="21"/>
              </w:rPr>
              <w:t>评审因素</w:t>
            </w:r>
          </w:p>
        </w:tc>
        <w:tc>
          <w:tcPr>
            <w:tcW w:w="7375" w:type="dxa"/>
            <w:gridSpan w:val="2"/>
          </w:tcPr>
          <w:p w14:paraId="28FACFF7">
            <w:pPr>
              <w:jc w:val="center"/>
              <w:rPr>
                <w:sz w:val="21"/>
                <w:szCs w:val="21"/>
              </w:rPr>
            </w:pPr>
            <w:r>
              <w:rPr>
                <w:sz w:val="21"/>
                <w:szCs w:val="21"/>
              </w:rPr>
              <w:t>评审标准</w:t>
            </w:r>
          </w:p>
        </w:tc>
      </w:tr>
      <w:tr w14:paraId="5BED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14:paraId="20AA79FC">
            <w:pPr>
              <w:jc w:val="center"/>
              <w:rPr>
                <w:sz w:val="21"/>
                <w:szCs w:val="21"/>
              </w:rPr>
            </w:pPr>
            <w:r>
              <w:rPr>
                <w:b/>
                <w:bCs/>
                <w:i w:val="0"/>
                <w:iCs w:val="0"/>
                <w:sz w:val="21"/>
                <w:szCs w:val="21"/>
              </w:rPr>
              <w:t>分值构成</w:t>
            </w:r>
          </w:p>
        </w:tc>
        <w:tc>
          <w:tcPr>
            <w:tcW w:w="7375" w:type="dxa"/>
            <w:gridSpan w:val="2"/>
          </w:tcPr>
          <w:p w14:paraId="05870C80">
            <w:pPr>
              <w:rPr>
                <w:b/>
                <w:bCs/>
                <w:sz w:val="21"/>
                <w:szCs w:val="21"/>
              </w:rPr>
            </w:pPr>
            <w:r>
              <w:rPr>
                <w:b/>
                <w:bCs/>
                <w:sz w:val="21"/>
                <w:szCs w:val="21"/>
              </w:rPr>
              <w:t>技术部分</w:t>
            </w:r>
            <w:r>
              <w:rPr>
                <w:rFonts w:hint="eastAsia"/>
                <w:b/>
                <w:bCs/>
                <w:sz w:val="21"/>
                <w:szCs w:val="21"/>
                <w:lang w:val="en-US" w:eastAsia="zh-CN"/>
              </w:rPr>
              <w:t>4</w:t>
            </w:r>
            <w:r>
              <w:rPr>
                <w:b/>
                <w:bCs/>
                <w:sz w:val="21"/>
                <w:szCs w:val="21"/>
              </w:rPr>
              <w:t>5</w:t>
            </w:r>
            <w:r>
              <w:rPr>
                <w:rFonts w:hint="eastAsia"/>
                <w:b/>
                <w:bCs/>
                <w:sz w:val="21"/>
                <w:szCs w:val="21"/>
                <w:lang w:val="en-US" w:eastAsia="zh-CN"/>
              </w:rPr>
              <w:t>.0</w:t>
            </w:r>
            <w:r>
              <w:rPr>
                <w:b/>
                <w:bCs/>
                <w:sz w:val="21"/>
                <w:szCs w:val="21"/>
              </w:rPr>
              <w:t>分</w:t>
            </w:r>
          </w:p>
          <w:p w14:paraId="0A6FA119">
            <w:pPr>
              <w:rPr>
                <w:b/>
                <w:bCs/>
                <w:sz w:val="21"/>
                <w:szCs w:val="21"/>
              </w:rPr>
            </w:pPr>
            <w:r>
              <w:rPr>
                <w:b/>
                <w:bCs/>
                <w:sz w:val="21"/>
                <w:szCs w:val="21"/>
              </w:rPr>
              <w:t>商务部分35</w:t>
            </w:r>
            <w:r>
              <w:rPr>
                <w:rFonts w:hint="eastAsia"/>
                <w:b/>
                <w:bCs/>
                <w:sz w:val="21"/>
                <w:szCs w:val="21"/>
                <w:lang w:val="en-US" w:eastAsia="zh-CN"/>
              </w:rPr>
              <w:t>.0</w:t>
            </w:r>
            <w:r>
              <w:rPr>
                <w:b/>
                <w:bCs/>
                <w:sz w:val="21"/>
                <w:szCs w:val="21"/>
              </w:rPr>
              <w:t>分</w:t>
            </w:r>
          </w:p>
          <w:p w14:paraId="2394D60C">
            <w:pPr>
              <w:rPr>
                <w:sz w:val="21"/>
                <w:szCs w:val="21"/>
              </w:rPr>
            </w:pPr>
            <w:r>
              <w:rPr>
                <w:b/>
                <w:bCs/>
                <w:sz w:val="21"/>
                <w:szCs w:val="21"/>
              </w:rPr>
              <w:t>报价得分</w:t>
            </w:r>
            <w:r>
              <w:rPr>
                <w:rFonts w:hint="eastAsia"/>
                <w:b/>
                <w:bCs/>
                <w:sz w:val="21"/>
                <w:szCs w:val="21"/>
                <w:lang w:val="en-US" w:eastAsia="zh-CN"/>
              </w:rPr>
              <w:t>2</w:t>
            </w:r>
            <w:r>
              <w:rPr>
                <w:b/>
                <w:bCs/>
                <w:sz w:val="21"/>
                <w:szCs w:val="21"/>
              </w:rPr>
              <w:t>0</w:t>
            </w:r>
            <w:r>
              <w:rPr>
                <w:rFonts w:hint="eastAsia"/>
                <w:b/>
                <w:bCs/>
                <w:sz w:val="21"/>
                <w:szCs w:val="21"/>
                <w:lang w:val="en-US" w:eastAsia="zh-CN"/>
              </w:rPr>
              <w:t>.0</w:t>
            </w:r>
            <w:r>
              <w:rPr>
                <w:b/>
                <w:bCs/>
                <w:sz w:val="21"/>
                <w:szCs w:val="21"/>
              </w:rPr>
              <w:t>分</w:t>
            </w:r>
          </w:p>
        </w:tc>
      </w:tr>
      <w:tr w14:paraId="4C2E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Merge w:val="restart"/>
          </w:tcPr>
          <w:p w14:paraId="4F295836">
            <w:pPr>
              <w:rPr>
                <w:sz w:val="21"/>
                <w:szCs w:val="21"/>
              </w:rPr>
            </w:pPr>
          </w:p>
        </w:tc>
        <w:tc>
          <w:tcPr>
            <w:tcW w:w="2465" w:type="dxa"/>
          </w:tcPr>
          <w:p w14:paraId="4FC8A64E">
            <w:pPr>
              <w:widowControl/>
              <w:contextualSpacing/>
              <w:rPr>
                <w:sz w:val="21"/>
                <w:szCs w:val="21"/>
              </w:rPr>
            </w:pPr>
            <w:r>
              <w:rPr>
                <w:b/>
                <w:bCs/>
                <w:sz w:val="21"/>
                <w:szCs w:val="21"/>
              </w:rPr>
              <w:t>项目实施方案 (</w:t>
            </w:r>
            <w:r>
              <w:rPr>
                <w:rFonts w:hint="eastAsia"/>
                <w:b/>
                <w:bCs/>
                <w:sz w:val="21"/>
                <w:szCs w:val="21"/>
                <w:lang w:val="en-US" w:eastAsia="zh-CN"/>
              </w:rPr>
              <w:t>15</w:t>
            </w:r>
            <w:r>
              <w:rPr>
                <w:b/>
                <w:bCs/>
                <w:sz w:val="21"/>
                <w:szCs w:val="21"/>
              </w:rPr>
              <w:t>.0分)</w:t>
            </w:r>
          </w:p>
        </w:tc>
        <w:tc>
          <w:tcPr>
            <w:tcW w:w="4910" w:type="dxa"/>
          </w:tcPr>
          <w:p w14:paraId="23A0C473">
            <w:pPr>
              <w:contextualSpacing/>
              <w:rPr>
                <w:sz w:val="21"/>
                <w:szCs w:val="21"/>
              </w:rPr>
            </w:pPr>
            <w:r>
              <w:rPr>
                <w:rFonts w:hint="eastAsia"/>
                <w:sz w:val="21"/>
                <w:szCs w:val="21"/>
              </w:rPr>
              <w:t>根据</w:t>
            </w:r>
            <w:r>
              <w:rPr>
                <w:rFonts w:hint="eastAsia"/>
                <w:sz w:val="21"/>
                <w:szCs w:val="21"/>
                <w:lang w:eastAsia="zh-CN"/>
              </w:rPr>
              <w:t>招标文件</w:t>
            </w:r>
            <w:r>
              <w:rPr>
                <w:rFonts w:hint="eastAsia"/>
                <w:sz w:val="21"/>
                <w:szCs w:val="21"/>
              </w:rPr>
              <w:t>“第二部分技术服务内容、技术指标要求等:二、服务内容</w:t>
            </w:r>
            <w:r>
              <w:rPr>
                <w:rFonts w:hint="eastAsia"/>
                <w:b w:val="0"/>
                <w:bCs w:val="0"/>
                <w:sz w:val="21"/>
                <w:szCs w:val="21"/>
                <w:lang w:eastAsia="zh-CN"/>
              </w:rPr>
              <w:t>”</w:t>
            </w:r>
            <w:r>
              <w:rPr>
                <w:sz w:val="21"/>
                <w:szCs w:val="21"/>
              </w:rPr>
              <w:t>，对投标人提供的项目实施方案进行评分：</w:t>
            </w:r>
          </w:p>
          <w:p w14:paraId="25BC1002">
            <w:pPr>
              <w:contextualSpacing/>
              <w:rPr>
                <w:sz w:val="21"/>
                <w:szCs w:val="21"/>
              </w:rPr>
            </w:pPr>
            <w:r>
              <w:rPr>
                <w:rFonts w:hint="eastAsia"/>
                <w:sz w:val="21"/>
                <w:szCs w:val="21"/>
              </w:rPr>
              <w:t>（1）实验方案建立严谨、科学、规范、统一的标准操作流程，并提供制度及标准操作规程/作业指导书清单，拥有SPF级别屏障动物房和可容纳不少于采购需求要求的实验动物笼位</w:t>
            </w:r>
            <w:r>
              <w:rPr>
                <w:rFonts w:hint="eastAsia"/>
                <w:sz w:val="21"/>
                <w:szCs w:val="21"/>
                <w:lang w:eastAsia="zh-CN"/>
              </w:rPr>
              <w:t>，具备完善的下游CRO服务能力，能够覆盖项目所需的全部相关指标检测，</w:t>
            </w:r>
            <w:r>
              <w:rPr>
                <w:rFonts w:hint="eastAsia"/>
                <w:sz w:val="21"/>
                <w:szCs w:val="21"/>
              </w:rPr>
              <w:t>服务周期安排可操作性强，完全符合且优于项目要求，得</w:t>
            </w:r>
            <w:r>
              <w:rPr>
                <w:rFonts w:hint="eastAsia"/>
                <w:sz w:val="21"/>
                <w:szCs w:val="21"/>
                <w:lang w:val="en-US" w:eastAsia="zh-CN"/>
              </w:rPr>
              <w:t>15</w:t>
            </w:r>
            <w:r>
              <w:rPr>
                <w:rFonts w:hint="eastAsia"/>
                <w:sz w:val="21"/>
                <w:szCs w:val="21"/>
              </w:rPr>
              <w:t>分；</w:t>
            </w:r>
          </w:p>
          <w:p w14:paraId="65F78C2B">
            <w:pPr>
              <w:contextualSpacing/>
              <w:rPr>
                <w:sz w:val="21"/>
                <w:szCs w:val="21"/>
              </w:rPr>
            </w:pPr>
            <w:r>
              <w:rPr>
                <w:rFonts w:hint="eastAsia"/>
                <w:sz w:val="21"/>
                <w:szCs w:val="21"/>
              </w:rPr>
              <w:t>（2</w:t>
            </w:r>
            <w:r>
              <w:rPr>
                <w:rFonts w:hint="eastAsia"/>
                <w:sz w:val="21"/>
                <w:szCs w:val="21"/>
                <w:lang w:eastAsia="zh-CN"/>
              </w:rPr>
              <w:t>）</w:t>
            </w:r>
            <w:r>
              <w:rPr>
                <w:rFonts w:hint="eastAsia" w:ascii="Times New Roman" w:hAnsi="Times New Roman" w:eastAsia="仿宋_GB2312" w:cs="Times New Roman"/>
                <w:i w:val="0"/>
                <w:iCs w:val="0"/>
                <w:caps w:val="0"/>
                <w:spacing w:val="0"/>
                <w:sz w:val="21"/>
                <w:szCs w:val="21"/>
                <w:shd w:val="clear" w:fill="auto"/>
              </w:rPr>
              <w:t>实验方案建立的标准操作流程较为严谨、科学、规范、统一，能提供制度及标准操作规程 / 作业指导书清单，</w:t>
            </w:r>
            <w:r>
              <w:rPr>
                <w:rFonts w:hint="eastAsia" w:ascii="Times New Roman" w:hAnsi="Times New Roman" w:eastAsia="仿宋_GB2312" w:cs="Times New Roman"/>
                <w:i w:val="0"/>
                <w:iCs w:val="0"/>
                <w:caps w:val="0"/>
                <w:spacing w:val="0"/>
                <w:sz w:val="21"/>
                <w:szCs w:val="21"/>
                <w:shd w:val="clear"/>
              </w:rPr>
              <w:t>拥有SPF级别屏障动物房和可容纳</w:t>
            </w:r>
            <w:r>
              <w:rPr>
                <w:rFonts w:hint="eastAsia" w:cs="Times New Roman"/>
                <w:i w:val="0"/>
                <w:iCs w:val="0"/>
                <w:caps w:val="0"/>
                <w:spacing w:val="0"/>
                <w:sz w:val="21"/>
                <w:szCs w:val="21"/>
                <w:shd w:val="clear"/>
                <w:lang w:val="en-US" w:eastAsia="zh-CN"/>
              </w:rPr>
              <w:t>符合</w:t>
            </w:r>
            <w:r>
              <w:rPr>
                <w:rFonts w:hint="eastAsia" w:ascii="Times New Roman" w:hAnsi="Times New Roman" w:eastAsia="仿宋_GB2312" w:cs="Times New Roman"/>
                <w:i w:val="0"/>
                <w:iCs w:val="0"/>
                <w:caps w:val="0"/>
                <w:spacing w:val="0"/>
                <w:sz w:val="21"/>
                <w:szCs w:val="21"/>
                <w:shd w:val="clear"/>
              </w:rPr>
              <w:t>采购需求要求的实验动物笼位</w:t>
            </w:r>
            <w:r>
              <w:rPr>
                <w:rFonts w:hint="eastAsia" w:cs="Times New Roman"/>
                <w:i w:val="0"/>
                <w:iCs w:val="0"/>
                <w:caps w:val="0"/>
                <w:spacing w:val="0"/>
                <w:sz w:val="21"/>
                <w:szCs w:val="21"/>
                <w:shd w:val="clear"/>
                <w:lang w:eastAsia="zh-CN"/>
              </w:rPr>
              <w:t>，具备下游CRO服务能力，能够进行大部分相关指标的检测，但可能有少数指标需要借助外部合作完成，</w:t>
            </w:r>
            <w:r>
              <w:rPr>
                <w:rFonts w:hint="eastAsia" w:ascii="Times New Roman" w:hAnsi="Times New Roman" w:eastAsia="仿宋_GB2312" w:cs="Times New Roman"/>
                <w:i w:val="0"/>
                <w:iCs w:val="0"/>
                <w:caps w:val="0"/>
                <w:spacing w:val="0"/>
                <w:sz w:val="21"/>
                <w:szCs w:val="21"/>
                <w:shd w:val="clear" w:fill="auto"/>
              </w:rPr>
              <w:t>服务周期安排具有一定的可操作性，</w:t>
            </w:r>
            <w:r>
              <w:rPr>
                <w:rFonts w:hint="eastAsia" w:ascii="Times New Roman" w:hAnsi="Times New Roman" w:eastAsia="仿宋_GB2312" w:cs="Times New Roman"/>
                <w:i w:val="0"/>
                <w:iCs w:val="0"/>
                <w:caps w:val="0"/>
                <w:spacing w:val="0"/>
                <w:sz w:val="21"/>
                <w:szCs w:val="21"/>
                <w:shd w:val="clear" w:fill="auto"/>
                <w:lang w:val="en-US" w:eastAsia="zh-CN"/>
              </w:rPr>
              <w:t>完全符合</w:t>
            </w:r>
            <w:r>
              <w:rPr>
                <w:rFonts w:hint="eastAsia" w:ascii="Times New Roman" w:hAnsi="Times New Roman" w:eastAsia="仿宋_GB2312" w:cs="Times New Roman"/>
                <w:i w:val="0"/>
                <w:iCs w:val="0"/>
                <w:caps w:val="0"/>
                <w:spacing w:val="0"/>
                <w:sz w:val="21"/>
                <w:szCs w:val="21"/>
                <w:shd w:val="clear" w:fill="auto"/>
              </w:rPr>
              <w:t>项目要求</w:t>
            </w:r>
            <w:r>
              <w:rPr>
                <w:rFonts w:hint="eastAsia" w:ascii="Times New Roman" w:hAnsi="Times New Roman" w:eastAsia="仿宋_GB2312" w:cs="Times New Roman"/>
                <w:i w:val="0"/>
                <w:iCs w:val="0"/>
                <w:caps w:val="0"/>
                <w:spacing w:val="0"/>
                <w:sz w:val="21"/>
                <w:szCs w:val="21"/>
                <w:shd w:val="clear" w:fill="auto"/>
                <w:lang w:eastAsia="zh-CN"/>
              </w:rPr>
              <w:t>，</w:t>
            </w:r>
            <w:r>
              <w:rPr>
                <w:rFonts w:hint="eastAsia" w:ascii="Times New Roman" w:hAnsi="Times New Roman" w:eastAsia="仿宋_GB2312" w:cs="Times New Roman"/>
                <w:i w:val="0"/>
                <w:iCs w:val="0"/>
                <w:caps w:val="0"/>
                <w:spacing w:val="0"/>
                <w:sz w:val="21"/>
                <w:szCs w:val="21"/>
                <w:shd w:val="clear" w:fill="auto"/>
                <w:lang w:val="en-US" w:eastAsia="zh-CN"/>
              </w:rPr>
              <w:t>得</w:t>
            </w:r>
            <w:r>
              <w:rPr>
                <w:rFonts w:hint="eastAsia" w:cs="Times New Roman"/>
                <w:i w:val="0"/>
                <w:iCs w:val="0"/>
                <w:caps w:val="0"/>
                <w:spacing w:val="0"/>
                <w:sz w:val="21"/>
                <w:szCs w:val="21"/>
                <w:shd w:val="clear" w:fill="auto"/>
                <w:lang w:val="en-US" w:eastAsia="zh-CN"/>
              </w:rPr>
              <w:t>10</w:t>
            </w:r>
            <w:r>
              <w:rPr>
                <w:rFonts w:hint="eastAsia" w:ascii="Times New Roman" w:hAnsi="Times New Roman" w:eastAsia="仿宋_GB2312" w:cs="Times New Roman"/>
                <w:i w:val="0"/>
                <w:iCs w:val="0"/>
                <w:caps w:val="0"/>
                <w:spacing w:val="0"/>
                <w:sz w:val="21"/>
                <w:szCs w:val="21"/>
                <w:shd w:val="clear" w:fill="auto"/>
                <w:lang w:val="en-US" w:eastAsia="zh-CN"/>
              </w:rPr>
              <w:t>分</w:t>
            </w:r>
            <w:r>
              <w:rPr>
                <w:rFonts w:hint="eastAsia" w:ascii="Times New Roman" w:hAnsi="Times New Roman" w:eastAsia="仿宋_GB2312" w:cs="Times New Roman"/>
                <w:i w:val="0"/>
                <w:iCs w:val="0"/>
                <w:caps w:val="0"/>
                <w:spacing w:val="0"/>
                <w:sz w:val="21"/>
                <w:szCs w:val="21"/>
                <w:shd w:val="clear" w:fill="auto"/>
              </w:rPr>
              <w:t>。</w:t>
            </w:r>
            <w:r>
              <w:rPr>
                <w:rFonts w:hint="eastAsia"/>
                <w:sz w:val="21"/>
                <w:szCs w:val="21"/>
              </w:rPr>
              <w:t>；</w:t>
            </w:r>
          </w:p>
          <w:p w14:paraId="7852C966">
            <w:pPr>
              <w:contextualSpacing/>
              <w:rPr>
                <w:sz w:val="21"/>
                <w:szCs w:val="21"/>
              </w:rPr>
            </w:pPr>
            <w:r>
              <w:rPr>
                <w:rFonts w:hint="eastAsia"/>
                <w:sz w:val="21"/>
                <w:szCs w:val="21"/>
              </w:rPr>
              <w:t>（3）实验方案建立的标准操作流程不够严谨、科学、规范、统一，提供的制度及标准操作规程 / 作业指导书清单不够完善，拥有SPF级别屏障动物房和可容纳</w:t>
            </w:r>
            <w:r>
              <w:rPr>
                <w:rFonts w:hint="eastAsia"/>
                <w:sz w:val="21"/>
                <w:szCs w:val="21"/>
                <w:lang w:val="en-US" w:eastAsia="zh-CN"/>
              </w:rPr>
              <w:t>勉强满足</w:t>
            </w:r>
            <w:r>
              <w:rPr>
                <w:rFonts w:hint="eastAsia"/>
                <w:sz w:val="21"/>
                <w:szCs w:val="21"/>
              </w:rPr>
              <w:t>采购需求要求的实验动物笼位</w:t>
            </w:r>
            <w:r>
              <w:rPr>
                <w:rFonts w:hint="eastAsia"/>
                <w:sz w:val="21"/>
                <w:szCs w:val="21"/>
                <w:lang w:eastAsia="zh-CN"/>
              </w:rPr>
              <w:t>，</w:t>
            </w:r>
            <w:r>
              <w:rPr>
                <w:rFonts w:hint="eastAsia"/>
                <w:sz w:val="21"/>
                <w:szCs w:val="21"/>
              </w:rPr>
              <w:t>服务周期安排的可操作性一般</w:t>
            </w:r>
            <w:r>
              <w:rPr>
                <w:rFonts w:hint="eastAsia"/>
                <w:sz w:val="21"/>
                <w:szCs w:val="21"/>
                <w:lang w:eastAsia="zh-CN"/>
              </w:rPr>
              <w:t>，仅具备部分下游CRO服务能力，能够进行少数相关指标的检测，多数指标可能无法自行完成。</w:t>
            </w:r>
            <w:r>
              <w:rPr>
                <w:rFonts w:hint="eastAsia"/>
                <w:sz w:val="21"/>
                <w:szCs w:val="21"/>
              </w:rPr>
              <w:t>不完全符合项目要求，得</w:t>
            </w:r>
            <w:r>
              <w:rPr>
                <w:rFonts w:hint="eastAsia" w:cs="Times New Roman"/>
                <w:i w:val="0"/>
                <w:iCs w:val="0"/>
                <w:caps w:val="0"/>
                <w:spacing w:val="0"/>
                <w:sz w:val="21"/>
                <w:szCs w:val="21"/>
                <w:shd w:val="clear" w:fill="auto"/>
                <w:lang w:val="en-US" w:eastAsia="zh-CN"/>
              </w:rPr>
              <w:t>5</w:t>
            </w:r>
            <w:r>
              <w:rPr>
                <w:rFonts w:hint="eastAsia"/>
                <w:sz w:val="21"/>
                <w:szCs w:val="21"/>
              </w:rPr>
              <w:t>分；</w:t>
            </w:r>
          </w:p>
          <w:p w14:paraId="1320879D">
            <w:pPr>
              <w:contextualSpacing/>
              <w:rPr>
                <w:sz w:val="21"/>
                <w:szCs w:val="21"/>
              </w:rPr>
            </w:pPr>
            <w:r>
              <w:rPr>
                <w:rFonts w:hint="eastAsia"/>
                <w:sz w:val="21"/>
                <w:szCs w:val="21"/>
              </w:rPr>
              <w:t>（4）未提供方案或其他情况，不得分。</w:t>
            </w:r>
          </w:p>
        </w:tc>
      </w:tr>
      <w:tr w14:paraId="6984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Merge w:val="continue"/>
          </w:tcPr>
          <w:p w14:paraId="29513CA2">
            <w:pPr>
              <w:rPr>
                <w:sz w:val="21"/>
                <w:szCs w:val="21"/>
              </w:rPr>
            </w:pPr>
          </w:p>
        </w:tc>
        <w:tc>
          <w:tcPr>
            <w:tcW w:w="2465" w:type="dxa"/>
          </w:tcPr>
          <w:p w14:paraId="0E56770A">
            <w:pPr>
              <w:widowControl/>
              <w:contextualSpacing/>
              <w:rPr>
                <w:sz w:val="21"/>
                <w:szCs w:val="21"/>
              </w:rPr>
            </w:pPr>
            <w:r>
              <w:rPr>
                <w:b/>
                <w:bCs/>
                <w:sz w:val="21"/>
                <w:szCs w:val="21"/>
              </w:rPr>
              <w:t>质量保障措施 (10.0分)</w:t>
            </w:r>
          </w:p>
        </w:tc>
        <w:tc>
          <w:tcPr>
            <w:tcW w:w="4910" w:type="dxa"/>
          </w:tcPr>
          <w:p w14:paraId="715614B9">
            <w:pPr>
              <w:contextualSpacing/>
              <w:rPr>
                <w:rFonts w:hint="eastAsia"/>
                <w:sz w:val="21"/>
                <w:szCs w:val="21"/>
              </w:rPr>
            </w:pPr>
            <w:r>
              <w:rPr>
                <w:rFonts w:hint="eastAsia"/>
                <w:sz w:val="21"/>
                <w:szCs w:val="21"/>
              </w:rPr>
              <w:t>根据</w:t>
            </w:r>
            <w:r>
              <w:rPr>
                <w:rFonts w:hint="eastAsia"/>
                <w:sz w:val="21"/>
                <w:szCs w:val="21"/>
                <w:lang w:eastAsia="zh-CN"/>
              </w:rPr>
              <w:t>招标文件</w:t>
            </w:r>
            <w:r>
              <w:rPr>
                <w:rFonts w:hint="eastAsia"/>
                <w:sz w:val="21"/>
                <w:szCs w:val="21"/>
              </w:rPr>
              <w:t>“第二部分技术服务内容、技术指标要求等:</w:t>
            </w:r>
            <w:r>
              <w:rPr>
                <w:rFonts w:hint="eastAsia"/>
                <w:sz w:val="21"/>
                <w:szCs w:val="21"/>
                <w:lang w:val="en-US" w:eastAsia="zh-CN"/>
              </w:rPr>
              <w:t>三</w:t>
            </w:r>
            <w:r>
              <w:rPr>
                <w:rFonts w:hint="eastAsia"/>
                <w:sz w:val="21"/>
                <w:szCs w:val="21"/>
              </w:rPr>
              <w:t>、质量要求、技术标准</w:t>
            </w:r>
            <w:r>
              <w:rPr>
                <w:rFonts w:hint="eastAsia"/>
                <w:b w:val="0"/>
                <w:bCs w:val="0"/>
                <w:sz w:val="21"/>
                <w:szCs w:val="21"/>
                <w:lang w:eastAsia="zh-CN"/>
              </w:rPr>
              <w:t>”</w:t>
            </w:r>
            <w:r>
              <w:rPr>
                <w:rFonts w:hint="eastAsia"/>
                <w:sz w:val="21"/>
                <w:szCs w:val="21"/>
              </w:rPr>
              <w:t>，对投标供应商对本项目提供的①免疫学研究的开展需要严格的无特定病原体（SPF）级的小鼠饲养与繁育</w:t>
            </w:r>
            <w:r>
              <w:rPr>
                <w:rFonts w:hint="eastAsia"/>
                <w:sz w:val="21"/>
                <w:szCs w:val="21"/>
                <w:lang w:val="en-US" w:eastAsia="zh-CN"/>
              </w:rPr>
              <w:t>的</w:t>
            </w:r>
            <w:r>
              <w:rPr>
                <w:rFonts w:hint="eastAsia"/>
                <w:sz w:val="21"/>
                <w:szCs w:val="21"/>
              </w:rPr>
              <w:t>环境设施；②保障动物的质量和屏障洁净</w:t>
            </w:r>
            <w:r>
              <w:rPr>
                <w:rFonts w:hint="eastAsia"/>
                <w:sz w:val="21"/>
                <w:szCs w:val="21"/>
                <w:lang w:eastAsia="zh-CN"/>
              </w:rPr>
              <w:t>（</w:t>
            </w:r>
            <w:r>
              <w:rPr>
                <w:rFonts w:hint="eastAsia"/>
                <w:sz w:val="21"/>
                <w:szCs w:val="21"/>
              </w:rPr>
              <w:t>卫生与防疫及检测手段</w:t>
            </w:r>
            <w:r>
              <w:rPr>
                <w:rFonts w:hint="eastAsia"/>
                <w:sz w:val="21"/>
                <w:szCs w:val="21"/>
                <w:lang w:eastAsia="zh-CN"/>
              </w:rPr>
              <w:t>）</w:t>
            </w:r>
            <w:r>
              <w:rPr>
                <w:rFonts w:hint="eastAsia"/>
                <w:sz w:val="21"/>
                <w:szCs w:val="21"/>
              </w:rPr>
              <w:t>等方面进行评</w:t>
            </w:r>
            <w:r>
              <w:rPr>
                <w:rFonts w:hint="eastAsia"/>
                <w:sz w:val="21"/>
                <w:szCs w:val="21"/>
                <w:lang w:val="en-US" w:eastAsia="zh-CN"/>
              </w:rPr>
              <w:t>分</w:t>
            </w:r>
            <w:r>
              <w:rPr>
                <w:rFonts w:hint="eastAsia"/>
                <w:sz w:val="21"/>
                <w:szCs w:val="21"/>
              </w:rPr>
              <w:t>。</w:t>
            </w:r>
          </w:p>
          <w:p w14:paraId="44DD6CC1">
            <w:pPr>
              <w:contextualSpacing/>
              <w:rPr>
                <w:rFonts w:hint="eastAsia"/>
                <w:sz w:val="21"/>
                <w:szCs w:val="21"/>
              </w:rPr>
            </w:pPr>
            <w:r>
              <w:rPr>
                <w:rFonts w:hint="eastAsia"/>
                <w:sz w:val="21"/>
                <w:szCs w:val="21"/>
              </w:rPr>
              <w:t>（1）方案的全面性、专业性优势突出，具体内容完整详实，可操作性强，项目实施安排科学合理，每项得</w:t>
            </w:r>
            <w:r>
              <w:rPr>
                <w:rFonts w:hint="eastAsia"/>
                <w:sz w:val="21"/>
                <w:szCs w:val="21"/>
                <w:lang w:val="en-US" w:eastAsia="zh-CN"/>
              </w:rPr>
              <w:t>5</w:t>
            </w:r>
            <w:r>
              <w:rPr>
                <w:rFonts w:hint="eastAsia"/>
                <w:sz w:val="21"/>
                <w:szCs w:val="21"/>
              </w:rPr>
              <w:t>分；</w:t>
            </w:r>
          </w:p>
          <w:p w14:paraId="151445DA">
            <w:pPr>
              <w:contextualSpacing/>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方案的全面性、专业性优势较为突出，具体内容尚可，可操作性较强，项目实施安排尚可，每项得</w:t>
            </w:r>
            <w:r>
              <w:rPr>
                <w:rFonts w:hint="eastAsia"/>
                <w:sz w:val="21"/>
                <w:szCs w:val="21"/>
                <w:lang w:val="en-US" w:eastAsia="zh-CN"/>
              </w:rPr>
              <w:t>3.5</w:t>
            </w:r>
            <w:r>
              <w:rPr>
                <w:rFonts w:hint="eastAsia"/>
                <w:sz w:val="21"/>
                <w:szCs w:val="21"/>
              </w:rPr>
              <w:t>分；</w:t>
            </w:r>
          </w:p>
          <w:p w14:paraId="75757063">
            <w:pPr>
              <w:contextualSpacing/>
              <w:rPr>
                <w:rFonts w:hint="eastAsia"/>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方案有欠缺，无专业性不强，每项得</w:t>
            </w:r>
            <w:r>
              <w:rPr>
                <w:rFonts w:hint="eastAsia"/>
                <w:sz w:val="21"/>
                <w:szCs w:val="21"/>
                <w:lang w:val="en-US" w:eastAsia="zh-CN"/>
              </w:rPr>
              <w:t>1.5</w:t>
            </w:r>
            <w:r>
              <w:rPr>
                <w:rFonts w:hint="eastAsia"/>
                <w:sz w:val="21"/>
                <w:szCs w:val="21"/>
              </w:rPr>
              <w:t>分；</w:t>
            </w:r>
          </w:p>
          <w:p w14:paraId="2EEE3B8E">
            <w:pPr>
              <w:contextualSpacing/>
              <w:rPr>
                <w:sz w:val="21"/>
                <w:szCs w:val="21"/>
              </w:rPr>
            </w:pPr>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共计2项，未提供不得分。</w:t>
            </w:r>
          </w:p>
        </w:tc>
      </w:tr>
      <w:tr w14:paraId="1C1F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Merge w:val="continue"/>
          </w:tcPr>
          <w:p w14:paraId="6189A948">
            <w:pPr>
              <w:rPr>
                <w:sz w:val="21"/>
                <w:szCs w:val="21"/>
              </w:rPr>
            </w:pPr>
          </w:p>
        </w:tc>
        <w:tc>
          <w:tcPr>
            <w:tcW w:w="2465" w:type="dxa"/>
          </w:tcPr>
          <w:p w14:paraId="443EEC03">
            <w:pPr>
              <w:widowControl/>
              <w:contextualSpacing/>
              <w:rPr>
                <w:sz w:val="21"/>
                <w:szCs w:val="21"/>
              </w:rPr>
            </w:pPr>
            <w:r>
              <w:rPr>
                <w:b/>
                <w:bCs/>
                <w:sz w:val="21"/>
                <w:szCs w:val="21"/>
              </w:rPr>
              <w:t>售后服务方案 (</w:t>
            </w:r>
            <w:r>
              <w:rPr>
                <w:rFonts w:hint="eastAsia"/>
                <w:b/>
                <w:bCs/>
                <w:sz w:val="21"/>
                <w:szCs w:val="21"/>
              </w:rPr>
              <w:t>10</w:t>
            </w:r>
            <w:r>
              <w:rPr>
                <w:b/>
                <w:bCs/>
                <w:sz w:val="21"/>
                <w:szCs w:val="21"/>
              </w:rPr>
              <w:t>.0分)</w:t>
            </w:r>
          </w:p>
        </w:tc>
        <w:tc>
          <w:tcPr>
            <w:tcW w:w="4910" w:type="dxa"/>
          </w:tcPr>
          <w:p w14:paraId="69E3F3D6">
            <w:pPr>
              <w:contextualSpacing/>
              <w:rPr>
                <w:sz w:val="21"/>
                <w:szCs w:val="21"/>
              </w:rPr>
            </w:pPr>
            <w:r>
              <w:rPr>
                <w:rFonts w:hint="eastAsia"/>
                <w:sz w:val="21"/>
                <w:szCs w:val="21"/>
              </w:rPr>
              <w:t>根据</w:t>
            </w:r>
            <w:r>
              <w:rPr>
                <w:rFonts w:hint="eastAsia"/>
                <w:sz w:val="21"/>
                <w:szCs w:val="21"/>
                <w:lang w:eastAsia="zh-CN"/>
              </w:rPr>
              <w:t>招标文件</w:t>
            </w:r>
            <w:r>
              <w:rPr>
                <w:rFonts w:hint="eastAsia"/>
                <w:sz w:val="21"/>
                <w:szCs w:val="21"/>
              </w:rPr>
              <w:t>“第二部分技术服务内容、技术指标要求等:</w:t>
            </w:r>
            <w:r>
              <w:rPr>
                <w:rFonts w:hint="eastAsia"/>
                <w:sz w:val="21"/>
                <w:szCs w:val="21"/>
                <w:lang w:val="en-US" w:eastAsia="zh-CN"/>
              </w:rPr>
              <w:t>三</w:t>
            </w:r>
            <w:r>
              <w:rPr>
                <w:rFonts w:hint="eastAsia"/>
                <w:sz w:val="21"/>
                <w:szCs w:val="21"/>
              </w:rPr>
              <w:t>、质量要求、技术标准</w:t>
            </w:r>
            <w:r>
              <w:rPr>
                <w:rFonts w:hint="eastAsia"/>
                <w:b w:val="0"/>
                <w:bCs w:val="0"/>
                <w:sz w:val="21"/>
                <w:szCs w:val="21"/>
                <w:lang w:eastAsia="zh-CN"/>
              </w:rPr>
              <w:t>”</w:t>
            </w:r>
            <w:r>
              <w:rPr>
                <w:sz w:val="21"/>
                <w:szCs w:val="21"/>
              </w:rPr>
              <w:t>，对投标人提供的售后服务方案进行评分：</w:t>
            </w:r>
          </w:p>
          <w:p w14:paraId="3503247E">
            <w:pPr>
              <w:contextualSpacing/>
              <w:rPr>
                <w:sz w:val="21"/>
                <w:szCs w:val="21"/>
              </w:rPr>
            </w:pPr>
            <w:r>
              <w:rPr>
                <w:rFonts w:hint="eastAsia"/>
                <w:sz w:val="21"/>
                <w:szCs w:val="21"/>
              </w:rPr>
              <w:t>（</w:t>
            </w:r>
            <w:r>
              <w:rPr>
                <w:sz w:val="21"/>
                <w:szCs w:val="21"/>
              </w:rPr>
              <w:t>1</w:t>
            </w:r>
            <w:r>
              <w:rPr>
                <w:rFonts w:hint="eastAsia"/>
                <w:sz w:val="21"/>
                <w:szCs w:val="21"/>
              </w:rPr>
              <w:t>）方案完整详细、针对性强、可行性高，完全符合且优于项目要求，得</w:t>
            </w:r>
            <w:r>
              <w:rPr>
                <w:sz w:val="21"/>
                <w:szCs w:val="21"/>
              </w:rPr>
              <w:t>10</w:t>
            </w:r>
            <w:r>
              <w:rPr>
                <w:rFonts w:hint="eastAsia"/>
                <w:sz w:val="21"/>
                <w:szCs w:val="21"/>
              </w:rPr>
              <w:t>分；</w:t>
            </w:r>
          </w:p>
          <w:p w14:paraId="26DF2028">
            <w:pPr>
              <w:contextualSpacing/>
              <w:rPr>
                <w:sz w:val="21"/>
                <w:szCs w:val="21"/>
              </w:rPr>
            </w:pPr>
            <w:r>
              <w:rPr>
                <w:rFonts w:hint="eastAsia"/>
                <w:sz w:val="21"/>
                <w:szCs w:val="21"/>
              </w:rPr>
              <w:t>（</w:t>
            </w:r>
            <w:r>
              <w:rPr>
                <w:sz w:val="21"/>
                <w:szCs w:val="21"/>
              </w:rPr>
              <w:t>2</w:t>
            </w:r>
            <w:r>
              <w:rPr>
                <w:rFonts w:hint="eastAsia"/>
                <w:sz w:val="21"/>
                <w:szCs w:val="21"/>
              </w:rPr>
              <w:t>）方案较完整详细、针对性较强、可行性较高，完全符合项目要求，得</w:t>
            </w:r>
            <w:r>
              <w:rPr>
                <w:sz w:val="21"/>
                <w:szCs w:val="21"/>
              </w:rPr>
              <w:t>7</w:t>
            </w:r>
            <w:r>
              <w:rPr>
                <w:rFonts w:hint="eastAsia"/>
                <w:sz w:val="21"/>
                <w:szCs w:val="21"/>
              </w:rPr>
              <w:t>分；</w:t>
            </w:r>
          </w:p>
          <w:p w14:paraId="3A372DEB">
            <w:pPr>
              <w:contextualSpacing/>
              <w:rPr>
                <w:sz w:val="21"/>
                <w:szCs w:val="21"/>
              </w:rPr>
            </w:pPr>
            <w:r>
              <w:rPr>
                <w:rFonts w:hint="eastAsia"/>
                <w:sz w:val="21"/>
                <w:szCs w:val="21"/>
              </w:rPr>
              <w:t>（</w:t>
            </w:r>
            <w:r>
              <w:rPr>
                <w:sz w:val="21"/>
                <w:szCs w:val="21"/>
              </w:rPr>
              <w:t>3</w:t>
            </w:r>
            <w:r>
              <w:rPr>
                <w:rFonts w:hint="eastAsia"/>
                <w:sz w:val="21"/>
                <w:szCs w:val="21"/>
              </w:rPr>
              <w:t>）方案完整性、针对性、可行性一般，不完全符合项目要求，得</w:t>
            </w:r>
            <w:r>
              <w:rPr>
                <w:sz w:val="21"/>
                <w:szCs w:val="21"/>
              </w:rPr>
              <w:t>3</w:t>
            </w:r>
            <w:r>
              <w:rPr>
                <w:rFonts w:hint="eastAsia"/>
                <w:sz w:val="21"/>
                <w:szCs w:val="21"/>
              </w:rPr>
              <w:t>分；</w:t>
            </w:r>
          </w:p>
          <w:p w14:paraId="66112057">
            <w:pPr>
              <w:contextualSpacing/>
              <w:rPr>
                <w:sz w:val="21"/>
                <w:szCs w:val="21"/>
              </w:rPr>
            </w:pPr>
            <w:r>
              <w:rPr>
                <w:rFonts w:hint="eastAsia"/>
                <w:sz w:val="21"/>
                <w:szCs w:val="21"/>
              </w:rPr>
              <w:t>（</w:t>
            </w:r>
            <w:r>
              <w:rPr>
                <w:sz w:val="21"/>
                <w:szCs w:val="21"/>
              </w:rPr>
              <w:t>4</w:t>
            </w:r>
            <w:r>
              <w:rPr>
                <w:rFonts w:hint="eastAsia"/>
                <w:sz w:val="21"/>
                <w:szCs w:val="21"/>
              </w:rPr>
              <w:t>）未提供方案或其他情况，不得分。</w:t>
            </w:r>
          </w:p>
        </w:tc>
      </w:tr>
      <w:tr w14:paraId="5A80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14:paraId="4ADD7E4D">
            <w:pPr>
              <w:rPr>
                <w:sz w:val="21"/>
                <w:szCs w:val="21"/>
              </w:rPr>
            </w:pPr>
          </w:p>
        </w:tc>
        <w:tc>
          <w:tcPr>
            <w:tcW w:w="2465" w:type="dxa"/>
          </w:tcPr>
          <w:p w14:paraId="61A32F53">
            <w:pPr>
              <w:widowControl/>
              <w:contextualSpacing/>
              <w:rPr>
                <w:sz w:val="21"/>
                <w:szCs w:val="21"/>
              </w:rPr>
            </w:pPr>
            <w:r>
              <w:rPr>
                <w:b/>
                <w:bCs/>
                <w:sz w:val="21"/>
                <w:szCs w:val="21"/>
              </w:rPr>
              <w:t>相关</w:t>
            </w:r>
            <w:r>
              <w:rPr>
                <w:rFonts w:hint="eastAsia"/>
                <w:b/>
                <w:bCs/>
                <w:sz w:val="21"/>
                <w:szCs w:val="21"/>
                <w:lang w:val="en-US" w:eastAsia="zh-CN"/>
              </w:rPr>
              <w:t>的检测报告</w:t>
            </w:r>
            <w:r>
              <w:rPr>
                <w:b/>
                <w:bCs/>
                <w:sz w:val="21"/>
                <w:szCs w:val="21"/>
              </w:rPr>
              <w:t>(</w:t>
            </w:r>
            <w:r>
              <w:rPr>
                <w:rFonts w:hint="eastAsia"/>
                <w:b/>
                <w:bCs/>
                <w:sz w:val="21"/>
                <w:szCs w:val="21"/>
                <w:lang w:val="en-US" w:eastAsia="zh-CN"/>
              </w:rPr>
              <w:t>10</w:t>
            </w:r>
            <w:r>
              <w:rPr>
                <w:b/>
                <w:bCs/>
                <w:sz w:val="21"/>
                <w:szCs w:val="21"/>
              </w:rPr>
              <w:t>.0分)</w:t>
            </w:r>
          </w:p>
        </w:tc>
        <w:tc>
          <w:tcPr>
            <w:tcW w:w="4910" w:type="dxa"/>
          </w:tcPr>
          <w:p w14:paraId="0D0532E3">
            <w:pPr>
              <w:contextualSpacing/>
              <w:rPr>
                <w:rFonts w:hint="default"/>
                <w:sz w:val="21"/>
                <w:szCs w:val="21"/>
                <w:lang w:val="en-US" w:eastAsia="zh-CN"/>
              </w:rPr>
            </w:pPr>
            <w:r>
              <w:rPr>
                <w:sz w:val="21"/>
                <w:szCs w:val="21"/>
              </w:rPr>
              <w:t>投标人</w:t>
            </w:r>
            <w:r>
              <w:rPr>
                <w:rFonts w:hint="eastAsia"/>
                <w:sz w:val="21"/>
                <w:szCs w:val="21"/>
              </w:rPr>
              <w:t>提供202</w:t>
            </w:r>
            <w:r>
              <w:rPr>
                <w:rFonts w:hint="eastAsia"/>
                <w:sz w:val="21"/>
                <w:szCs w:val="21"/>
                <w:lang w:val="en-US" w:eastAsia="zh-CN"/>
              </w:rPr>
              <w:t>5</w:t>
            </w:r>
            <w:r>
              <w:rPr>
                <w:rFonts w:hint="eastAsia"/>
                <w:sz w:val="21"/>
                <w:szCs w:val="21"/>
              </w:rPr>
              <w:t>年的实验动物第三方质量检测报告，内容应包括相应的国家标准要求的所有指标，每提供一个季度实验动物小鼠检测报告的得</w:t>
            </w:r>
            <w:r>
              <w:rPr>
                <w:rFonts w:hint="eastAsia"/>
                <w:sz w:val="21"/>
                <w:szCs w:val="21"/>
                <w:lang w:val="en-US" w:eastAsia="zh-CN"/>
              </w:rPr>
              <w:t>5分</w:t>
            </w:r>
            <w:r>
              <w:rPr>
                <w:rFonts w:hint="eastAsia"/>
                <w:sz w:val="21"/>
                <w:szCs w:val="21"/>
              </w:rPr>
              <w:t>，本项最多得</w:t>
            </w:r>
            <w:r>
              <w:rPr>
                <w:rFonts w:hint="eastAsia"/>
                <w:sz w:val="21"/>
                <w:szCs w:val="21"/>
                <w:lang w:val="en-US" w:eastAsia="zh-CN"/>
              </w:rPr>
              <w:t>10</w:t>
            </w:r>
            <w:r>
              <w:rPr>
                <w:rFonts w:hint="eastAsia"/>
                <w:sz w:val="21"/>
                <w:szCs w:val="21"/>
              </w:rPr>
              <w:t>分</w:t>
            </w:r>
            <w:r>
              <w:rPr>
                <w:rFonts w:hint="eastAsia"/>
                <w:sz w:val="21"/>
                <w:szCs w:val="21"/>
                <w:lang w:val="en-US" w:eastAsia="zh-CN"/>
              </w:rPr>
              <w:t>。</w:t>
            </w:r>
          </w:p>
        </w:tc>
      </w:tr>
      <w:tr w14:paraId="56D6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Merge w:val="restart"/>
          </w:tcPr>
          <w:p w14:paraId="4D032588">
            <w:pPr>
              <w:jc w:val="center"/>
              <w:rPr>
                <w:sz w:val="21"/>
                <w:szCs w:val="21"/>
              </w:rPr>
            </w:pPr>
            <w:r>
              <w:rPr>
                <w:b/>
                <w:bCs/>
                <w:sz w:val="21"/>
                <w:szCs w:val="21"/>
              </w:rPr>
              <w:t>商务部分</w:t>
            </w:r>
          </w:p>
        </w:tc>
        <w:tc>
          <w:tcPr>
            <w:tcW w:w="2465" w:type="dxa"/>
            <w:vAlign w:val="center"/>
          </w:tcPr>
          <w:p w14:paraId="39A1CADF">
            <w:pPr>
              <w:widowControl/>
              <w:spacing w:line="276" w:lineRule="auto"/>
              <w:jc w:val="center"/>
              <w:rPr>
                <w:sz w:val="21"/>
                <w:szCs w:val="21"/>
              </w:rPr>
            </w:pPr>
            <w:r>
              <w:rPr>
                <w:rFonts w:hint="eastAsia" w:ascii="宋体" w:hAnsi="宋体"/>
                <w:b/>
                <w:bCs/>
                <w:color w:val="0C0C0C"/>
                <w:sz w:val="21"/>
                <w:szCs w:val="21"/>
              </w:rPr>
              <w:t>业绩（10.0分）</w:t>
            </w:r>
          </w:p>
        </w:tc>
        <w:tc>
          <w:tcPr>
            <w:tcW w:w="4910" w:type="dxa"/>
            <w:vAlign w:val="center"/>
          </w:tcPr>
          <w:p w14:paraId="727343B6">
            <w:pPr>
              <w:contextualSpacing/>
              <w:rPr>
                <w:rFonts w:hint="eastAsia"/>
                <w:sz w:val="21"/>
                <w:szCs w:val="21"/>
              </w:rPr>
            </w:pPr>
            <w:r>
              <w:rPr>
                <w:rFonts w:hint="eastAsia"/>
                <w:sz w:val="21"/>
                <w:szCs w:val="21"/>
              </w:rPr>
              <w:t>投标人自202</w:t>
            </w:r>
            <w:r>
              <w:rPr>
                <w:rFonts w:hint="eastAsia"/>
                <w:sz w:val="21"/>
                <w:szCs w:val="21"/>
                <w:lang w:val="en-US" w:eastAsia="zh-CN"/>
              </w:rPr>
              <w:t>2</w:t>
            </w:r>
            <w:r>
              <w:rPr>
                <w:rFonts w:hint="eastAsia"/>
                <w:sz w:val="21"/>
                <w:szCs w:val="21"/>
              </w:rPr>
              <w:t>年</w:t>
            </w:r>
            <w:r>
              <w:rPr>
                <w:rFonts w:hint="eastAsia"/>
                <w:sz w:val="21"/>
                <w:szCs w:val="21"/>
                <w:lang w:val="en-US" w:eastAsia="zh-CN"/>
              </w:rPr>
              <w:t>7</w:t>
            </w:r>
            <w:r>
              <w:rPr>
                <w:rFonts w:hint="eastAsia"/>
                <w:sz w:val="21"/>
                <w:szCs w:val="21"/>
              </w:rPr>
              <w:t>月1日以来（以合同签订时间为准）同类项目业绩，每有一个有效的业绩合同得1分，本项最多得10分。</w:t>
            </w:r>
          </w:p>
          <w:p w14:paraId="7AF4060C">
            <w:pPr>
              <w:contextualSpacing/>
              <w:rPr>
                <w:rFonts w:hint="eastAsia"/>
                <w:sz w:val="21"/>
                <w:szCs w:val="21"/>
              </w:rPr>
            </w:pPr>
            <w:r>
              <w:rPr>
                <w:rFonts w:hint="eastAsia"/>
                <w:sz w:val="21"/>
                <w:szCs w:val="21"/>
              </w:rPr>
              <w:t>注：1.投标文件中应提供合同首页、服务标的（内容）页、合同双方盖章页等关键页复印件并加盖本单位公章，否则不予认可。</w:t>
            </w:r>
          </w:p>
          <w:p w14:paraId="2A3A033E">
            <w:pPr>
              <w:contextualSpacing/>
              <w:rPr>
                <w:sz w:val="21"/>
                <w:szCs w:val="21"/>
              </w:rPr>
            </w:pPr>
            <w:r>
              <w:rPr>
                <w:rFonts w:hint="eastAsia"/>
                <w:sz w:val="21"/>
                <w:szCs w:val="21"/>
              </w:rPr>
              <w:t>2.业绩合同日期以合同签署日期为准，未标明合同签署日期的，评标委员会有权不予认可。</w:t>
            </w:r>
          </w:p>
        </w:tc>
      </w:tr>
      <w:tr w14:paraId="6DD2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Merge w:val="continue"/>
          </w:tcPr>
          <w:p w14:paraId="606EEF04">
            <w:pPr>
              <w:jc w:val="center"/>
              <w:rPr>
                <w:sz w:val="21"/>
                <w:szCs w:val="21"/>
              </w:rPr>
            </w:pPr>
          </w:p>
        </w:tc>
        <w:tc>
          <w:tcPr>
            <w:tcW w:w="2465" w:type="dxa"/>
            <w:vAlign w:val="center"/>
          </w:tcPr>
          <w:p w14:paraId="69339D55">
            <w:pPr>
              <w:widowControl/>
              <w:spacing w:line="276" w:lineRule="auto"/>
              <w:jc w:val="center"/>
              <w:rPr>
                <w:color w:val="0000FF"/>
                <w:sz w:val="21"/>
                <w:szCs w:val="21"/>
              </w:rPr>
            </w:pPr>
            <w:r>
              <w:rPr>
                <w:rFonts w:hint="eastAsia" w:ascii="宋体" w:hAnsi="宋体"/>
                <w:b/>
                <w:bCs/>
                <w:color w:val="0C0C0C"/>
                <w:sz w:val="21"/>
                <w:szCs w:val="21"/>
              </w:rPr>
              <w:t>投标人认证 (</w:t>
            </w:r>
            <w:r>
              <w:rPr>
                <w:rFonts w:ascii="宋体" w:hAnsi="宋体"/>
                <w:b/>
                <w:bCs/>
                <w:color w:val="0C0C0C"/>
                <w:sz w:val="21"/>
                <w:szCs w:val="21"/>
              </w:rPr>
              <w:t>10</w:t>
            </w:r>
            <w:r>
              <w:rPr>
                <w:rFonts w:hint="eastAsia" w:ascii="宋体" w:hAnsi="宋体"/>
                <w:b/>
                <w:bCs/>
                <w:color w:val="0C0C0C"/>
                <w:sz w:val="21"/>
                <w:szCs w:val="21"/>
              </w:rPr>
              <w:t>.0分</w:t>
            </w:r>
            <w:r>
              <w:rPr>
                <w:rFonts w:ascii="宋体" w:hAnsi="宋体"/>
                <w:b/>
                <w:bCs/>
                <w:color w:val="0C0C0C"/>
                <w:sz w:val="21"/>
                <w:szCs w:val="21"/>
              </w:rPr>
              <w:t>)</w:t>
            </w:r>
          </w:p>
        </w:tc>
        <w:tc>
          <w:tcPr>
            <w:tcW w:w="4910" w:type="dxa"/>
            <w:vAlign w:val="center"/>
          </w:tcPr>
          <w:p w14:paraId="6E0F5DEB">
            <w:pPr>
              <w:contextualSpacing/>
              <w:rPr>
                <w:rFonts w:hint="eastAsia"/>
                <w:sz w:val="21"/>
                <w:szCs w:val="21"/>
              </w:rPr>
            </w:pPr>
            <w:r>
              <w:rPr>
                <w:rFonts w:hint="eastAsia"/>
                <w:sz w:val="21"/>
                <w:szCs w:val="21"/>
              </w:rPr>
              <w:t>(1)投标人具有AAALAC认证</w:t>
            </w:r>
            <w:r>
              <w:rPr>
                <w:rFonts w:hint="eastAsia"/>
                <w:sz w:val="21"/>
                <w:szCs w:val="21"/>
                <w:lang w:val="en-US" w:eastAsia="zh-CN"/>
              </w:rPr>
              <w:t>证书</w:t>
            </w:r>
            <w:r>
              <w:rPr>
                <w:rFonts w:hint="eastAsia"/>
                <w:sz w:val="21"/>
                <w:szCs w:val="21"/>
              </w:rPr>
              <w:t>，得6分；</w:t>
            </w:r>
          </w:p>
          <w:p w14:paraId="650C84A9">
            <w:pPr>
              <w:contextualSpacing/>
              <w:rPr>
                <w:rFonts w:hint="eastAsia"/>
                <w:sz w:val="21"/>
                <w:szCs w:val="21"/>
              </w:rPr>
            </w:pPr>
            <w:r>
              <w:rPr>
                <w:rFonts w:hint="eastAsia"/>
                <w:sz w:val="21"/>
                <w:szCs w:val="21"/>
              </w:rPr>
              <w:t>(2)投标人具有ISO9001管理体系认证证书，得</w:t>
            </w:r>
            <w:r>
              <w:rPr>
                <w:rFonts w:hint="eastAsia"/>
                <w:sz w:val="21"/>
                <w:szCs w:val="21"/>
                <w:lang w:val="en-US" w:eastAsia="zh-CN"/>
              </w:rPr>
              <w:t>4</w:t>
            </w:r>
            <w:r>
              <w:rPr>
                <w:rFonts w:hint="eastAsia"/>
                <w:sz w:val="21"/>
                <w:szCs w:val="21"/>
              </w:rPr>
              <w:t>分；</w:t>
            </w:r>
          </w:p>
          <w:p w14:paraId="5C7A27BA">
            <w:pPr>
              <w:contextualSpacing/>
              <w:rPr>
                <w:rFonts w:hint="eastAsia"/>
                <w:sz w:val="21"/>
                <w:szCs w:val="21"/>
                <w:lang w:val="en-US" w:eastAsia="zh-CN"/>
              </w:rPr>
            </w:pPr>
            <w:r>
              <w:rPr>
                <w:rFonts w:hint="eastAsia"/>
                <w:sz w:val="21"/>
                <w:szCs w:val="21"/>
                <w:lang w:val="en-US" w:eastAsia="zh-CN"/>
              </w:rPr>
              <w:t>(3)</w:t>
            </w:r>
            <w:r>
              <w:rPr>
                <w:rFonts w:hint="eastAsia"/>
                <w:sz w:val="21"/>
                <w:szCs w:val="21"/>
              </w:rPr>
              <w:t>投标人</w:t>
            </w:r>
            <w:r>
              <w:rPr>
                <w:rFonts w:hint="eastAsia"/>
                <w:sz w:val="21"/>
                <w:szCs w:val="21"/>
                <w:lang w:val="en-US" w:eastAsia="zh-CN"/>
              </w:rPr>
              <w:t>同时</w:t>
            </w:r>
            <w:r>
              <w:rPr>
                <w:rFonts w:hint="eastAsia"/>
                <w:sz w:val="21"/>
                <w:szCs w:val="21"/>
              </w:rPr>
              <w:t>具有AAALAC认证</w:t>
            </w:r>
            <w:r>
              <w:rPr>
                <w:rFonts w:hint="eastAsia"/>
                <w:sz w:val="21"/>
                <w:szCs w:val="21"/>
                <w:lang w:val="en-US" w:eastAsia="zh-CN"/>
              </w:rPr>
              <w:t>和</w:t>
            </w:r>
            <w:r>
              <w:rPr>
                <w:rFonts w:hint="eastAsia"/>
                <w:sz w:val="21"/>
                <w:szCs w:val="21"/>
              </w:rPr>
              <w:t>ISO9001管理体系认证证书，得</w:t>
            </w:r>
            <w:r>
              <w:rPr>
                <w:rFonts w:hint="eastAsia"/>
                <w:sz w:val="21"/>
                <w:szCs w:val="21"/>
                <w:lang w:val="en-US" w:eastAsia="zh-CN"/>
              </w:rPr>
              <w:t>10</w:t>
            </w:r>
            <w:r>
              <w:rPr>
                <w:rFonts w:hint="eastAsia"/>
                <w:sz w:val="21"/>
                <w:szCs w:val="21"/>
              </w:rPr>
              <w:t>分</w:t>
            </w:r>
            <w:r>
              <w:rPr>
                <w:rFonts w:hint="eastAsia"/>
                <w:sz w:val="21"/>
                <w:szCs w:val="21"/>
                <w:lang w:eastAsia="zh-CN"/>
              </w:rPr>
              <w:t>。</w:t>
            </w:r>
          </w:p>
          <w:p w14:paraId="7FB1E80A">
            <w:pPr>
              <w:contextualSpacing/>
              <w:rPr>
                <w:rFonts w:hint="eastAsia"/>
                <w:sz w:val="21"/>
                <w:szCs w:val="21"/>
              </w:rPr>
            </w:pPr>
            <w:r>
              <w:rPr>
                <w:rFonts w:hint="eastAsia"/>
                <w:sz w:val="21"/>
                <w:szCs w:val="21"/>
              </w:rPr>
              <w:t>注：提供相关证书扫描件。</w:t>
            </w:r>
          </w:p>
        </w:tc>
      </w:tr>
      <w:tr w14:paraId="1A8E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Merge w:val="continue"/>
          </w:tcPr>
          <w:p w14:paraId="3C7BDD0E">
            <w:pPr>
              <w:rPr>
                <w:sz w:val="21"/>
                <w:szCs w:val="21"/>
              </w:rPr>
            </w:pPr>
          </w:p>
        </w:tc>
        <w:tc>
          <w:tcPr>
            <w:tcW w:w="2465" w:type="dxa"/>
            <w:vAlign w:val="center"/>
          </w:tcPr>
          <w:p w14:paraId="24EC62E3">
            <w:pPr>
              <w:widowControl/>
              <w:spacing w:line="276" w:lineRule="auto"/>
              <w:jc w:val="center"/>
              <w:rPr>
                <w:sz w:val="21"/>
                <w:szCs w:val="21"/>
              </w:rPr>
            </w:pPr>
            <w:r>
              <w:rPr>
                <w:rFonts w:hint="eastAsia" w:ascii="宋体" w:hAnsi="宋体"/>
                <w:b/>
                <w:bCs/>
                <w:color w:val="0C0C0C"/>
                <w:sz w:val="21"/>
                <w:szCs w:val="21"/>
              </w:rPr>
              <w:t>成果产出能力 (10.0分</w:t>
            </w:r>
            <w:r>
              <w:rPr>
                <w:rFonts w:ascii="宋体" w:hAnsi="宋体"/>
                <w:b/>
                <w:bCs/>
                <w:color w:val="0C0C0C"/>
                <w:sz w:val="21"/>
                <w:szCs w:val="21"/>
              </w:rPr>
              <w:t xml:space="preserve">) </w:t>
            </w:r>
          </w:p>
        </w:tc>
        <w:tc>
          <w:tcPr>
            <w:tcW w:w="4910" w:type="dxa"/>
            <w:vAlign w:val="center"/>
          </w:tcPr>
          <w:p w14:paraId="66CC0423">
            <w:pPr>
              <w:contextualSpacing/>
              <w:rPr>
                <w:rFonts w:hint="eastAsia"/>
                <w:sz w:val="21"/>
                <w:szCs w:val="21"/>
                <w:lang w:eastAsia="zh-CN"/>
              </w:rPr>
            </w:pPr>
            <w:r>
              <w:rPr>
                <w:rFonts w:hint="eastAsia"/>
                <w:sz w:val="21"/>
                <w:szCs w:val="21"/>
              </w:rPr>
              <w:t>投标人</w:t>
            </w:r>
            <w:r>
              <w:rPr>
                <w:rFonts w:hint="eastAsia"/>
                <w:sz w:val="21"/>
                <w:szCs w:val="21"/>
                <w:lang w:val="en-US" w:eastAsia="zh-CN"/>
              </w:rPr>
              <w:t>根据与大学、实验室合作情况，支持客户发表与项目相关的国际文章情况进行综合评审，每提供一个得1分，完全满足项目需求得满分10分，</w:t>
            </w:r>
            <w:r>
              <w:rPr>
                <w:rFonts w:hint="eastAsia"/>
                <w:sz w:val="21"/>
                <w:szCs w:val="21"/>
              </w:rPr>
              <w:t>未提供不得分</w:t>
            </w:r>
            <w:r>
              <w:rPr>
                <w:rFonts w:hint="eastAsia"/>
                <w:sz w:val="21"/>
                <w:szCs w:val="21"/>
                <w:lang w:eastAsia="zh-CN"/>
              </w:rPr>
              <w:t>。</w:t>
            </w:r>
          </w:p>
          <w:p w14:paraId="3456BB37">
            <w:pPr>
              <w:contextualSpacing/>
              <w:rPr>
                <w:rFonts w:hint="eastAsia"/>
                <w:sz w:val="21"/>
                <w:szCs w:val="21"/>
                <w:lang w:eastAsia="zh-CN"/>
              </w:rPr>
            </w:pPr>
            <w:r>
              <w:rPr>
                <w:rFonts w:hint="eastAsia"/>
                <w:sz w:val="21"/>
                <w:szCs w:val="21"/>
              </w:rPr>
              <w:t>注：（1）投标人需提供以下证明材料之一</w:t>
            </w:r>
            <w:r>
              <w:rPr>
                <w:rFonts w:hint="eastAsia"/>
                <w:sz w:val="21"/>
                <w:szCs w:val="21"/>
                <w:lang w:eastAsia="zh-CN"/>
              </w:rPr>
              <w:t>：</w:t>
            </w:r>
          </w:p>
          <w:p w14:paraId="4B3246C3">
            <w:pPr>
              <w:contextualSpacing/>
              <w:rPr>
                <w:rFonts w:hint="eastAsia"/>
                <w:sz w:val="21"/>
                <w:szCs w:val="21"/>
              </w:rPr>
            </w:pPr>
            <w:r>
              <w:rPr>
                <w:rFonts w:hint="eastAsia"/>
                <w:sz w:val="21"/>
                <w:szCs w:val="21"/>
                <w:lang w:val="en-US" w:eastAsia="zh-CN"/>
              </w:rPr>
              <w:t>①</w:t>
            </w:r>
            <w:r>
              <w:rPr>
                <w:rFonts w:hint="eastAsia"/>
                <w:sz w:val="21"/>
                <w:szCs w:val="21"/>
                <w:lang w:eastAsia="zh-CN"/>
              </w:rPr>
              <w:t>文章原文；</w:t>
            </w:r>
            <w:r>
              <w:rPr>
                <w:rFonts w:hint="eastAsia"/>
                <w:sz w:val="21"/>
                <w:szCs w:val="21"/>
                <w:lang w:val="en-US" w:eastAsia="zh-CN"/>
              </w:rPr>
              <w:t>②</w:t>
            </w:r>
            <w:r>
              <w:rPr>
                <w:rFonts w:hint="eastAsia"/>
                <w:sz w:val="21"/>
                <w:szCs w:val="21"/>
                <w:lang w:eastAsia="zh-CN"/>
              </w:rPr>
              <w:t>在Nature、Science、Cell或PNAS官网查询的截图；</w:t>
            </w:r>
            <w:r>
              <w:rPr>
                <w:rFonts w:hint="eastAsia"/>
                <w:sz w:val="21"/>
                <w:szCs w:val="21"/>
                <w:lang w:val="en-US" w:eastAsia="zh-CN"/>
              </w:rPr>
              <w:t>③</w:t>
            </w:r>
            <w:r>
              <w:rPr>
                <w:rFonts w:hint="eastAsia"/>
                <w:sz w:val="21"/>
                <w:szCs w:val="21"/>
                <w:lang w:eastAsia="zh-CN"/>
              </w:rPr>
              <w:t>所在期刊的封面、具体刊号，以及发表文章的首页。证明材料须体现投标单位公司名称。</w:t>
            </w:r>
          </w:p>
          <w:p w14:paraId="262B8971">
            <w:pPr>
              <w:contextualSpacing/>
              <w:rPr>
                <w:rFonts w:hint="eastAsia"/>
                <w:sz w:val="21"/>
                <w:szCs w:val="21"/>
              </w:rPr>
            </w:pPr>
            <w:r>
              <w:rPr>
                <w:rFonts w:hint="eastAsia"/>
                <w:sz w:val="21"/>
                <w:szCs w:val="21"/>
              </w:rPr>
              <w:t>（2）不</w:t>
            </w:r>
            <w:r>
              <w:rPr>
                <w:rFonts w:hint="eastAsia"/>
                <w:sz w:val="21"/>
                <w:szCs w:val="21"/>
                <w:lang w:val="en-US" w:eastAsia="zh-CN"/>
              </w:rPr>
              <w:t>符合</w:t>
            </w:r>
            <w:r>
              <w:rPr>
                <w:rFonts w:hint="eastAsia"/>
                <w:sz w:val="21"/>
                <w:szCs w:val="21"/>
              </w:rPr>
              <w:t>（1）规定的文章，不予计分。</w:t>
            </w:r>
          </w:p>
        </w:tc>
      </w:tr>
      <w:tr w14:paraId="565A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Merge w:val="continue"/>
          </w:tcPr>
          <w:p w14:paraId="31FA5DDB">
            <w:pPr>
              <w:rPr>
                <w:sz w:val="21"/>
                <w:szCs w:val="21"/>
              </w:rPr>
            </w:pPr>
          </w:p>
        </w:tc>
        <w:tc>
          <w:tcPr>
            <w:tcW w:w="2465" w:type="dxa"/>
            <w:vAlign w:val="center"/>
          </w:tcPr>
          <w:p w14:paraId="16ED24B0">
            <w:pPr>
              <w:widowControl/>
              <w:spacing w:line="276" w:lineRule="auto"/>
              <w:jc w:val="center"/>
              <w:rPr>
                <w:sz w:val="21"/>
                <w:szCs w:val="21"/>
              </w:rPr>
            </w:pPr>
            <w:r>
              <w:rPr>
                <w:rFonts w:hint="eastAsia" w:ascii="宋体" w:hAnsi="宋体"/>
                <w:b/>
                <w:bCs/>
                <w:color w:val="0C0C0C"/>
                <w:sz w:val="21"/>
                <w:szCs w:val="21"/>
              </w:rPr>
              <w:t>服务经验 (5.0分</w:t>
            </w:r>
            <w:r>
              <w:rPr>
                <w:rFonts w:ascii="宋体" w:hAnsi="宋体"/>
                <w:b/>
                <w:bCs/>
                <w:color w:val="0C0C0C"/>
                <w:sz w:val="21"/>
                <w:szCs w:val="21"/>
              </w:rPr>
              <w:t xml:space="preserve">) </w:t>
            </w:r>
          </w:p>
        </w:tc>
        <w:tc>
          <w:tcPr>
            <w:tcW w:w="4910" w:type="dxa"/>
            <w:vAlign w:val="center"/>
          </w:tcPr>
          <w:p w14:paraId="5B71DB49">
            <w:pPr>
              <w:contextualSpacing/>
              <w:rPr>
                <w:rFonts w:hint="eastAsia"/>
                <w:sz w:val="21"/>
                <w:szCs w:val="21"/>
              </w:rPr>
            </w:pPr>
            <w:r>
              <w:rPr>
                <w:rFonts w:hint="eastAsia"/>
                <w:sz w:val="21"/>
                <w:szCs w:val="21"/>
              </w:rPr>
              <w:t>从条件性基因敲除小鼠模型构建及饲养造模服务的整个流程，投标人提供可独立完成的承诺函，得5分，未提供以上内容承诺函的不得分。</w:t>
            </w:r>
          </w:p>
        </w:tc>
      </w:tr>
      <w:tr w14:paraId="5876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tcPr>
          <w:p w14:paraId="2BD629E8">
            <w:pPr>
              <w:jc w:val="center"/>
              <w:rPr>
                <w:sz w:val="21"/>
                <w:szCs w:val="21"/>
              </w:rPr>
            </w:pPr>
            <w:r>
              <w:rPr>
                <w:b/>
                <w:bCs/>
                <w:sz w:val="21"/>
                <w:szCs w:val="21"/>
              </w:rPr>
              <w:t>投标报价</w:t>
            </w:r>
          </w:p>
        </w:tc>
        <w:tc>
          <w:tcPr>
            <w:tcW w:w="2465" w:type="dxa"/>
          </w:tcPr>
          <w:p w14:paraId="2F28AB9E">
            <w:pPr>
              <w:jc w:val="left"/>
              <w:rPr>
                <w:sz w:val="21"/>
                <w:szCs w:val="21"/>
              </w:rPr>
            </w:pPr>
            <w:r>
              <w:rPr>
                <w:b/>
                <w:bCs/>
                <w:sz w:val="21"/>
                <w:szCs w:val="21"/>
              </w:rPr>
              <w:t>投标报价得分 (</w:t>
            </w:r>
            <w:r>
              <w:rPr>
                <w:rFonts w:hint="eastAsia"/>
                <w:b/>
                <w:bCs/>
                <w:sz w:val="21"/>
                <w:szCs w:val="21"/>
                <w:lang w:val="en-US" w:eastAsia="zh-CN"/>
              </w:rPr>
              <w:t>20.0</w:t>
            </w:r>
            <w:r>
              <w:rPr>
                <w:b/>
                <w:bCs/>
                <w:sz w:val="21"/>
                <w:szCs w:val="21"/>
              </w:rPr>
              <w:t>分)</w:t>
            </w:r>
          </w:p>
        </w:tc>
        <w:tc>
          <w:tcPr>
            <w:tcW w:w="4910" w:type="dxa"/>
          </w:tcPr>
          <w:p w14:paraId="52F11F37">
            <w:pPr>
              <w:contextualSpacing/>
              <w:rPr>
                <w:rFonts w:hint="eastAsia"/>
                <w:sz w:val="21"/>
                <w:szCs w:val="21"/>
              </w:rPr>
            </w:pPr>
            <w:r>
              <w:rPr>
                <w:rFonts w:hint="eastAsia"/>
                <w:sz w:val="21"/>
                <w:szCs w:val="21"/>
              </w:rPr>
              <w:t>投标报价得分＝（评标基准价/投标报价）×价格分值【注：满足招标文件要求且投标价格最低的投标报价为评标基准价。】最低报价不是中标的唯一依据。</w:t>
            </w:r>
          </w:p>
        </w:tc>
      </w:tr>
    </w:tbl>
    <w:p w14:paraId="637CD064">
      <w:pPr>
        <w:pStyle w:val="17"/>
        <w:tabs>
          <w:tab w:val="left" w:pos="-166"/>
        </w:tabs>
        <w:kinsoku w:val="0"/>
        <w:wordWrap w:val="0"/>
        <w:topLinePunct/>
        <w:ind w:left="0" w:leftChars="0" w:firstLine="524" w:firstLineChars="200"/>
        <w:rPr>
          <w:rFonts w:hint="eastAsia" w:ascii="仿宋" w:hAnsi="仿宋" w:eastAsia="仿宋" w:cs="仿宋"/>
          <w:sz w:val="21"/>
          <w:szCs w:val="21"/>
        </w:rPr>
      </w:pPr>
    </w:p>
    <w:p w14:paraId="0E0BFC64">
      <w:pPr>
        <w:kinsoku w:val="0"/>
        <w:wordWrap w:val="0"/>
        <w:topLinePunct/>
        <w:rPr>
          <w:rFonts w:hint="eastAsia" w:ascii="仿宋" w:hAnsi="仿宋" w:eastAsia="仿宋" w:cs="仿宋"/>
          <w:b/>
          <w:sz w:val="21"/>
        </w:rPr>
      </w:pPr>
    </w:p>
    <w:p w14:paraId="5F978B80">
      <w:pPr>
        <w:kinsoku w:val="0"/>
        <w:wordWrap w:val="0"/>
        <w:topLinePunct/>
        <w:rPr>
          <w:rFonts w:hint="eastAsia" w:ascii="仿宋" w:hAnsi="仿宋" w:eastAsia="仿宋" w:cs="仿宋"/>
          <w:b/>
          <w:sz w:val="21"/>
        </w:rPr>
      </w:pPr>
      <w:r>
        <w:rPr>
          <w:rFonts w:hint="eastAsia" w:ascii="仿宋" w:hAnsi="仿宋" w:eastAsia="仿宋" w:cs="仿宋"/>
          <w:b/>
          <w:sz w:val="21"/>
        </w:rPr>
        <w:t>六、开标、评标、定标</w:t>
      </w:r>
    </w:p>
    <w:p w14:paraId="7681CB3B">
      <w:pPr>
        <w:numPr>
          <w:ilvl w:val="0"/>
          <w:numId w:val="6"/>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招标人将组织公开开标,必要时通知投标人现场答辩。</w:t>
      </w:r>
    </w:p>
    <w:p w14:paraId="56A1CFC9">
      <w:pPr>
        <w:numPr>
          <w:ilvl w:val="0"/>
          <w:numId w:val="6"/>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招标人将仅对确认为符合招标文件要求的投标进行评价和比较。</w:t>
      </w:r>
    </w:p>
    <w:p w14:paraId="78E7FAE7">
      <w:pPr>
        <w:numPr>
          <w:ilvl w:val="0"/>
          <w:numId w:val="6"/>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合同将授予符合招标文件条件并对买方最为有利的投标人，招标人没有义务必须接受最低报价的投标。</w:t>
      </w:r>
    </w:p>
    <w:p w14:paraId="6926616C">
      <w:pPr>
        <w:numPr>
          <w:ilvl w:val="0"/>
          <w:numId w:val="6"/>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招标人有权在定标以前拒绝任何或全部投标，对由此造成对投标人的影响不负任何责任，同时对此不做任何解释。</w:t>
      </w:r>
    </w:p>
    <w:p w14:paraId="1CF326FD">
      <w:pPr>
        <w:numPr>
          <w:ilvl w:val="0"/>
          <w:numId w:val="6"/>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招标人可以接受投标货物中的任何一项、几项或全部，并有权在授予合同时改变订货的数量。</w:t>
      </w:r>
    </w:p>
    <w:p w14:paraId="0082FE2F">
      <w:pPr>
        <w:kinsoku w:val="0"/>
        <w:wordWrap w:val="0"/>
        <w:topLinePunct/>
        <w:ind w:left="851" w:hanging="851"/>
        <w:rPr>
          <w:rFonts w:hint="eastAsia" w:ascii="仿宋" w:hAnsi="仿宋" w:eastAsia="仿宋" w:cs="仿宋"/>
          <w:b/>
          <w:sz w:val="21"/>
        </w:rPr>
      </w:pPr>
      <w:r>
        <w:rPr>
          <w:rFonts w:hint="eastAsia" w:ascii="仿宋" w:hAnsi="仿宋" w:eastAsia="仿宋" w:cs="仿宋"/>
          <w:b/>
          <w:sz w:val="21"/>
        </w:rPr>
        <w:t>七、评标过程的保密性</w:t>
      </w:r>
    </w:p>
    <w:p w14:paraId="5C5A082B">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公开开标后，直至向中标的投标人授予合同时止，凡与审查、澄清、评价和比较投标有关的资料以及授标意见等，均不得向投标人及与评标无关的其他人透露。</w:t>
      </w:r>
    </w:p>
    <w:p w14:paraId="31C6F88B">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在评标过程中，如果投标人试图在投标文件审查、澄清、比较及授予合同方面向买方施加任何影响，其投标将被拒绝。</w:t>
      </w:r>
    </w:p>
    <w:p w14:paraId="3C5E95C1">
      <w:pPr>
        <w:kinsoku w:val="0"/>
        <w:wordWrap w:val="0"/>
        <w:topLinePunct/>
        <w:jc w:val="center"/>
        <w:rPr>
          <w:rFonts w:hint="eastAsia" w:ascii="仿宋" w:hAnsi="仿宋" w:eastAsia="仿宋" w:cs="仿宋"/>
          <w:b/>
          <w:sz w:val="32"/>
        </w:rPr>
      </w:pPr>
      <w:r>
        <w:rPr>
          <w:rFonts w:hint="eastAsia" w:ascii="仿宋" w:hAnsi="仿宋" w:eastAsia="仿宋" w:cs="仿宋"/>
          <w:b/>
          <w:sz w:val="32"/>
        </w:rPr>
        <w:t>第二部分  技术服务内容、技术指标要求等</w:t>
      </w:r>
    </w:p>
    <w:p w14:paraId="53519E95">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一．项目名称：汕头大学医学院条件性基因敲除小鼠模型构建及饲养造模服务招标项目</w:t>
      </w:r>
    </w:p>
    <w:p w14:paraId="23B42587">
      <w:pPr>
        <w:kinsoku w:val="0"/>
        <w:topLinePunct/>
        <w:ind w:firstLine="1048" w:firstLineChars="400"/>
        <w:rPr>
          <w:rFonts w:hint="eastAsia" w:ascii="仿宋" w:hAnsi="仿宋" w:eastAsia="仿宋" w:cs="仿宋"/>
          <w:bCs/>
          <w:sz w:val="21"/>
          <w:szCs w:val="21"/>
        </w:rPr>
      </w:pPr>
      <w:r>
        <w:rPr>
          <w:rFonts w:hint="eastAsia" w:ascii="仿宋" w:hAnsi="仿宋" w:eastAsia="仿宋" w:cs="仿宋"/>
          <w:bCs/>
          <w:sz w:val="21"/>
          <w:szCs w:val="21"/>
        </w:rPr>
        <w:t>总预算：1</w:t>
      </w:r>
      <w:r>
        <w:rPr>
          <w:rFonts w:hint="eastAsia" w:ascii="仿宋" w:hAnsi="仿宋" w:eastAsia="仿宋" w:cs="仿宋"/>
          <w:bCs/>
          <w:sz w:val="21"/>
          <w:szCs w:val="21"/>
          <w:lang w:val="en-US" w:eastAsia="zh-CN"/>
        </w:rPr>
        <w:t>47</w:t>
      </w:r>
      <w:r>
        <w:rPr>
          <w:rFonts w:hint="eastAsia" w:ascii="仿宋" w:hAnsi="仿宋" w:eastAsia="仿宋" w:cs="仿宋"/>
          <w:bCs/>
          <w:sz w:val="21"/>
          <w:szCs w:val="21"/>
        </w:rPr>
        <w:t>000元</w:t>
      </w:r>
    </w:p>
    <w:p w14:paraId="72445DE3">
      <w:pPr>
        <w:kinsoku w:val="0"/>
        <w:topLinePunct/>
        <w:ind w:left="996" w:leftChars="300"/>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本招标书中所提甲方特指需方（汕头大学医学院），乙方特指供方（潜在的中标单位）</w:t>
      </w:r>
    </w:p>
    <w:p w14:paraId="2B8C3B5A">
      <w:pPr>
        <w:spacing w:line="360" w:lineRule="auto"/>
        <w:outlineLvl w:val="1"/>
        <w:rPr>
          <w:b/>
          <w:bCs/>
          <w:sz w:val="21"/>
          <w:szCs w:val="21"/>
        </w:rPr>
      </w:pPr>
      <w:r>
        <w:rPr>
          <w:rFonts w:hint="eastAsia"/>
          <w:b/>
          <w:bCs/>
          <w:sz w:val="21"/>
          <w:szCs w:val="21"/>
        </w:rPr>
        <w:t>二．服务内容：</w:t>
      </w:r>
    </w:p>
    <w:p w14:paraId="69A38F0A">
      <w:pPr>
        <w:spacing w:line="360" w:lineRule="auto"/>
        <w:ind w:firstLine="524" w:firstLineChars="200"/>
        <w:rPr>
          <w:sz w:val="21"/>
          <w:szCs w:val="21"/>
        </w:rPr>
      </w:pPr>
      <w:r>
        <w:rPr>
          <w:rFonts w:hint="eastAsia"/>
          <w:sz w:val="21"/>
          <w:szCs w:val="21"/>
        </w:rPr>
        <w:t>1、提供条件性基因敲除小鼠模型：根据实验进展，需要在10个月内完成1个目的</w:t>
      </w:r>
      <w:r>
        <w:rPr>
          <w:rFonts w:hint="eastAsia" w:ascii="仿宋" w:hAnsi="仿宋" w:eastAsia="仿宋" w:cs="仿宋"/>
          <w:bCs/>
          <w:sz w:val="21"/>
          <w:szCs w:val="21"/>
        </w:rPr>
        <w:t>基因的小鼠模型构建，交付30只SPF级小鼠（</w:t>
      </w:r>
      <w:r>
        <w:rPr>
          <w:rFonts w:hint="eastAsia"/>
          <w:sz w:val="21"/>
          <w:szCs w:val="21"/>
        </w:rPr>
        <w:t>15只SPF级敲除纯合子小鼠以及15只对照小鼠</w:t>
      </w:r>
      <w:r>
        <w:rPr>
          <w:rFonts w:hint="eastAsia" w:ascii="仿宋" w:hAnsi="仿宋" w:eastAsia="仿宋" w:cs="仿宋"/>
          <w:bCs/>
          <w:sz w:val="21"/>
          <w:szCs w:val="21"/>
        </w:rPr>
        <w:t>）用于小鼠饲养造模服务</w:t>
      </w:r>
      <w:r>
        <w:rPr>
          <w:rFonts w:hint="eastAsia"/>
          <w:sz w:val="21"/>
          <w:szCs w:val="21"/>
        </w:rPr>
        <w:t>。同时提供条件性基因敲除小鼠模型鉴定报告和质量合格证。</w:t>
      </w:r>
    </w:p>
    <w:p w14:paraId="23DF1ABE">
      <w:pPr>
        <w:spacing w:line="360" w:lineRule="auto"/>
        <w:ind w:firstLine="524" w:firstLineChars="200"/>
        <w:rPr>
          <w:sz w:val="21"/>
          <w:szCs w:val="21"/>
        </w:rPr>
      </w:pPr>
      <w:r>
        <w:rPr>
          <w:rFonts w:hint="eastAsia"/>
          <w:sz w:val="21"/>
          <w:szCs w:val="21"/>
        </w:rPr>
        <w:t>2、提供小鼠饲养造模服务：体内诱导，指定饲料喂养至18 周龄交付小鼠和实验数据。</w:t>
      </w:r>
    </w:p>
    <w:p w14:paraId="24087DA5">
      <w:pPr>
        <w:spacing w:line="360" w:lineRule="auto"/>
        <w:ind w:firstLine="524" w:firstLineChars="200"/>
        <w:rPr>
          <w:sz w:val="21"/>
          <w:szCs w:val="21"/>
        </w:rPr>
      </w:pPr>
      <w:r>
        <w:rPr>
          <w:rFonts w:hint="eastAsia"/>
          <w:sz w:val="21"/>
          <w:szCs w:val="21"/>
        </w:rPr>
        <w:t>3、服务流程</w:t>
      </w:r>
    </w:p>
    <w:p w14:paraId="206F4CAB">
      <w:pPr>
        <w:spacing w:line="360" w:lineRule="auto"/>
        <w:ind w:firstLine="524" w:firstLineChars="200"/>
        <w:rPr>
          <w:sz w:val="21"/>
          <w:szCs w:val="21"/>
        </w:rPr>
      </w:pPr>
      <w:r>
        <w:rPr>
          <w:rFonts w:hint="eastAsia"/>
          <w:sz w:val="21"/>
          <w:szCs w:val="21"/>
        </w:rPr>
        <w:t>（1）确认靶基因信息：根据采购人提供的基因信息及实验要求，设计gRNA序列和打靶载体方案；</w:t>
      </w:r>
    </w:p>
    <w:p w14:paraId="7B047294">
      <w:pPr>
        <w:spacing w:line="360" w:lineRule="auto"/>
        <w:ind w:firstLine="524" w:firstLineChars="200"/>
        <w:rPr>
          <w:sz w:val="21"/>
          <w:szCs w:val="21"/>
        </w:rPr>
      </w:pPr>
      <w:r>
        <w:rPr>
          <w:rFonts w:hint="eastAsia"/>
          <w:sz w:val="21"/>
          <w:szCs w:val="21"/>
        </w:rPr>
        <w:t>（2）载体设计和构建&amp;gRNA和Cas9蛋白制备：利用In-Fusion技术构建靶向载体，通过酶切、PCR及测序对打靶载体进行验证；同时制备gRNA和Cas9蛋白得到Donor载体、gRNA后和Cas9蛋白共注射到受精卵。</w:t>
      </w:r>
    </w:p>
    <w:p w14:paraId="688BA2FF">
      <w:pPr>
        <w:spacing w:line="360" w:lineRule="auto"/>
        <w:ind w:firstLine="524" w:firstLineChars="200"/>
        <w:rPr>
          <w:sz w:val="21"/>
          <w:szCs w:val="21"/>
        </w:rPr>
      </w:pPr>
      <w:r>
        <w:rPr>
          <w:rFonts w:hint="eastAsia"/>
          <w:sz w:val="21"/>
          <w:szCs w:val="21"/>
        </w:rPr>
        <w:t>（3）显微注射、F0鼠鉴定：将显微注射后的受精卵送回到代孕鼠输卵管中；鼠出生后进行PCR和测序鉴定，获得阳性F0鼠。</w:t>
      </w:r>
    </w:p>
    <w:p w14:paraId="19931BC0">
      <w:pPr>
        <w:spacing w:line="360" w:lineRule="auto"/>
        <w:ind w:firstLine="524" w:firstLineChars="200"/>
        <w:rPr>
          <w:sz w:val="21"/>
          <w:szCs w:val="21"/>
        </w:rPr>
      </w:pPr>
      <w:r>
        <w:rPr>
          <w:rFonts w:hint="eastAsia"/>
          <w:sz w:val="21"/>
          <w:szCs w:val="21"/>
        </w:rPr>
        <w:t>（4）F1代繁殖与纯合子筛选：阳性F0鼠性成熟后分别与野生型鼠配繁1代，通过PCR鉴定确认F1阳性小鼠，F1阳性鼠和cre小鼠配繁获得敲除纯合子，提供15只SPF级敲除纯合子小鼠以及15只对照小鼠。</w:t>
      </w:r>
    </w:p>
    <w:p w14:paraId="45DAB582">
      <w:pPr>
        <w:spacing w:line="360" w:lineRule="auto"/>
        <w:ind w:firstLine="524" w:firstLineChars="200"/>
        <w:rPr>
          <w:sz w:val="21"/>
          <w:szCs w:val="21"/>
        </w:rPr>
      </w:pPr>
      <w:r>
        <w:rPr>
          <w:rFonts w:hint="eastAsia"/>
          <w:sz w:val="21"/>
          <w:szCs w:val="21"/>
        </w:rPr>
        <w:t>（5）将得到的纯合子小鼠在6 周龄接受为期 2 周的 Tamoxifen 注射，8 周龄于胸腔注射 AAV后，小鼠进行饲料诱导，为期 10 周，期间每周一次记录体重。指定饲料喂养至18 周龄交付小鼠和实验数据。</w:t>
      </w:r>
    </w:p>
    <w:p w14:paraId="25F78987">
      <w:pPr>
        <w:spacing w:line="360" w:lineRule="auto"/>
        <w:ind w:left="-664" w:leftChars="-200" w:firstLine="786" w:firstLineChars="300"/>
        <w:outlineLvl w:val="1"/>
        <w:rPr>
          <w:b/>
          <w:bCs/>
          <w:sz w:val="21"/>
          <w:szCs w:val="21"/>
        </w:rPr>
      </w:pPr>
      <w:r>
        <w:rPr>
          <w:rFonts w:hint="eastAsia"/>
          <w:b/>
          <w:bCs/>
          <w:sz w:val="21"/>
          <w:szCs w:val="21"/>
        </w:rPr>
        <w:t>三．质量要求、技术标准：</w:t>
      </w:r>
    </w:p>
    <w:p w14:paraId="23A6B8CB">
      <w:pPr>
        <w:spacing w:line="360" w:lineRule="auto"/>
        <w:ind w:left="-664" w:leftChars="-200" w:firstLine="786" w:firstLineChars="300"/>
        <w:outlineLvl w:val="1"/>
        <w:rPr>
          <w:sz w:val="21"/>
          <w:szCs w:val="21"/>
        </w:rPr>
      </w:pPr>
      <w:r>
        <w:rPr>
          <w:rFonts w:hint="eastAsia"/>
          <w:sz w:val="21"/>
          <w:szCs w:val="21"/>
        </w:rPr>
        <w:t>1、免疫学研究的开展需要严格的无特定病原体（SPF）级的小鼠饲养与繁育。</w:t>
      </w:r>
    </w:p>
    <w:p w14:paraId="2F03466F">
      <w:pPr>
        <w:spacing w:line="360" w:lineRule="auto"/>
        <w:ind w:left="-664" w:leftChars="-200" w:firstLine="786" w:firstLineChars="300"/>
        <w:outlineLvl w:val="1"/>
        <w:rPr>
          <w:sz w:val="21"/>
          <w:szCs w:val="21"/>
        </w:rPr>
      </w:pPr>
      <w:r>
        <w:rPr>
          <w:rFonts w:hint="eastAsia"/>
          <w:sz w:val="21"/>
          <w:szCs w:val="21"/>
        </w:rPr>
        <w:t>2、每个小鼠品种和品系都有各自的遗传特点，在实验小鼠生产、繁殖和应用过程中，必须保证符合规定的标准遗传组成。</w:t>
      </w:r>
    </w:p>
    <w:p w14:paraId="7FAAF18E">
      <w:pPr>
        <w:spacing w:line="360" w:lineRule="auto"/>
        <w:ind w:left="-664" w:leftChars="-200" w:firstLine="786" w:firstLineChars="300"/>
        <w:outlineLvl w:val="1"/>
        <w:rPr>
          <w:sz w:val="21"/>
          <w:szCs w:val="21"/>
        </w:rPr>
      </w:pPr>
      <w:r>
        <w:rPr>
          <w:rFonts w:hint="eastAsia"/>
          <w:sz w:val="21"/>
          <w:szCs w:val="21"/>
        </w:rPr>
        <w:t>3、必须有完善的培训体系和质量管理体系，对技术人员的操作严格要求，以保障动物的质量和屏障洁净达到要求。</w:t>
      </w:r>
    </w:p>
    <w:p w14:paraId="59AFA582">
      <w:pPr>
        <w:spacing w:line="360" w:lineRule="auto"/>
        <w:ind w:left="-664" w:leftChars="-200" w:firstLine="786" w:firstLineChars="300"/>
        <w:outlineLvl w:val="1"/>
        <w:rPr>
          <w:rFonts w:hint="eastAsia"/>
          <w:sz w:val="21"/>
          <w:szCs w:val="21"/>
        </w:rPr>
      </w:pPr>
      <w:r>
        <w:rPr>
          <w:rFonts w:hint="eastAsia"/>
          <w:sz w:val="21"/>
          <w:szCs w:val="21"/>
        </w:rPr>
        <w:t>4、专业的技术支持，辅助设计实验方案，提供及时的项目进展汇报。</w:t>
      </w:r>
    </w:p>
    <w:p w14:paraId="1CFFCC58">
      <w:pPr>
        <w:spacing w:line="360" w:lineRule="auto"/>
        <w:ind w:left="-664" w:leftChars="-200" w:firstLine="786" w:firstLineChars="300"/>
        <w:outlineLvl w:val="1"/>
        <w:rPr>
          <w:rFonts w:hint="eastAsia" w:eastAsia="仿宋_GB2312"/>
          <w:sz w:val="21"/>
          <w:szCs w:val="21"/>
          <w:lang w:val="en-US" w:eastAsia="zh-CN"/>
        </w:rPr>
      </w:pPr>
      <w:r>
        <w:rPr>
          <w:rFonts w:hint="eastAsia"/>
          <w:sz w:val="21"/>
          <w:szCs w:val="21"/>
          <w:lang w:val="en-US" w:eastAsia="zh-CN"/>
        </w:rPr>
        <w:t>5、</w:t>
      </w:r>
      <w:r>
        <w:rPr>
          <w:rFonts w:hint="eastAsia"/>
          <w:sz w:val="21"/>
          <w:szCs w:val="21"/>
        </w:rPr>
        <w:t>课题交付验收后可免费提供工作时间的售后服务和技术支持，免费进行疑难问题解答，并通过技术人员上门、往来信函、电话、传真、电子邮件等，解答客户遇到的各种技术问题。</w:t>
      </w:r>
    </w:p>
    <w:p w14:paraId="569A02B6">
      <w:pPr>
        <w:spacing w:line="360" w:lineRule="auto"/>
        <w:ind w:left="-664" w:leftChars="-200" w:firstLine="786" w:firstLineChars="300"/>
        <w:outlineLvl w:val="1"/>
        <w:rPr>
          <w:b/>
          <w:bCs/>
          <w:sz w:val="21"/>
          <w:szCs w:val="21"/>
        </w:rPr>
      </w:pPr>
      <w:r>
        <w:rPr>
          <w:rFonts w:hint="eastAsia"/>
          <w:b/>
          <w:bCs/>
          <w:sz w:val="21"/>
          <w:szCs w:val="21"/>
        </w:rPr>
        <w:t>四．验收方式、标准及提出异议期限：</w:t>
      </w:r>
    </w:p>
    <w:p w14:paraId="2BBB4258">
      <w:pPr>
        <w:spacing w:line="360" w:lineRule="auto"/>
        <w:ind w:firstLine="524" w:firstLineChars="200"/>
        <w:rPr>
          <w:sz w:val="21"/>
          <w:szCs w:val="21"/>
        </w:rPr>
      </w:pPr>
      <w:r>
        <w:rPr>
          <w:rFonts w:hint="eastAsia"/>
          <w:sz w:val="21"/>
          <w:szCs w:val="21"/>
        </w:rPr>
        <w:t>验收方式：专业运输车上门送达，免费运输。运输实验动物使用的转运工具和笼具，符合所运实验动物的微生物和环境质量控制标准，运输车及运输盒符合要求、温湿度达标、实时监控。同时提供项目基因型鉴定报告，实验记录数据。甲方在收到产品后如有异议，需在14个工作日内向乙方提出书面异议。</w:t>
      </w:r>
    </w:p>
    <w:p w14:paraId="1AC78723">
      <w:pPr>
        <w:numPr>
          <w:ilvl w:val="0"/>
          <w:numId w:val="8"/>
        </w:numPr>
        <w:spacing w:line="360" w:lineRule="auto"/>
        <w:ind w:left="524" w:leftChars="0" w:hanging="524" w:firstLineChars="0"/>
        <w:rPr>
          <w:rFonts w:hint="eastAsia"/>
          <w:b/>
          <w:bCs/>
          <w:sz w:val="21"/>
          <w:szCs w:val="21"/>
        </w:rPr>
      </w:pPr>
      <w:r>
        <w:rPr>
          <w:rFonts w:hint="eastAsia"/>
          <w:b/>
          <w:bCs/>
          <w:sz w:val="21"/>
          <w:szCs w:val="21"/>
        </w:rPr>
        <w:t>结算方式：</w:t>
      </w:r>
    </w:p>
    <w:p w14:paraId="6408B344">
      <w:pPr>
        <w:spacing w:line="360" w:lineRule="auto"/>
        <w:ind w:firstLine="524" w:firstLineChars="200"/>
        <w:rPr>
          <w:sz w:val="21"/>
          <w:szCs w:val="21"/>
        </w:rPr>
      </w:pPr>
      <w:r>
        <w:rPr>
          <w:rFonts w:hint="eastAsia"/>
          <w:sz w:val="21"/>
          <w:szCs w:val="21"/>
        </w:rPr>
        <w:t>在合同生效后</w:t>
      </w:r>
      <w:r>
        <w:rPr>
          <w:rFonts w:hint="eastAsia"/>
          <w:sz w:val="21"/>
          <w:szCs w:val="21"/>
          <w:lang w:val="en-US" w:eastAsia="zh-CN"/>
        </w:rPr>
        <w:t>30</w:t>
      </w:r>
      <w:r>
        <w:rPr>
          <w:rFonts w:hint="eastAsia"/>
          <w:sz w:val="21"/>
          <w:szCs w:val="21"/>
        </w:rPr>
        <w:t>个工作日内，甲方凭乙方开具的增值税专用发票向乙方支付合同总额</w:t>
      </w:r>
      <w:r>
        <w:rPr>
          <w:rFonts w:hint="eastAsia"/>
          <w:sz w:val="21"/>
          <w:szCs w:val="21"/>
          <w:lang w:val="en-US" w:eastAsia="zh-CN"/>
        </w:rPr>
        <w:t>30</w:t>
      </w:r>
      <w:r>
        <w:rPr>
          <w:rFonts w:hint="eastAsia"/>
          <w:sz w:val="21"/>
          <w:szCs w:val="21"/>
        </w:rPr>
        <w:t>%的款项，乙方完成信息分析工作后，向甲方提供结题报告，提交全部数据和分析报告。甲方确定无误后，凭乙方开具的增值税专用发票向乙方支付合同总额</w:t>
      </w:r>
      <w:r>
        <w:rPr>
          <w:rFonts w:hint="eastAsia"/>
          <w:sz w:val="21"/>
          <w:szCs w:val="21"/>
          <w:lang w:val="en-US" w:eastAsia="zh-CN"/>
        </w:rPr>
        <w:t>7</w:t>
      </w:r>
      <w:r>
        <w:rPr>
          <w:rFonts w:hint="eastAsia"/>
          <w:sz w:val="21"/>
          <w:szCs w:val="21"/>
        </w:rPr>
        <w:t>0%的剩余款项。</w:t>
      </w:r>
    </w:p>
    <w:p w14:paraId="2A824B89">
      <w:pPr>
        <w:spacing w:line="360" w:lineRule="auto"/>
        <w:rPr>
          <w:b/>
          <w:bCs/>
          <w:sz w:val="21"/>
          <w:szCs w:val="21"/>
        </w:rPr>
      </w:pPr>
      <w:r>
        <w:rPr>
          <w:rFonts w:hint="eastAsia"/>
          <w:b/>
          <w:bCs/>
          <w:sz w:val="21"/>
          <w:szCs w:val="21"/>
        </w:rPr>
        <w:t>六、违约责任：</w:t>
      </w:r>
    </w:p>
    <w:p w14:paraId="2CD7460F">
      <w:pPr>
        <w:spacing w:line="360" w:lineRule="auto"/>
        <w:ind w:firstLine="524" w:firstLineChars="200"/>
        <w:rPr>
          <w:rFonts w:hint="eastAsia" w:ascii="仿宋" w:hAnsi="仿宋" w:eastAsia="仿宋" w:cs="仿宋"/>
          <w:sz w:val="21"/>
          <w:szCs w:val="21"/>
        </w:rPr>
      </w:pPr>
      <w:r>
        <w:rPr>
          <w:rFonts w:hint="eastAsia" w:ascii="仿宋" w:hAnsi="仿宋" w:eastAsia="仿宋" w:cs="仿宋"/>
          <w:sz w:val="21"/>
          <w:szCs w:val="21"/>
        </w:rPr>
        <w:t>1、如“精子库/活体小鼠”阶段乙方无法获得阳性鼠 ，乙方承诺退还甲方已付的全部款项。</w:t>
      </w:r>
    </w:p>
    <w:p w14:paraId="6706B6B7">
      <w:pPr>
        <w:spacing w:line="360" w:lineRule="auto"/>
        <w:ind w:firstLine="524" w:firstLineChars="200"/>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、乙方如无正当理由提前终止合同 ，所收取费用及剩余实验材料应当全部退还给甲方。</w:t>
      </w:r>
    </w:p>
    <w:p w14:paraId="2802AF99">
      <w:pPr>
        <w:spacing w:line="360" w:lineRule="auto"/>
        <w:ind w:firstLine="524"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3、如因乙方过错导致项目超出服务期限，乙方应及时与甲方沟通，协商处理方式，并每日按合同总额1‰偿付违约金。</w:t>
      </w:r>
    </w:p>
    <w:p w14:paraId="698B53C0">
      <w:pPr>
        <w:spacing w:line="360" w:lineRule="auto"/>
        <w:ind w:firstLine="524"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4、如因乙方过错提供的项目成果不符合合同规定时，甲方有权拒收并要求乙方应重新免费提供服务。</w:t>
      </w:r>
    </w:p>
    <w:p w14:paraId="1A9B6400">
      <w:pPr>
        <w:spacing w:line="360" w:lineRule="auto"/>
        <w:ind w:firstLine="524"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5、若由于甲方单方面要求终止项目 ，则甲方应支付乙方已完成项目阶段的费用 ，乙方可将已完成阶段的项目成果交付给甲方。</w:t>
      </w:r>
    </w:p>
    <w:p w14:paraId="6F66111D">
      <w:pPr>
        <w:spacing w:line="360" w:lineRule="auto"/>
        <w:rPr>
          <w:b/>
          <w:bCs/>
          <w:sz w:val="21"/>
          <w:szCs w:val="21"/>
        </w:rPr>
      </w:pPr>
      <w:r>
        <w:rPr>
          <w:rFonts w:hint="eastAsia"/>
          <w:b/>
          <w:bCs/>
          <w:sz w:val="21"/>
          <w:szCs w:val="21"/>
        </w:rPr>
        <w:t>七、知识产权：</w:t>
      </w:r>
    </w:p>
    <w:p w14:paraId="6ACC2E35">
      <w:pPr>
        <w:spacing w:line="360" w:lineRule="auto"/>
        <w:ind w:firstLine="524" w:firstLineChars="200"/>
        <w:rPr>
          <w:sz w:val="21"/>
          <w:szCs w:val="21"/>
        </w:rPr>
      </w:pPr>
      <w:r>
        <w:rPr>
          <w:rFonts w:hint="eastAsia"/>
          <w:sz w:val="21"/>
          <w:szCs w:val="21"/>
        </w:rPr>
        <w:t>1、本委托项目下产生的技术服务成果为甲方所有，甲方拥有本委托项目下专利技术服务成果的专利申请权。</w:t>
      </w:r>
    </w:p>
    <w:p w14:paraId="0149CB9B">
      <w:pPr>
        <w:spacing w:line="360" w:lineRule="auto"/>
        <w:ind w:firstLine="524" w:firstLineChars="200"/>
        <w:rPr>
          <w:sz w:val="21"/>
          <w:szCs w:val="21"/>
        </w:rPr>
      </w:pPr>
      <w:r>
        <w:rPr>
          <w:rFonts w:hint="eastAsia"/>
          <w:sz w:val="21"/>
          <w:szCs w:val="21"/>
        </w:rPr>
        <w:t>2、本委托项目中所使用的属于甲方的知识产权，仍为甲方所有，甲方对这类知识产权的使用承担全部法律责任。甲方保证“甲方知识产权”不会侵犯任何第三方的知识产权。</w:t>
      </w:r>
    </w:p>
    <w:p w14:paraId="63FA84CB">
      <w:pPr>
        <w:spacing w:line="360" w:lineRule="auto"/>
        <w:ind w:firstLine="524" w:firstLineChars="200"/>
        <w:rPr>
          <w:sz w:val="21"/>
          <w:szCs w:val="21"/>
        </w:rPr>
      </w:pPr>
      <w:r>
        <w:rPr>
          <w:rFonts w:hint="eastAsia"/>
          <w:sz w:val="21"/>
          <w:szCs w:val="21"/>
        </w:rPr>
        <w:t>3、本委托项目中所使用的属于乙方的知识产权(包括不限于乙方独立开发的工具、方法、技术服务过程或数据、技术诀窍、工艺、软件、模版、程序、操作指南或其他知识产权)仍为乙方所有，乙方对这类知识产权的使用承担全部法律责任，乙方对乙方知识产权的任何改进、优化等仍归属乙方所有。乙方在此给予甲方一个有限许可，使甲方为科研目的、为实现本合同项目成果以不可转让、不可分许可之形式使用“乙方知识产权”。乙方保证“乙方知识产权”不会侵犯任何第三方的知识产权。</w:t>
      </w:r>
    </w:p>
    <w:p w14:paraId="04E60AE2">
      <w:pPr>
        <w:ind w:left="438" w:leftChars="132"/>
        <w:rPr>
          <w:rFonts w:hint="eastAsia" w:ascii="仿宋" w:hAnsi="仿宋" w:eastAsia="仿宋" w:cs="仿宋"/>
          <w:b/>
          <w:sz w:val="21"/>
          <w:szCs w:val="21"/>
        </w:rPr>
      </w:pPr>
      <w:r>
        <w:rPr>
          <w:rFonts w:hint="eastAsia" w:ascii="仿宋" w:hAnsi="仿宋" w:eastAsia="仿宋" w:cs="仿宋"/>
          <w:sz w:val="21"/>
          <w:szCs w:val="21"/>
        </w:rPr>
        <w:t xml:space="preserve">     </w:t>
      </w:r>
    </w:p>
    <w:p w14:paraId="0FF0D6CD">
      <w:pPr>
        <w:framePr w:hSpace="180" w:wrap="around" w:vAnchor="text" w:hAnchor="margin" w:y="605"/>
        <w:rPr>
          <w:rFonts w:hint="eastAsia" w:ascii="仿宋" w:hAnsi="仿宋" w:eastAsia="仿宋" w:cs="仿宋"/>
        </w:rPr>
      </w:pPr>
      <w:r>
        <w:rPr>
          <w:rFonts w:hint="eastAsia" w:ascii="仿宋" w:hAnsi="仿宋" w:eastAsia="仿宋" w:cs="仿宋"/>
          <w:sz w:val="24"/>
        </w:rPr>
        <w:t xml:space="preserve">   </w:t>
      </w:r>
    </w:p>
    <w:p w14:paraId="09B9E855">
      <w:pPr>
        <w:ind w:left="438" w:leftChars="132"/>
        <w:rPr>
          <w:rFonts w:hint="eastAsia"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14:paraId="01D59D6E">
      <w:pPr>
        <w:framePr w:hSpace="180" w:wrap="around" w:vAnchor="text" w:hAnchor="margin" w:y="605"/>
        <w:rPr>
          <w:rFonts w:hint="eastAsia" w:ascii="仿宋" w:hAnsi="仿宋" w:eastAsia="仿宋" w:cs="仿宋"/>
        </w:rPr>
      </w:pPr>
      <w:r>
        <w:rPr>
          <w:rFonts w:hint="eastAsia" w:ascii="仿宋" w:hAnsi="仿宋" w:eastAsia="仿宋" w:cs="仿宋"/>
          <w:sz w:val="24"/>
        </w:rPr>
        <w:t xml:space="preserve">   </w:t>
      </w:r>
    </w:p>
    <w:p w14:paraId="73823559">
      <w:pPr>
        <w:kinsoku w:val="0"/>
        <w:wordWrap w:val="0"/>
        <w:topLinePunct/>
        <w:spacing w:line="340" w:lineRule="exact"/>
        <w:jc w:val="both"/>
        <w:rPr>
          <w:rFonts w:hint="eastAsia" w:ascii="仿宋" w:hAnsi="仿宋" w:eastAsia="仿宋" w:cs="仿宋"/>
          <w:b/>
          <w:sz w:val="32"/>
        </w:rPr>
      </w:pPr>
    </w:p>
    <w:p w14:paraId="58058EB2">
      <w:pPr>
        <w:kinsoku w:val="0"/>
        <w:wordWrap w:val="0"/>
        <w:topLinePunct/>
        <w:spacing w:line="340" w:lineRule="exact"/>
        <w:jc w:val="center"/>
        <w:rPr>
          <w:rFonts w:hint="eastAsia" w:ascii="仿宋" w:hAnsi="仿宋" w:eastAsia="仿宋" w:cs="仿宋"/>
          <w:b/>
          <w:sz w:val="32"/>
        </w:rPr>
      </w:pPr>
    </w:p>
    <w:p w14:paraId="4E979F98">
      <w:pPr>
        <w:kinsoku w:val="0"/>
        <w:wordWrap w:val="0"/>
        <w:topLinePunct/>
        <w:spacing w:line="340" w:lineRule="exact"/>
        <w:jc w:val="center"/>
        <w:rPr>
          <w:rFonts w:hint="eastAsia" w:ascii="仿宋" w:hAnsi="仿宋" w:eastAsia="仿宋" w:cs="仿宋"/>
          <w:b/>
          <w:sz w:val="32"/>
        </w:rPr>
      </w:pPr>
      <w:r>
        <w:rPr>
          <w:rFonts w:hint="eastAsia" w:ascii="仿宋" w:hAnsi="仿宋" w:eastAsia="仿宋" w:cs="仿宋"/>
          <w:b/>
          <w:sz w:val="32"/>
        </w:rPr>
        <w:t xml:space="preserve">第三部分  </w:t>
      </w:r>
      <w:r>
        <w:rPr>
          <w:rFonts w:hint="eastAsia" w:ascii="仿宋" w:hAnsi="仿宋" w:eastAsia="仿宋" w:cs="仿宋"/>
          <w:b/>
          <w:sz w:val="32"/>
          <w:u w:val="single"/>
        </w:rPr>
        <w:t xml:space="preserve">       </w:t>
      </w:r>
      <w:r>
        <w:rPr>
          <w:rFonts w:hint="eastAsia" w:ascii="仿宋" w:hAnsi="仿宋" w:eastAsia="仿宋" w:cs="仿宋"/>
          <w:b/>
          <w:sz w:val="32"/>
        </w:rPr>
        <w:t>合同（参考样本）</w:t>
      </w:r>
    </w:p>
    <w:p w14:paraId="27A3C0EF">
      <w:pPr>
        <w:kinsoku w:val="0"/>
        <w:wordWrap w:val="0"/>
        <w:topLinePunct/>
        <w:spacing w:line="340" w:lineRule="exact"/>
        <w:jc w:val="right"/>
        <w:rPr>
          <w:rFonts w:hint="eastAsia" w:ascii="仿宋" w:hAnsi="仿宋" w:eastAsia="仿宋" w:cs="仿宋"/>
          <w:sz w:val="24"/>
        </w:rPr>
      </w:pPr>
      <w:r>
        <w:rPr>
          <w:rFonts w:hint="eastAsia" w:ascii="仿宋" w:hAnsi="仿宋" w:eastAsia="仿宋" w:cs="仿宋"/>
          <w:sz w:val="24"/>
        </w:rPr>
        <w:t xml:space="preserve">                                     合同编号：</w:t>
      </w:r>
      <w:r>
        <w:rPr>
          <w:rFonts w:hint="eastAsia" w:ascii="仿宋" w:hAnsi="仿宋" w:eastAsia="仿宋" w:cs="仿宋"/>
          <w:sz w:val="24"/>
          <w:u w:val="single"/>
        </w:rPr>
        <w:t xml:space="preserve">         </w:t>
      </w:r>
      <w:r>
        <w:rPr>
          <w:rFonts w:hint="eastAsia" w:ascii="仿宋" w:hAnsi="仿宋" w:eastAsia="仿宋" w:cs="仿宋"/>
          <w:sz w:val="24"/>
        </w:rPr>
        <w:t>.</w:t>
      </w:r>
    </w:p>
    <w:p w14:paraId="0B2EF420">
      <w:pPr>
        <w:kinsoku w:val="0"/>
        <w:wordWrap w:val="0"/>
        <w:topLinePunct/>
        <w:spacing w:line="340" w:lineRule="exact"/>
        <w:rPr>
          <w:rFonts w:hint="eastAsia" w:ascii="仿宋" w:hAnsi="仿宋" w:eastAsia="仿宋" w:cs="仿宋"/>
          <w:sz w:val="24"/>
        </w:rPr>
      </w:pPr>
    </w:p>
    <w:p w14:paraId="4C2ED1EE">
      <w:pPr>
        <w:kinsoku w:val="0"/>
        <w:wordWrap w:val="0"/>
        <w:topLinePunct/>
        <w:spacing w:line="340" w:lineRule="exact"/>
        <w:rPr>
          <w:rFonts w:hint="eastAsia" w:ascii="仿宋" w:hAnsi="仿宋" w:eastAsia="仿宋" w:cs="仿宋"/>
          <w:sz w:val="24"/>
        </w:rPr>
      </w:pPr>
      <w:r>
        <w:rPr>
          <w:rFonts w:hint="eastAsia" w:ascii="仿宋" w:hAnsi="仿宋" w:eastAsia="仿宋" w:cs="仿宋"/>
          <w:sz w:val="24"/>
        </w:rPr>
        <w:t>需  方（甲方）：                        签订地点：汕头大学医学院</w:t>
      </w:r>
    </w:p>
    <w:p w14:paraId="41FCBD41">
      <w:pPr>
        <w:kinsoku w:val="0"/>
        <w:wordWrap w:val="0"/>
        <w:topLinePunct/>
        <w:spacing w:line="340" w:lineRule="exact"/>
        <w:rPr>
          <w:rFonts w:hint="eastAsia" w:ascii="仿宋" w:hAnsi="仿宋" w:eastAsia="仿宋" w:cs="仿宋"/>
          <w:sz w:val="24"/>
        </w:rPr>
      </w:pPr>
      <w:r>
        <w:rPr>
          <w:rFonts w:hint="eastAsia" w:ascii="仿宋" w:hAnsi="仿宋" w:eastAsia="仿宋" w:cs="仿宋"/>
          <w:sz w:val="24"/>
        </w:rPr>
        <w:t xml:space="preserve">供  方（乙方）：                      </w:t>
      </w:r>
    </w:p>
    <w:p w14:paraId="7E569215">
      <w:pPr>
        <w:kinsoku w:val="0"/>
        <w:wordWrap w:val="0"/>
        <w:topLinePunct/>
        <w:spacing w:line="340" w:lineRule="exact"/>
        <w:rPr>
          <w:rFonts w:hint="eastAsia" w:ascii="仿宋" w:hAnsi="仿宋" w:eastAsia="仿宋" w:cs="仿宋"/>
          <w:sz w:val="24"/>
        </w:rPr>
      </w:pPr>
    </w:p>
    <w:p w14:paraId="4DA11E6B">
      <w:pPr>
        <w:kinsoku w:val="0"/>
        <w:wordWrap w:val="0"/>
        <w:topLinePunct/>
        <w:spacing w:line="340" w:lineRule="exact"/>
        <w:rPr>
          <w:rFonts w:hint="eastAsia" w:ascii="仿宋" w:hAnsi="仿宋" w:eastAsia="仿宋" w:cs="仿宋"/>
          <w:sz w:val="21"/>
        </w:rPr>
      </w:pPr>
      <w:r>
        <w:rPr>
          <w:rFonts w:hint="eastAsia" w:ascii="仿宋" w:hAnsi="仿宋" w:eastAsia="仿宋" w:cs="仿宋"/>
          <w:sz w:val="24"/>
        </w:rPr>
        <w:t xml:space="preserve">    </w:t>
      </w:r>
      <w:r>
        <w:rPr>
          <w:rFonts w:hint="eastAsia" w:ascii="仿宋" w:hAnsi="仿宋" w:eastAsia="仿宋" w:cs="仿宋"/>
          <w:sz w:val="21"/>
        </w:rPr>
        <w:t>根据《中华人民共和国民法典》及</w:t>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t>______年__月__日汕头大学医学院“</w:t>
      </w:r>
      <w:r>
        <w:rPr>
          <w:rFonts w:hint="eastAsia" w:ascii="仿宋" w:hAnsi="仿宋" w:eastAsia="仿宋" w:cs="仿宋"/>
          <w:sz w:val="21"/>
          <w:lang w:eastAsia="zh-CN"/>
        </w:rPr>
        <w:t>汕医招</w:t>
      </w:r>
      <w:r>
        <w:rPr>
          <w:rFonts w:hint="eastAsia" w:ascii="仿宋" w:hAnsi="仿宋" w:eastAsia="仿宋" w:cs="仿宋"/>
          <w:sz w:val="21"/>
          <w:lang w:val="en-US" w:eastAsia="zh-CN"/>
        </w:rPr>
        <w:t>2025-7-14</w:t>
      </w:r>
      <w:bookmarkStart w:id="0" w:name="_GoBack"/>
      <w:bookmarkEnd w:id="0"/>
      <w:r>
        <w:rPr>
          <w:rFonts w:hint="eastAsia" w:ascii="仿宋" w:hAnsi="仿宋" w:eastAsia="仿宋" w:cs="仿宋"/>
          <w:sz w:val="21"/>
        </w:rPr>
        <w:t>”招标文件和依据此文件产生的中标结果，经甲、乙双方平等协商，签订本合同。</w:t>
      </w:r>
    </w:p>
    <w:p w14:paraId="1DFC735E">
      <w:pPr>
        <w:kinsoku w:val="0"/>
        <w:wordWrap w:val="0"/>
        <w:topLinePunct/>
        <w:spacing w:line="340" w:lineRule="exact"/>
        <w:rPr>
          <w:rFonts w:hint="eastAsia" w:ascii="仿宋" w:hAnsi="仿宋" w:eastAsia="仿宋" w:cs="仿宋"/>
          <w:sz w:val="21"/>
        </w:rPr>
      </w:pPr>
    </w:p>
    <w:p w14:paraId="2EDE64F5">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一．下列合同文件是构成本合同不可分割的部分：</w:t>
      </w:r>
    </w:p>
    <w:p w14:paraId="135B7B82">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1. 合同条款</w:t>
      </w:r>
    </w:p>
    <w:p w14:paraId="26A739CD">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2.中标公告</w:t>
      </w:r>
    </w:p>
    <w:p w14:paraId="00BD5B51">
      <w:pPr>
        <w:kinsoku w:val="0"/>
        <w:wordWrap w:val="0"/>
        <w:topLinePunct/>
        <w:spacing w:line="340" w:lineRule="exact"/>
        <w:rPr>
          <w:rFonts w:hint="eastAsia" w:ascii="仿宋" w:hAnsi="仿宋" w:eastAsia="仿宋" w:cs="仿宋"/>
          <w:sz w:val="21"/>
        </w:rPr>
      </w:pPr>
      <w:r>
        <w:rPr>
          <w:rFonts w:hint="eastAsia" w:ascii="仿宋" w:hAnsi="仿宋" w:eastAsia="仿宋" w:cs="仿宋"/>
          <w:sz w:val="21"/>
        </w:rPr>
        <w:t>3. 其他文件或材料</w:t>
      </w:r>
    </w:p>
    <w:p w14:paraId="17C387ED">
      <w:pPr>
        <w:kinsoku w:val="0"/>
        <w:wordWrap w:val="0"/>
        <w:topLinePunct/>
        <w:spacing w:line="340" w:lineRule="exact"/>
        <w:rPr>
          <w:rFonts w:hint="eastAsia" w:ascii="仿宋" w:hAnsi="仿宋" w:eastAsia="仿宋" w:cs="仿宋"/>
          <w:b/>
          <w:sz w:val="21"/>
        </w:rPr>
      </w:pPr>
      <w:r>
        <w:rPr>
          <w:rFonts w:hint="eastAsia" w:ascii="仿宋" w:hAnsi="仿宋" w:eastAsia="仿宋" w:cs="仿宋"/>
          <w:b/>
          <w:sz w:val="21"/>
        </w:rPr>
        <w:t>二．服务费用报价</w:t>
      </w:r>
    </w:p>
    <w:tbl>
      <w:tblPr>
        <w:tblStyle w:val="22"/>
        <w:tblW w:w="0" w:type="auto"/>
        <w:tblInd w:w="6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5"/>
        <w:gridCol w:w="870"/>
        <w:gridCol w:w="932"/>
        <w:gridCol w:w="1819"/>
        <w:gridCol w:w="1280"/>
        <w:gridCol w:w="1720"/>
      </w:tblGrid>
      <w:tr w14:paraId="1F5B1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45" w:type="dxa"/>
            <w:tcBorders>
              <w:tl2br w:val="nil"/>
              <w:tr2bl w:val="nil"/>
            </w:tcBorders>
          </w:tcPr>
          <w:p w14:paraId="4D7F1310">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服务名称</w:t>
            </w:r>
          </w:p>
          <w:p w14:paraId="3789D643">
            <w:pPr>
              <w:kinsoku w:val="0"/>
              <w:wordWrap w:val="0"/>
              <w:topLinePunct/>
              <w:spacing w:line="340" w:lineRule="exact"/>
              <w:rPr>
                <w:rFonts w:hint="eastAsia" w:ascii="仿宋" w:hAnsi="仿宋" w:eastAsia="仿宋" w:cs="仿宋"/>
                <w:sz w:val="21"/>
                <w:szCs w:val="21"/>
              </w:rPr>
            </w:pPr>
          </w:p>
        </w:tc>
        <w:tc>
          <w:tcPr>
            <w:tcW w:w="870" w:type="dxa"/>
            <w:tcBorders>
              <w:tl2br w:val="nil"/>
              <w:tr2bl w:val="nil"/>
            </w:tcBorders>
          </w:tcPr>
          <w:p w14:paraId="58DD48DF">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数量</w:t>
            </w:r>
          </w:p>
        </w:tc>
        <w:tc>
          <w:tcPr>
            <w:tcW w:w="932" w:type="dxa"/>
            <w:tcBorders>
              <w:tl2br w:val="nil"/>
              <w:tr2bl w:val="nil"/>
            </w:tcBorders>
          </w:tcPr>
          <w:p w14:paraId="2AAF51FA">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单位</w:t>
            </w:r>
          </w:p>
        </w:tc>
        <w:tc>
          <w:tcPr>
            <w:tcW w:w="1819" w:type="dxa"/>
            <w:tcBorders>
              <w:tl2br w:val="nil"/>
              <w:tr2bl w:val="nil"/>
            </w:tcBorders>
          </w:tcPr>
          <w:p w14:paraId="66838CDC">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提供服务期限</w:t>
            </w:r>
          </w:p>
        </w:tc>
        <w:tc>
          <w:tcPr>
            <w:tcW w:w="1280" w:type="dxa"/>
            <w:tcBorders>
              <w:tl2br w:val="nil"/>
              <w:tr2bl w:val="nil"/>
            </w:tcBorders>
          </w:tcPr>
          <w:p w14:paraId="3183F4CA">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单价(元)</w:t>
            </w:r>
          </w:p>
        </w:tc>
        <w:tc>
          <w:tcPr>
            <w:tcW w:w="1720" w:type="dxa"/>
            <w:tcBorders>
              <w:tl2br w:val="nil"/>
              <w:tr2bl w:val="nil"/>
            </w:tcBorders>
          </w:tcPr>
          <w:p w14:paraId="2748772A">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总价(元)</w:t>
            </w:r>
          </w:p>
        </w:tc>
      </w:tr>
      <w:tr w14:paraId="78D65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1845" w:type="dxa"/>
            <w:tcBorders>
              <w:tl2br w:val="nil"/>
              <w:tr2bl w:val="nil"/>
            </w:tcBorders>
          </w:tcPr>
          <w:p w14:paraId="338CF470">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条件性基因敲除小鼠模型构建及饲养造模服务</w:t>
            </w:r>
          </w:p>
        </w:tc>
        <w:tc>
          <w:tcPr>
            <w:tcW w:w="870" w:type="dxa"/>
            <w:tcBorders>
              <w:tl2br w:val="nil"/>
              <w:tr2bl w:val="nil"/>
            </w:tcBorders>
          </w:tcPr>
          <w:p w14:paraId="321ED449">
            <w:pPr>
              <w:kinsoku w:val="0"/>
              <w:wordWrap w:val="0"/>
              <w:topLinePunct/>
              <w:spacing w:line="340" w:lineRule="exact"/>
              <w:rPr>
                <w:rFonts w:hint="eastAsia" w:ascii="仿宋" w:hAnsi="仿宋" w:eastAsia="仿宋" w:cs="仿宋"/>
                <w:sz w:val="21"/>
                <w:szCs w:val="21"/>
              </w:rPr>
            </w:pPr>
          </w:p>
        </w:tc>
        <w:tc>
          <w:tcPr>
            <w:tcW w:w="932" w:type="dxa"/>
            <w:tcBorders>
              <w:tl2br w:val="nil"/>
              <w:tr2bl w:val="nil"/>
            </w:tcBorders>
          </w:tcPr>
          <w:p w14:paraId="357D3D59">
            <w:pPr>
              <w:kinsoku w:val="0"/>
              <w:wordWrap w:val="0"/>
              <w:topLinePunct/>
              <w:spacing w:line="340" w:lineRule="exact"/>
              <w:rPr>
                <w:rFonts w:hint="eastAsia" w:ascii="仿宋" w:hAnsi="仿宋" w:eastAsia="仿宋" w:cs="仿宋"/>
                <w:sz w:val="21"/>
                <w:szCs w:val="21"/>
              </w:rPr>
            </w:pPr>
          </w:p>
        </w:tc>
        <w:tc>
          <w:tcPr>
            <w:tcW w:w="1819" w:type="dxa"/>
            <w:tcBorders>
              <w:tl2br w:val="nil"/>
              <w:tr2bl w:val="nil"/>
            </w:tcBorders>
          </w:tcPr>
          <w:p w14:paraId="6133F3DA">
            <w:pPr>
              <w:kinsoku w:val="0"/>
              <w:wordWrap w:val="0"/>
              <w:topLinePunct/>
              <w:spacing w:line="340" w:lineRule="exact"/>
              <w:rPr>
                <w:rFonts w:hint="eastAsia" w:ascii="仿宋" w:hAnsi="仿宋" w:eastAsia="仿宋" w:cs="仿宋"/>
                <w:sz w:val="21"/>
                <w:szCs w:val="21"/>
              </w:rPr>
            </w:pPr>
          </w:p>
        </w:tc>
        <w:tc>
          <w:tcPr>
            <w:tcW w:w="1280" w:type="dxa"/>
            <w:tcBorders>
              <w:tl2br w:val="nil"/>
              <w:tr2bl w:val="nil"/>
            </w:tcBorders>
          </w:tcPr>
          <w:p w14:paraId="5A635B22">
            <w:pPr>
              <w:kinsoku w:val="0"/>
              <w:wordWrap w:val="0"/>
              <w:topLinePunct/>
              <w:spacing w:line="340" w:lineRule="exact"/>
              <w:rPr>
                <w:rFonts w:hint="eastAsia" w:ascii="仿宋" w:hAnsi="仿宋" w:eastAsia="仿宋" w:cs="仿宋"/>
                <w:sz w:val="21"/>
                <w:szCs w:val="21"/>
              </w:rPr>
            </w:pPr>
          </w:p>
        </w:tc>
        <w:tc>
          <w:tcPr>
            <w:tcW w:w="1720" w:type="dxa"/>
            <w:tcBorders>
              <w:tl2br w:val="nil"/>
              <w:tr2bl w:val="nil"/>
            </w:tcBorders>
          </w:tcPr>
          <w:p w14:paraId="50E0A4B6">
            <w:pPr>
              <w:kinsoku w:val="0"/>
              <w:wordWrap w:val="0"/>
              <w:topLinePunct/>
              <w:spacing w:line="340" w:lineRule="exact"/>
              <w:rPr>
                <w:rFonts w:hint="eastAsia" w:ascii="仿宋" w:hAnsi="仿宋" w:eastAsia="仿宋" w:cs="仿宋"/>
                <w:sz w:val="21"/>
                <w:szCs w:val="21"/>
              </w:rPr>
            </w:pPr>
          </w:p>
        </w:tc>
      </w:tr>
      <w:tr w14:paraId="1E4F8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8" w:hRule="atLeast"/>
        </w:trPr>
        <w:tc>
          <w:tcPr>
            <w:tcW w:w="1845" w:type="dxa"/>
            <w:tcBorders>
              <w:tl2br w:val="nil"/>
              <w:tr2bl w:val="nil"/>
            </w:tcBorders>
          </w:tcPr>
          <w:p w14:paraId="19095A0A">
            <w:pPr>
              <w:kinsoku w:val="0"/>
              <w:wordWrap w:val="0"/>
              <w:topLinePunct/>
              <w:spacing w:line="340" w:lineRule="exact"/>
              <w:rPr>
                <w:rFonts w:hint="eastAsia" w:ascii="_x000B__x000C_" w:hAnsi="_x000B__x000C_"/>
                <w:sz w:val="21"/>
                <w:szCs w:val="21"/>
              </w:rPr>
            </w:pPr>
          </w:p>
          <w:p w14:paraId="5B696A6E">
            <w:pPr>
              <w:kinsoku w:val="0"/>
              <w:wordWrap w:val="0"/>
              <w:topLinePunct/>
              <w:spacing w:line="340" w:lineRule="exact"/>
              <w:rPr>
                <w:rFonts w:hint="eastAsia" w:ascii="_x000B__x000C_" w:hAnsi="_x000B__x000C_"/>
                <w:sz w:val="21"/>
                <w:szCs w:val="21"/>
              </w:rPr>
            </w:pPr>
            <w:r>
              <w:rPr>
                <w:rFonts w:hint="eastAsia" w:ascii="_x000B__x000C_" w:hAnsi="_x000B__x000C_"/>
                <w:sz w:val="21"/>
                <w:szCs w:val="21"/>
              </w:rPr>
              <w:t>总报价</w:t>
            </w:r>
          </w:p>
        </w:tc>
        <w:tc>
          <w:tcPr>
            <w:tcW w:w="6621" w:type="dxa"/>
            <w:gridSpan w:val="5"/>
            <w:tcBorders>
              <w:tl2br w:val="nil"/>
              <w:tr2bl w:val="nil"/>
            </w:tcBorders>
          </w:tcPr>
          <w:p w14:paraId="6D3642D0">
            <w:pPr>
              <w:kinsoku w:val="0"/>
              <w:wordWrap w:val="0"/>
              <w:topLinePunct/>
              <w:spacing w:line="340" w:lineRule="exact"/>
              <w:rPr>
                <w:rFonts w:hint="eastAsia" w:ascii="仿宋" w:hAnsi="仿宋" w:eastAsia="仿宋" w:cs="仿宋"/>
                <w:sz w:val="21"/>
                <w:szCs w:val="21"/>
              </w:rPr>
            </w:pPr>
          </w:p>
          <w:p w14:paraId="741EBAC0">
            <w:pPr>
              <w:kinsoku w:val="0"/>
              <w:wordWrap w:val="0"/>
              <w:topLinePunct/>
              <w:spacing w:line="340" w:lineRule="exact"/>
              <w:rPr>
                <w:rFonts w:hint="eastAsia" w:ascii="仿宋" w:hAnsi="仿宋" w:eastAsia="仿宋" w:cs="仿宋"/>
                <w:sz w:val="21"/>
                <w:szCs w:val="21"/>
              </w:rPr>
            </w:pPr>
            <w:r>
              <w:rPr>
                <w:rFonts w:hint="eastAsia" w:ascii="仿宋" w:hAnsi="仿宋" w:eastAsia="仿宋" w:cs="仿宋"/>
                <w:sz w:val="21"/>
                <w:szCs w:val="21"/>
              </w:rPr>
              <w:t>大写：                          小写：</w:t>
            </w:r>
          </w:p>
        </w:tc>
      </w:tr>
    </w:tbl>
    <w:p w14:paraId="78E99A05">
      <w:pPr>
        <w:kinsoku w:val="0"/>
        <w:wordWrap w:val="0"/>
        <w:topLinePunct/>
        <w:spacing w:line="340" w:lineRule="exact"/>
        <w:rPr>
          <w:rFonts w:hint="eastAsia" w:ascii="仿宋" w:hAnsi="仿宋" w:eastAsia="仿宋" w:cs="仿宋"/>
          <w:b/>
          <w:sz w:val="21"/>
        </w:rPr>
      </w:pPr>
      <w:r>
        <w:rPr>
          <w:rFonts w:hint="eastAsia" w:ascii="仿宋" w:hAnsi="仿宋" w:eastAsia="仿宋" w:cs="仿宋"/>
          <w:b/>
          <w:sz w:val="21"/>
        </w:rPr>
        <w:t xml:space="preserve">     </w:t>
      </w:r>
    </w:p>
    <w:p w14:paraId="1C133CC2">
      <w:pPr>
        <w:kinsoku w:val="0"/>
        <w:wordWrap w:val="0"/>
        <w:topLinePunct/>
        <w:spacing w:line="340" w:lineRule="exact"/>
        <w:rPr>
          <w:rFonts w:hint="eastAsia" w:ascii="仿宋" w:hAnsi="仿宋" w:eastAsia="仿宋" w:cs="仿宋"/>
          <w:b/>
          <w:sz w:val="21"/>
        </w:rPr>
      </w:pPr>
    </w:p>
    <w:p w14:paraId="2C294528">
      <w:pPr>
        <w:numPr>
          <w:ilvl w:val="0"/>
          <w:numId w:val="9"/>
        </w:numPr>
        <w:kinsoku w:val="0"/>
        <w:wordWrap w:val="0"/>
        <w:topLinePunct/>
        <w:spacing w:line="340" w:lineRule="exact"/>
        <w:rPr>
          <w:rFonts w:hint="eastAsia" w:ascii="仿宋" w:hAnsi="仿宋" w:eastAsia="仿宋" w:cs="仿宋"/>
          <w:b/>
          <w:sz w:val="21"/>
        </w:rPr>
      </w:pPr>
      <w:r>
        <w:rPr>
          <w:rFonts w:hint="eastAsia" w:ascii="仿宋" w:hAnsi="仿宋" w:eastAsia="仿宋" w:cs="仿宋"/>
          <w:b/>
          <w:sz w:val="21"/>
        </w:rPr>
        <w:t>服务类项目要求及供方对质量负责的条件和期限：</w:t>
      </w:r>
    </w:p>
    <w:p w14:paraId="476A228C">
      <w:pPr>
        <w:spacing w:line="360" w:lineRule="auto"/>
        <w:ind w:firstLine="262" w:firstLineChars="100"/>
        <w:rPr>
          <w:rFonts w:hint="eastAsia" w:ascii="仿宋" w:hAnsi="仿宋" w:eastAsia="仿宋" w:cs="仿宋"/>
          <w:b/>
          <w:bCs/>
          <w:sz w:val="21"/>
          <w:szCs w:val="21"/>
        </w:rPr>
      </w:pPr>
      <w:r>
        <w:rPr>
          <w:rFonts w:hint="eastAsia" w:ascii="仿宋" w:hAnsi="仿宋" w:eastAsia="仿宋" w:cs="仿宋"/>
          <w:b/>
          <w:sz w:val="21"/>
          <w:szCs w:val="21"/>
        </w:rPr>
        <w:t xml:space="preserve">（一）  </w:t>
      </w:r>
      <w:r>
        <w:rPr>
          <w:rFonts w:hint="eastAsia" w:ascii="仿宋" w:hAnsi="仿宋" w:eastAsia="仿宋" w:cs="仿宋"/>
          <w:b/>
          <w:bCs/>
          <w:sz w:val="21"/>
          <w:szCs w:val="21"/>
        </w:rPr>
        <w:t>服务内容：</w:t>
      </w:r>
    </w:p>
    <w:p w14:paraId="7DCA53AD">
      <w:pPr>
        <w:kinsoku w:val="0"/>
        <w:wordWrap w:val="0"/>
        <w:topLinePunct/>
        <w:spacing w:line="340" w:lineRule="exact"/>
        <w:rPr>
          <w:rFonts w:hint="eastAsia" w:ascii="仿宋" w:hAnsi="仿宋" w:eastAsia="仿宋" w:cs="仿宋"/>
          <w:b/>
          <w:sz w:val="21"/>
          <w:szCs w:val="21"/>
        </w:rPr>
      </w:pPr>
    </w:p>
    <w:p w14:paraId="2EDF3576">
      <w:pPr>
        <w:spacing w:line="360" w:lineRule="auto"/>
        <w:ind w:firstLine="524" w:firstLineChars="200"/>
        <w:rPr>
          <w:rFonts w:ascii="Times New Roman" w:hAnsi="Times New Roman" w:cs="Times New Roman"/>
          <w:sz w:val="21"/>
          <w:szCs w:val="21"/>
        </w:rPr>
      </w:pPr>
      <w:r>
        <w:rPr>
          <w:rFonts w:hint="eastAsia"/>
          <w:sz w:val="21"/>
          <w:szCs w:val="21"/>
        </w:rPr>
        <w:t>1、提供条件性基因敲除小鼠模型：根据实验进展，需要在10个月</w:t>
      </w:r>
      <w:r>
        <w:rPr>
          <w:rFonts w:hint="eastAsia" w:ascii="Times New Roman" w:hAnsi="Times New Roman" w:cs="Times New Roman"/>
          <w:sz w:val="21"/>
          <w:szCs w:val="21"/>
        </w:rPr>
        <w:t>内完成1个目的基因的小鼠模型构建，交付30只SPF级小鼠（15只SPF级敲除纯合子小鼠以及15只对照小鼠）用于小鼠饲养造模服务。同时提供条件性基因敲除小鼠模型鉴定报告和质量合格证。</w:t>
      </w:r>
    </w:p>
    <w:p w14:paraId="11F25F02">
      <w:pPr>
        <w:spacing w:line="360" w:lineRule="auto"/>
        <w:ind w:firstLine="524" w:firstLineChars="200"/>
        <w:rPr>
          <w:sz w:val="21"/>
          <w:szCs w:val="21"/>
        </w:rPr>
      </w:pPr>
      <w:r>
        <w:rPr>
          <w:rFonts w:hint="eastAsia"/>
          <w:sz w:val="21"/>
          <w:szCs w:val="21"/>
        </w:rPr>
        <w:t>2、提供小鼠饲养造模服务：体内诱导，指定饲料喂养至18 周龄交付小鼠和实验数据。</w:t>
      </w:r>
    </w:p>
    <w:p w14:paraId="3AB9009C">
      <w:pPr>
        <w:spacing w:line="360" w:lineRule="auto"/>
        <w:ind w:firstLine="524" w:firstLineChars="200"/>
        <w:rPr>
          <w:rFonts w:hint="eastAsia" w:ascii="仿宋" w:hAnsi="仿宋" w:eastAsia="仿宋" w:cs="仿宋"/>
          <w:sz w:val="21"/>
          <w:szCs w:val="21"/>
        </w:rPr>
      </w:pPr>
      <w:r>
        <w:rPr>
          <w:rFonts w:hint="eastAsia" w:ascii="仿宋" w:hAnsi="仿宋" w:eastAsia="仿宋" w:cs="仿宋"/>
          <w:sz w:val="21"/>
          <w:szCs w:val="21"/>
        </w:rPr>
        <w:t>2、服务流程</w:t>
      </w:r>
    </w:p>
    <w:p w14:paraId="7D3E01B1">
      <w:pPr>
        <w:spacing w:line="360" w:lineRule="auto"/>
        <w:ind w:firstLine="524" w:firstLineChars="200"/>
        <w:rPr>
          <w:sz w:val="21"/>
          <w:szCs w:val="21"/>
        </w:rPr>
      </w:pPr>
      <w:r>
        <w:rPr>
          <w:rFonts w:hint="eastAsia"/>
          <w:sz w:val="21"/>
          <w:szCs w:val="21"/>
        </w:rPr>
        <w:t>（1）确认靶基因信息：根据采购人提供的基因信息及实验要求，设计gRNA序列和打靶载体方案；</w:t>
      </w:r>
    </w:p>
    <w:p w14:paraId="622DE02E">
      <w:pPr>
        <w:spacing w:line="360" w:lineRule="auto"/>
        <w:ind w:firstLine="524" w:firstLineChars="200"/>
        <w:rPr>
          <w:sz w:val="21"/>
          <w:szCs w:val="21"/>
        </w:rPr>
      </w:pPr>
      <w:r>
        <w:rPr>
          <w:rFonts w:hint="eastAsia"/>
          <w:sz w:val="21"/>
          <w:szCs w:val="21"/>
        </w:rPr>
        <w:t>（2）载体设计和构建&amp;gRNA和Cas9蛋白制备：利用In-Fusion技术构建靶向载体，通过酶切、PCR及测序对打靶载体进行验证；同时制备gRNA和Cas9蛋白得到Donor载体、gRNA后和Cas9蛋白共注射到受精卵。</w:t>
      </w:r>
    </w:p>
    <w:p w14:paraId="0D040BED">
      <w:pPr>
        <w:spacing w:line="360" w:lineRule="auto"/>
        <w:ind w:firstLine="524" w:firstLineChars="200"/>
        <w:rPr>
          <w:sz w:val="21"/>
          <w:szCs w:val="21"/>
        </w:rPr>
      </w:pPr>
      <w:r>
        <w:rPr>
          <w:rFonts w:hint="eastAsia"/>
          <w:sz w:val="21"/>
          <w:szCs w:val="21"/>
        </w:rPr>
        <w:t>（3）显微注射、F0鼠鉴定：将显微注射后的受精卵送回到代孕鼠输卵管中；鼠出生后进行PCR和测序鉴定，获得阳性F0鼠。</w:t>
      </w:r>
    </w:p>
    <w:p w14:paraId="27EF93C3">
      <w:pPr>
        <w:spacing w:line="360" w:lineRule="auto"/>
        <w:ind w:firstLine="524" w:firstLineChars="200"/>
        <w:rPr>
          <w:sz w:val="21"/>
          <w:szCs w:val="21"/>
        </w:rPr>
      </w:pPr>
      <w:r>
        <w:rPr>
          <w:rFonts w:hint="eastAsia"/>
          <w:sz w:val="21"/>
          <w:szCs w:val="21"/>
        </w:rPr>
        <w:t>（4）F1代繁殖与纯合子筛选：阳性F0鼠性成熟后分别与野生型鼠配繁1代，通过PCR鉴定确认F1阳性小鼠，F1阳性鼠和cre小鼠配繁获得敲除纯合子，提供15只SPF级敲除纯合子小鼠以及15只对照小鼠。</w:t>
      </w:r>
    </w:p>
    <w:p w14:paraId="74C5FADA">
      <w:pPr>
        <w:spacing w:line="360" w:lineRule="auto"/>
        <w:ind w:firstLine="524" w:firstLineChars="200"/>
        <w:rPr>
          <w:sz w:val="21"/>
          <w:szCs w:val="21"/>
        </w:rPr>
      </w:pPr>
      <w:r>
        <w:rPr>
          <w:rFonts w:hint="eastAsia"/>
          <w:sz w:val="21"/>
          <w:szCs w:val="21"/>
        </w:rPr>
        <w:t>（5）将得到的纯合子小鼠在6 周龄接受为期 2 周的 Tamoxifen 注射，8 周龄于胸腔注射 AAV后，小鼠进行饲料诱导，为期 10 周，期间每周一次记录体重。指定饲料喂养至18 周龄交付小鼠和实验数据。</w:t>
      </w:r>
    </w:p>
    <w:p w14:paraId="15671DD4">
      <w:pPr>
        <w:tabs>
          <w:tab w:val="left" w:pos="0"/>
        </w:tabs>
        <w:kinsoku w:val="0"/>
        <w:wordWrap w:val="0"/>
        <w:topLinePunct/>
        <w:spacing w:line="340" w:lineRule="exact"/>
        <w:ind w:left="498"/>
        <w:rPr>
          <w:rFonts w:hint="eastAsia" w:ascii="仿宋" w:hAnsi="仿宋" w:eastAsia="仿宋" w:cs="仿宋"/>
          <w:sz w:val="21"/>
          <w:szCs w:val="21"/>
        </w:rPr>
      </w:pPr>
    </w:p>
    <w:p w14:paraId="21E8DAB1">
      <w:pPr>
        <w:numPr>
          <w:ilvl w:val="0"/>
          <w:numId w:val="10"/>
        </w:numPr>
        <w:spacing w:line="360" w:lineRule="auto"/>
        <w:ind w:firstLine="262" w:firstLineChars="100"/>
        <w:rPr>
          <w:rFonts w:hint="eastAsia" w:ascii="仿宋" w:hAnsi="仿宋" w:eastAsia="仿宋" w:cs="仿宋"/>
          <w:b/>
          <w:bCs/>
          <w:sz w:val="21"/>
          <w:szCs w:val="21"/>
        </w:rPr>
      </w:pPr>
      <w:r>
        <w:rPr>
          <w:rFonts w:hint="eastAsia" w:ascii="仿宋" w:hAnsi="仿宋" w:eastAsia="仿宋" w:cs="仿宋"/>
          <w:b/>
          <w:bCs/>
          <w:sz w:val="21"/>
          <w:szCs w:val="21"/>
        </w:rPr>
        <w:t>质量要求、技术标准：</w:t>
      </w:r>
    </w:p>
    <w:p w14:paraId="433F3CDA">
      <w:pPr>
        <w:spacing w:line="360" w:lineRule="auto"/>
        <w:ind w:firstLine="524" w:firstLineChars="200"/>
        <w:outlineLvl w:val="1"/>
        <w:rPr>
          <w:sz w:val="21"/>
          <w:szCs w:val="21"/>
        </w:rPr>
      </w:pPr>
      <w:r>
        <w:rPr>
          <w:rFonts w:hint="eastAsia"/>
          <w:sz w:val="21"/>
          <w:szCs w:val="21"/>
        </w:rPr>
        <w:t>1、免疫学研究的开展需要严格的无特定病原体（SPF）级的小鼠饲养与繁育。</w:t>
      </w:r>
    </w:p>
    <w:p w14:paraId="69AA9E44">
      <w:pPr>
        <w:spacing w:line="360" w:lineRule="auto"/>
        <w:ind w:firstLine="524" w:firstLineChars="200"/>
        <w:outlineLvl w:val="1"/>
        <w:rPr>
          <w:sz w:val="21"/>
          <w:szCs w:val="21"/>
        </w:rPr>
      </w:pPr>
      <w:r>
        <w:rPr>
          <w:rFonts w:hint="eastAsia"/>
          <w:sz w:val="21"/>
          <w:szCs w:val="21"/>
        </w:rPr>
        <w:t>2、每个小鼠品种和品系都有各自的遗传特点，在实验小鼠生产、繁殖和应用过程中，必须保证符合规定的标准遗传组成。</w:t>
      </w:r>
    </w:p>
    <w:p w14:paraId="08207F58">
      <w:pPr>
        <w:spacing w:line="360" w:lineRule="auto"/>
        <w:ind w:firstLine="524" w:firstLineChars="200"/>
        <w:outlineLvl w:val="1"/>
        <w:rPr>
          <w:sz w:val="21"/>
          <w:szCs w:val="21"/>
        </w:rPr>
      </w:pPr>
      <w:r>
        <w:rPr>
          <w:rFonts w:hint="eastAsia"/>
          <w:sz w:val="21"/>
          <w:szCs w:val="21"/>
        </w:rPr>
        <w:t>3、必须有完善的培训体系和质量管理体系，对技术人员的操作严格要求，以保障动物的质量和屏障洁净达到要求。</w:t>
      </w:r>
    </w:p>
    <w:p w14:paraId="515BB9C9">
      <w:pPr>
        <w:spacing w:line="360" w:lineRule="auto"/>
        <w:ind w:firstLine="524" w:firstLineChars="200"/>
        <w:outlineLvl w:val="1"/>
        <w:rPr>
          <w:sz w:val="21"/>
          <w:szCs w:val="21"/>
        </w:rPr>
      </w:pPr>
      <w:r>
        <w:rPr>
          <w:rFonts w:hint="eastAsia"/>
          <w:sz w:val="21"/>
          <w:szCs w:val="21"/>
        </w:rPr>
        <w:t>4、专业的技术支持，辅助设计实验方案，提供及时的项目进展汇报。</w:t>
      </w:r>
    </w:p>
    <w:p w14:paraId="3631AABF">
      <w:pPr>
        <w:tabs>
          <w:tab w:val="left" w:pos="0"/>
        </w:tabs>
        <w:kinsoku w:val="0"/>
        <w:wordWrap w:val="0"/>
        <w:topLinePunct/>
        <w:spacing w:line="340" w:lineRule="exact"/>
        <w:rPr>
          <w:rFonts w:hint="eastAsia" w:ascii="仿宋" w:hAnsi="仿宋" w:eastAsia="仿宋" w:cs="仿宋"/>
          <w:sz w:val="21"/>
          <w:szCs w:val="21"/>
        </w:rPr>
      </w:pPr>
    </w:p>
    <w:p w14:paraId="08B84261">
      <w:pPr>
        <w:tabs>
          <w:tab w:val="left" w:pos="0"/>
          <w:tab w:val="left" w:pos="773"/>
        </w:tabs>
        <w:kinsoku w:val="0"/>
        <w:wordWrap w:val="0"/>
        <w:topLinePunct/>
        <w:spacing w:line="340" w:lineRule="exact"/>
        <w:ind w:left="498"/>
        <w:rPr>
          <w:rFonts w:hint="eastAsia" w:ascii="仿宋" w:hAnsi="仿宋" w:eastAsia="仿宋" w:cs="仿宋"/>
          <w:sz w:val="21"/>
          <w:szCs w:val="21"/>
        </w:rPr>
      </w:pPr>
    </w:p>
    <w:p w14:paraId="3E1436C5">
      <w:pPr>
        <w:spacing w:line="360" w:lineRule="auto"/>
        <w:ind w:left="-664" w:leftChars="-200" w:firstLine="524" w:firstLineChars="200"/>
        <w:rPr>
          <w:rFonts w:hint="eastAsia" w:ascii="仿宋" w:hAnsi="仿宋" w:eastAsia="仿宋" w:cs="仿宋"/>
          <w:b/>
          <w:bCs/>
          <w:sz w:val="21"/>
          <w:szCs w:val="21"/>
        </w:rPr>
      </w:pPr>
      <w:r>
        <w:rPr>
          <w:rFonts w:hint="eastAsia" w:ascii="仿宋" w:hAnsi="仿宋" w:eastAsia="仿宋" w:cs="仿宋"/>
          <w:b/>
          <w:bCs/>
          <w:sz w:val="21"/>
          <w:szCs w:val="21"/>
        </w:rPr>
        <w:t>四．验收方式、标准及提出异议期限：</w:t>
      </w:r>
    </w:p>
    <w:p w14:paraId="4D0C6F0E">
      <w:pPr>
        <w:spacing w:line="360" w:lineRule="auto"/>
        <w:ind w:firstLine="524" w:firstLineChars="200"/>
        <w:rPr>
          <w:sz w:val="21"/>
          <w:szCs w:val="21"/>
        </w:rPr>
      </w:pPr>
      <w:r>
        <w:rPr>
          <w:rFonts w:hint="eastAsia"/>
          <w:sz w:val="21"/>
          <w:szCs w:val="21"/>
        </w:rPr>
        <w:t>验收方式：专业运输车上门送达，免费运输。运输实验动物使用的转运工具和笼具，符合所运实验动物的微生物和环境质量控制标准，运输车及运输盒符合要求、温湿度达标、实时监控。同时提供项目基因型鉴定报告，实验记录数据。甲方在收到产品后如有异议，需在14个工作日内向乙方提出书面异议。</w:t>
      </w:r>
    </w:p>
    <w:p w14:paraId="409B02FE">
      <w:pPr>
        <w:spacing w:line="360" w:lineRule="auto"/>
        <w:ind w:left="526" w:hanging="524" w:hangingChars="200"/>
        <w:rPr>
          <w:rFonts w:hint="eastAsia" w:ascii="仿宋" w:hAnsi="仿宋" w:eastAsia="仿宋" w:cs="仿宋"/>
          <w:b/>
          <w:bCs/>
          <w:sz w:val="21"/>
          <w:szCs w:val="21"/>
        </w:rPr>
      </w:pPr>
      <w:r>
        <w:rPr>
          <w:rFonts w:hint="eastAsia" w:ascii="仿宋" w:hAnsi="仿宋" w:eastAsia="仿宋" w:cs="仿宋"/>
          <w:b/>
          <w:bCs/>
          <w:sz w:val="21"/>
          <w:szCs w:val="21"/>
        </w:rPr>
        <w:t>五、结算方式：</w:t>
      </w:r>
    </w:p>
    <w:p w14:paraId="66D06C41">
      <w:pPr>
        <w:spacing w:line="360" w:lineRule="auto"/>
        <w:ind w:firstLine="524" w:firstLineChars="200"/>
        <w:rPr>
          <w:rFonts w:hint="eastAsia" w:ascii="Times New Roman" w:hAnsi="Times New Roman" w:cs="Times New Roman"/>
          <w:sz w:val="21"/>
          <w:szCs w:val="21"/>
        </w:rPr>
      </w:pPr>
      <w:r>
        <w:rPr>
          <w:rFonts w:hint="eastAsia"/>
          <w:sz w:val="21"/>
          <w:szCs w:val="21"/>
        </w:rPr>
        <w:t>在合同生效后</w:t>
      </w:r>
      <w:r>
        <w:rPr>
          <w:rFonts w:hint="eastAsia"/>
          <w:sz w:val="21"/>
          <w:szCs w:val="21"/>
          <w:lang w:val="en-US" w:eastAsia="zh-CN"/>
        </w:rPr>
        <w:t>30</w:t>
      </w:r>
      <w:r>
        <w:rPr>
          <w:rFonts w:hint="eastAsia"/>
          <w:sz w:val="21"/>
          <w:szCs w:val="21"/>
        </w:rPr>
        <w:t>个工作日内，甲方凭乙方开具的增值税专用发票向乙方支付合同总额</w:t>
      </w:r>
      <w:r>
        <w:rPr>
          <w:rFonts w:hint="eastAsia"/>
          <w:sz w:val="21"/>
          <w:szCs w:val="21"/>
          <w:lang w:val="en-US" w:eastAsia="zh-CN"/>
        </w:rPr>
        <w:t>30</w:t>
      </w:r>
      <w:r>
        <w:rPr>
          <w:rFonts w:hint="eastAsia"/>
          <w:sz w:val="21"/>
          <w:szCs w:val="21"/>
        </w:rPr>
        <w:t>%的款项，乙方完成信息分析工作后，向甲方提供结题报告，提交全部数据和分析报告。甲方</w:t>
      </w:r>
      <w:r>
        <w:rPr>
          <w:rFonts w:hint="eastAsia" w:ascii="Times New Roman" w:hAnsi="Times New Roman" w:cs="Times New Roman"/>
          <w:sz w:val="21"/>
          <w:szCs w:val="21"/>
        </w:rPr>
        <w:t>确定无误后，凭乙方开具的增值税专用发票向乙方支付合同总额</w:t>
      </w:r>
      <w:r>
        <w:rPr>
          <w:rFonts w:hint="eastAsia" w:ascii="Times New Roman" w:hAnsi="Times New Roman" w:cs="Times New Roman"/>
          <w:sz w:val="21"/>
          <w:szCs w:val="21"/>
          <w:lang w:val="en-US" w:eastAsia="zh-CN"/>
        </w:rPr>
        <w:t>7</w:t>
      </w:r>
      <w:r>
        <w:rPr>
          <w:rFonts w:hint="eastAsia" w:ascii="Times New Roman" w:hAnsi="Times New Roman" w:cs="Times New Roman"/>
          <w:sz w:val="21"/>
          <w:szCs w:val="21"/>
        </w:rPr>
        <w:t>0%的剩余款项。</w:t>
      </w:r>
    </w:p>
    <w:p w14:paraId="01807F9B">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六</w:t>
      </w:r>
      <w:r>
        <w:rPr>
          <w:rFonts w:hint="eastAsia" w:ascii="Times New Roman" w:hAnsi="Times New Roman" w:cs="Times New Roman"/>
          <w:b/>
          <w:bCs/>
          <w:sz w:val="21"/>
          <w:szCs w:val="21"/>
        </w:rPr>
        <w:t>、违约责任</w:t>
      </w:r>
      <w:r>
        <w:rPr>
          <w:rFonts w:hint="eastAsia" w:ascii="Times New Roman" w:hAnsi="Times New Roman" w:cs="Times New Roman"/>
          <w:sz w:val="21"/>
          <w:szCs w:val="21"/>
        </w:rPr>
        <w:t>：</w:t>
      </w:r>
    </w:p>
    <w:p w14:paraId="7778937D">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1、如“精子库/活体小鼠”阶段乙方无法获得阳性鼠 ，乙方承诺退还甲方已付的全部款项。</w:t>
      </w:r>
    </w:p>
    <w:p w14:paraId="0E965A31">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rPr>
        <w:t>、乙方如无正当理由提前终止合同 ，所收取费用及剩余实验材料应当全部退还给甲方。</w:t>
      </w:r>
    </w:p>
    <w:p w14:paraId="1239BC5D">
      <w:pPr>
        <w:spacing w:line="360" w:lineRule="auto"/>
        <w:ind w:firstLine="524"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3、如因乙方过错导致项目超出服务期限，乙方应及时与甲方沟通，协商处理方式，并每日按合同总额1‰偿付违约金。</w:t>
      </w:r>
    </w:p>
    <w:p w14:paraId="5A3A9678">
      <w:pPr>
        <w:spacing w:line="360" w:lineRule="auto"/>
        <w:ind w:firstLine="524" w:firstLineChars="20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4、如因乙方过错提供的项目成果不符合合同规定时，甲方有权拒收并要求乙方应重新免费提供服务。</w:t>
      </w:r>
    </w:p>
    <w:p w14:paraId="039F985C">
      <w:pPr>
        <w:spacing w:line="360" w:lineRule="auto"/>
        <w:ind w:firstLine="524"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5、若由于甲方单方面要求终止项目 ，则甲方应支付乙方已完成项目阶段的费用 ，乙方可将已完成阶段的项目成果交付给甲方。</w:t>
      </w:r>
    </w:p>
    <w:p w14:paraId="226FEDA9">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七、</w:t>
      </w:r>
      <w:r>
        <w:rPr>
          <w:rFonts w:hint="eastAsia" w:ascii="Times New Roman" w:hAnsi="Times New Roman" w:cs="Times New Roman"/>
          <w:b/>
          <w:bCs/>
          <w:sz w:val="21"/>
          <w:szCs w:val="21"/>
        </w:rPr>
        <w:t>知识产权</w:t>
      </w:r>
      <w:r>
        <w:rPr>
          <w:rFonts w:hint="eastAsia" w:ascii="Times New Roman" w:hAnsi="Times New Roman" w:cs="Times New Roman"/>
          <w:sz w:val="21"/>
          <w:szCs w:val="21"/>
        </w:rPr>
        <w:t>：</w:t>
      </w:r>
    </w:p>
    <w:p w14:paraId="31C4C578">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1、本委托项目下产生的技术服务成果为甲方所有，甲方拥有本委托项目下专利技术服务成果的专利申请权。</w:t>
      </w:r>
    </w:p>
    <w:p w14:paraId="635F281A">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2、本委托项目中所使用的属于甲方的知识产权，仍为甲方所有，甲方对这类知识产权的使用承担全部法律责任。甲方保证“甲方知识产权”不会侵犯任何第三方的知识产权。</w:t>
      </w:r>
    </w:p>
    <w:p w14:paraId="6929C13B">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3、本委托项目中所使用的属于乙方的知识产权(包括不限于乙方独立开发的工具、方法、技术服务过程或数据、技术诀窍、工艺、软件、模版、程序、操作指南或其他知识产权)仍为乙方所有，乙方对这类知识产权的使用承担全部法律责任，乙方对乙方知识产权的任何改进、优化等仍归属乙方所有。乙方在此给予甲方一个有限许可，使甲方为科研目的、为实现本合同项目成果以不可转让、不可分许可之形式使用“乙方知识产权”。乙方保证“乙方知识产权”不会侵犯任何第三方的知识产权。</w:t>
      </w:r>
    </w:p>
    <w:p w14:paraId="6A470C6E">
      <w:pPr>
        <w:spacing w:line="360" w:lineRule="auto"/>
        <w:ind w:firstLine="524" w:firstLineChars="200"/>
        <w:rPr>
          <w:rFonts w:hint="eastAsia" w:ascii="Times New Roman" w:hAnsi="Times New Roman" w:cs="Times New Roman"/>
          <w:sz w:val="21"/>
          <w:szCs w:val="21"/>
        </w:rPr>
      </w:pPr>
    </w:p>
    <w:p w14:paraId="1EF0F715">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lang w:eastAsia="zh-CN"/>
        </w:rPr>
        <w:t>八．</w:t>
      </w:r>
      <w:r>
        <w:rPr>
          <w:rFonts w:hint="eastAsia" w:ascii="Times New Roman" w:hAnsi="Times New Roman" w:cs="Times New Roman"/>
          <w:sz w:val="21"/>
          <w:szCs w:val="21"/>
        </w:rPr>
        <w:t>售后服务</w:t>
      </w:r>
    </w:p>
    <w:p w14:paraId="1B6BFA9B">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课题交付验收后可免费提供工作时间的售后服务和技术支持，免费进行疑难问题解答，并通过技术人员上门、往来信函、电话、传真、电子邮件等，解答客户遇到的各种技术问题。</w:t>
      </w:r>
    </w:p>
    <w:p w14:paraId="5BE48AAC">
      <w:pPr>
        <w:spacing w:line="360" w:lineRule="auto"/>
        <w:ind w:firstLine="524" w:firstLineChars="200"/>
        <w:rPr>
          <w:rFonts w:hint="eastAsia" w:ascii="Times New Roman" w:hAnsi="Times New Roman" w:cs="Times New Roman"/>
          <w:sz w:val="21"/>
          <w:szCs w:val="21"/>
        </w:rPr>
      </w:pPr>
    </w:p>
    <w:p w14:paraId="59BB52EE">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lang w:eastAsia="zh-CN"/>
        </w:rPr>
        <w:t>九．</w:t>
      </w:r>
      <w:r>
        <w:rPr>
          <w:rFonts w:hint="eastAsia" w:ascii="Times New Roman" w:hAnsi="Times New Roman" w:cs="Times New Roman"/>
          <w:sz w:val="21"/>
          <w:szCs w:val="21"/>
        </w:rPr>
        <w:t>技术支持及培训</w:t>
      </w:r>
    </w:p>
    <w:p w14:paraId="69ED2EE9">
      <w:pPr>
        <w:spacing w:line="360" w:lineRule="auto"/>
        <w:ind w:firstLine="524" w:firstLineChars="200"/>
        <w:rPr>
          <w:rFonts w:hint="default" w:ascii="Times New Roman" w:hAnsi="Times New Roman" w:cs="Times New Roman"/>
          <w:sz w:val="21"/>
          <w:szCs w:val="21"/>
          <w:lang w:val="en-US" w:eastAsia="zh-CN"/>
        </w:rPr>
      </w:pPr>
      <w:r>
        <w:rPr>
          <w:rFonts w:hint="eastAsia" w:ascii="Times New Roman" w:hAnsi="Times New Roman" w:cs="Times New Roman"/>
          <w:sz w:val="21"/>
          <w:szCs w:val="21"/>
        </w:rPr>
        <w:t>专业的技术支持，辅助设计实验方案，提供及时的项目进展汇报。</w:t>
      </w:r>
    </w:p>
    <w:p w14:paraId="0D008A20">
      <w:pPr>
        <w:spacing w:line="360" w:lineRule="auto"/>
        <w:ind w:firstLine="524" w:firstLineChars="200"/>
        <w:rPr>
          <w:rFonts w:hint="eastAsia" w:ascii="Times New Roman" w:hAnsi="Times New Roman" w:cs="Times New Roman"/>
          <w:sz w:val="21"/>
          <w:szCs w:val="21"/>
        </w:rPr>
      </w:pPr>
    </w:p>
    <w:p w14:paraId="678E57DD">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十. 合同的仲裁</w:t>
      </w:r>
    </w:p>
    <w:p w14:paraId="2F567706">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本合同发生争议，由双方协商或调解解决，协商或调解不成时向签订合同所在地人民法院起诉。</w:t>
      </w:r>
    </w:p>
    <w:p w14:paraId="76B2BC51">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十．本合同一式     份，双方各持     份，具有同等法律效力。</w:t>
      </w:r>
    </w:p>
    <w:p w14:paraId="38AAC750">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14:paraId="5D27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14:paraId="3F5F14A3">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甲方（盖章）：汕头大学医学院</w:t>
            </w:r>
          </w:p>
        </w:tc>
        <w:tc>
          <w:tcPr>
            <w:tcW w:w="4986" w:type="dxa"/>
            <w:vAlign w:val="center"/>
          </w:tcPr>
          <w:p w14:paraId="67D2A3ED">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 xml:space="preserve">乙方（盖章）： </w:t>
            </w:r>
          </w:p>
        </w:tc>
      </w:tr>
      <w:tr w14:paraId="0839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14:paraId="7013FA98">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地址：汕头市金平区新陵路22号</w:t>
            </w:r>
          </w:p>
        </w:tc>
        <w:tc>
          <w:tcPr>
            <w:tcW w:w="4986" w:type="dxa"/>
            <w:vAlign w:val="center"/>
          </w:tcPr>
          <w:p w14:paraId="637921B6">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 xml:space="preserve">地址： </w:t>
            </w:r>
          </w:p>
        </w:tc>
      </w:tr>
      <w:tr w14:paraId="2F5C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4132007A">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法定代表人： 夏欧东</w:t>
            </w:r>
          </w:p>
        </w:tc>
        <w:tc>
          <w:tcPr>
            <w:tcW w:w="4986" w:type="dxa"/>
            <w:vAlign w:val="center"/>
          </w:tcPr>
          <w:p w14:paraId="1EDBDC67">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法定代表人：</w:t>
            </w:r>
          </w:p>
        </w:tc>
      </w:tr>
      <w:tr w14:paraId="4385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57EAC7FF">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委托代理人：</w:t>
            </w:r>
          </w:p>
        </w:tc>
        <w:tc>
          <w:tcPr>
            <w:tcW w:w="4986" w:type="dxa"/>
            <w:vAlign w:val="center"/>
          </w:tcPr>
          <w:p w14:paraId="51B926C7">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委托代理人：</w:t>
            </w:r>
          </w:p>
        </w:tc>
      </w:tr>
      <w:tr w14:paraId="43FF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14:paraId="603900E0">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电话：0754-88900477</w:t>
            </w:r>
          </w:p>
        </w:tc>
        <w:tc>
          <w:tcPr>
            <w:tcW w:w="4986" w:type="dxa"/>
            <w:vAlign w:val="center"/>
          </w:tcPr>
          <w:p w14:paraId="116489B3">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电话：</w:t>
            </w:r>
          </w:p>
        </w:tc>
      </w:tr>
      <w:tr w14:paraId="2C2E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71855E26">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传真：0754-88900305</w:t>
            </w:r>
          </w:p>
        </w:tc>
        <w:tc>
          <w:tcPr>
            <w:tcW w:w="4986" w:type="dxa"/>
            <w:vAlign w:val="center"/>
          </w:tcPr>
          <w:p w14:paraId="2E2B1DBB">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传真：</w:t>
            </w:r>
          </w:p>
        </w:tc>
      </w:tr>
      <w:tr w14:paraId="6390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14:paraId="78975AA7">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邮政编码：515041</w:t>
            </w:r>
          </w:p>
        </w:tc>
        <w:tc>
          <w:tcPr>
            <w:tcW w:w="4986" w:type="dxa"/>
            <w:vAlign w:val="center"/>
          </w:tcPr>
          <w:p w14:paraId="639C35C7">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邮政编码：</w:t>
            </w:r>
          </w:p>
        </w:tc>
      </w:tr>
      <w:tr w14:paraId="7C1C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14:paraId="628C54B9">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开户银行：中行嘉泰支行</w:t>
            </w:r>
          </w:p>
        </w:tc>
        <w:tc>
          <w:tcPr>
            <w:tcW w:w="4986" w:type="dxa"/>
            <w:vAlign w:val="center"/>
          </w:tcPr>
          <w:p w14:paraId="6E1082D0">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 xml:space="preserve">开户银行： </w:t>
            </w:r>
          </w:p>
        </w:tc>
      </w:tr>
      <w:tr w14:paraId="799F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3F0D7843">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开户账号：7055 5774 4822</w:t>
            </w:r>
          </w:p>
        </w:tc>
        <w:tc>
          <w:tcPr>
            <w:tcW w:w="4986" w:type="dxa"/>
            <w:vAlign w:val="center"/>
          </w:tcPr>
          <w:p w14:paraId="1A9CC97B">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开户账号：</w:t>
            </w:r>
          </w:p>
        </w:tc>
      </w:tr>
      <w:tr w14:paraId="28F5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50950098">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统一社会信用代码：12440000455861456K</w:t>
            </w:r>
          </w:p>
        </w:tc>
        <w:tc>
          <w:tcPr>
            <w:tcW w:w="4986" w:type="dxa"/>
            <w:vAlign w:val="center"/>
          </w:tcPr>
          <w:p w14:paraId="54DDC87D">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统一社会信用代码：</w:t>
            </w:r>
          </w:p>
        </w:tc>
      </w:tr>
      <w:tr w14:paraId="62E1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35E64762">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签订日期：       年     月     日</w:t>
            </w:r>
          </w:p>
        </w:tc>
        <w:tc>
          <w:tcPr>
            <w:tcW w:w="4986" w:type="dxa"/>
            <w:vAlign w:val="center"/>
          </w:tcPr>
          <w:p w14:paraId="7B29C44D">
            <w:pPr>
              <w:spacing w:line="360" w:lineRule="auto"/>
              <w:ind w:firstLine="524" w:firstLineChars="200"/>
              <w:rPr>
                <w:rFonts w:hint="eastAsia" w:ascii="Times New Roman" w:hAnsi="Times New Roman" w:cs="Times New Roman"/>
                <w:sz w:val="21"/>
                <w:szCs w:val="21"/>
              </w:rPr>
            </w:pPr>
            <w:r>
              <w:rPr>
                <w:rFonts w:hint="eastAsia" w:ascii="Times New Roman" w:hAnsi="Times New Roman" w:cs="Times New Roman"/>
                <w:sz w:val="21"/>
                <w:szCs w:val="21"/>
              </w:rPr>
              <w:t>签订日期：       年     月     日</w:t>
            </w:r>
          </w:p>
        </w:tc>
      </w:tr>
    </w:tbl>
    <w:p w14:paraId="0BCCF01F">
      <w:pPr>
        <w:kinsoku w:val="0"/>
        <w:wordWrap w:val="0"/>
        <w:topLinePunct/>
        <w:spacing w:line="360" w:lineRule="atLeast"/>
        <w:ind w:firstLine="186" w:firstLineChars="50"/>
        <w:rPr>
          <w:rFonts w:hint="eastAsia" w:ascii="仿宋" w:hAnsi="仿宋" w:eastAsia="仿宋" w:cs="仿宋"/>
          <w:b/>
          <w:sz w:val="32"/>
        </w:rPr>
      </w:pPr>
    </w:p>
    <w:p w14:paraId="05503D41">
      <w:pPr>
        <w:kinsoku w:val="0"/>
        <w:wordWrap w:val="0"/>
        <w:topLinePunct/>
        <w:spacing w:line="360" w:lineRule="atLeast"/>
        <w:ind w:firstLine="186" w:firstLineChars="50"/>
        <w:rPr>
          <w:rFonts w:hint="eastAsia" w:ascii="仿宋" w:hAnsi="仿宋" w:eastAsia="仿宋" w:cs="仿宋"/>
          <w:b/>
          <w:sz w:val="32"/>
        </w:rPr>
      </w:pPr>
    </w:p>
    <w:p w14:paraId="7A205EC6">
      <w:pPr>
        <w:kinsoku w:val="0"/>
        <w:wordWrap w:val="0"/>
        <w:topLinePunct/>
        <w:spacing w:line="360" w:lineRule="atLeast"/>
        <w:ind w:firstLine="186" w:firstLineChars="50"/>
        <w:rPr>
          <w:rFonts w:hint="eastAsia" w:ascii="仿宋" w:hAnsi="仿宋" w:eastAsia="仿宋" w:cs="仿宋"/>
          <w:b/>
          <w:sz w:val="32"/>
        </w:rPr>
      </w:pPr>
    </w:p>
    <w:p w14:paraId="45A50076">
      <w:pPr>
        <w:kinsoku w:val="0"/>
        <w:wordWrap w:val="0"/>
        <w:topLinePunct/>
        <w:spacing w:line="360" w:lineRule="atLeast"/>
        <w:rPr>
          <w:rFonts w:hint="eastAsia" w:ascii="仿宋" w:hAnsi="仿宋" w:eastAsia="仿宋" w:cs="仿宋"/>
          <w:b/>
          <w:sz w:val="32"/>
        </w:rPr>
      </w:pPr>
    </w:p>
    <w:p w14:paraId="3E97060C">
      <w:pPr>
        <w:kinsoku w:val="0"/>
        <w:wordWrap w:val="0"/>
        <w:topLinePunct/>
        <w:spacing w:line="360" w:lineRule="atLeast"/>
        <w:rPr>
          <w:rFonts w:hint="eastAsia" w:ascii="仿宋" w:hAnsi="仿宋" w:eastAsia="仿宋" w:cs="仿宋"/>
          <w:b/>
          <w:sz w:val="32"/>
        </w:rPr>
      </w:pPr>
    </w:p>
    <w:p w14:paraId="0272E315">
      <w:pPr>
        <w:kinsoku w:val="0"/>
        <w:wordWrap w:val="0"/>
        <w:topLinePunct/>
        <w:spacing w:line="360" w:lineRule="atLeast"/>
        <w:rPr>
          <w:rFonts w:hint="eastAsia" w:ascii="仿宋" w:hAnsi="仿宋" w:eastAsia="仿宋" w:cs="仿宋"/>
          <w:b/>
          <w:sz w:val="32"/>
        </w:rPr>
      </w:pPr>
    </w:p>
    <w:p w14:paraId="3DA13391">
      <w:pPr>
        <w:kinsoku w:val="0"/>
        <w:wordWrap w:val="0"/>
        <w:topLinePunct/>
        <w:spacing w:line="360" w:lineRule="atLeast"/>
        <w:rPr>
          <w:rFonts w:hint="eastAsia" w:ascii="仿宋" w:hAnsi="仿宋" w:eastAsia="仿宋" w:cs="仿宋"/>
          <w:b/>
          <w:sz w:val="32"/>
        </w:rPr>
      </w:pPr>
    </w:p>
    <w:p w14:paraId="1818B31D">
      <w:pPr>
        <w:kinsoku w:val="0"/>
        <w:wordWrap w:val="0"/>
        <w:topLinePunct/>
        <w:spacing w:line="360" w:lineRule="atLeast"/>
        <w:rPr>
          <w:rFonts w:hint="eastAsia" w:ascii="仿宋" w:hAnsi="仿宋" w:eastAsia="仿宋" w:cs="仿宋"/>
          <w:b/>
          <w:sz w:val="32"/>
        </w:rPr>
      </w:pPr>
    </w:p>
    <w:p w14:paraId="292AEDF1">
      <w:pPr>
        <w:kinsoku w:val="0"/>
        <w:wordWrap w:val="0"/>
        <w:topLinePunct/>
        <w:spacing w:line="360" w:lineRule="atLeast"/>
        <w:rPr>
          <w:rFonts w:hint="eastAsia" w:ascii="仿宋" w:hAnsi="仿宋" w:eastAsia="仿宋" w:cs="仿宋"/>
          <w:b/>
          <w:sz w:val="32"/>
        </w:rPr>
      </w:pPr>
    </w:p>
    <w:p w14:paraId="3BBEBC78">
      <w:pPr>
        <w:kinsoku w:val="0"/>
        <w:wordWrap w:val="0"/>
        <w:topLinePunct/>
        <w:spacing w:line="360" w:lineRule="atLeast"/>
        <w:rPr>
          <w:rFonts w:hint="eastAsia" w:ascii="仿宋" w:hAnsi="仿宋" w:eastAsia="仿宋" w:cs="仿宋"/>
          <w:b/>
          <w:sz w:val="32"/>
        </w:rPr>
      </w:pPr>
    </w:p>
    <w:p w14:paraId="3773477D">
      <w:pPr>
        <w:kinsoku w:val="0"/>
        <w:wordWrap w:val="0"/>
        <w:topLinePunct/>
        <w:spacing w:line="360" w:lineRule="atLeast"/>
        <w:ind w:firstLine="186" w:firstLineChars="50"/>
        <w:rPr>
          <w:rFonts w:hint="eastAsia" w:ascii="仿宋" w:hAnsi="仿宋" w:eastAsia="仿宋" w:cs="仿宋"/>
          <w:b/>
          <w:sz w:val="32"/>
        </w:rPr>
      </w:pPr>
      <w:r>
        <w:rPr>
          <w:rFonts w:hint="eastAsia" w:ascii="仿宋" w:hAnsi="仿宋" w:eastAsia="仿宋" w:cs="仿宋"/>
          <w:b/>
          <w:sz w:val="32"/>
        </w:rPr>
        <w:t>第四部分    投  标  书（格式）</w:t>
      </w:r>
    </w:p>
    <w:p w14:paraId="13D7B61B">
      <w:pPr>
        <w:kinsoku w:val="0"/>
        <w:wordWrap w:val="0"/>
        <w:topLinePunct/>
        <w:spacing w:after="120" w:line="360" w:lineRule="atLeast"/>
        <w:rPr>
          <w:rFonts w:hint="eastAsia" w:ascii="仿宋" w:hAnsi="仿宋" w:eastAsia="仿宋" w:cs="仿宋"/>
          <w:sz w:val="24"/>
        </w:rPr>
      </w:pPr>
      <w:r>
        <w:rPr>
          <w:rFonts w:hint="eastAsia" w:ascii="仿宋" w:hAnsi="仿宋" w:eastAsia="仿宋" w:cs="仿宋"/>
          <w:sz w:val="24"/>
        </w:rPr>
        <w:t>致：汕头大学医学院：</w:t>
      </w:r>
    </w:p>
    <w:p w14:paraId="7011AB5A">
      <w:pPr>
        <w:kinsoku w:val="0"/>
        <w:wordWrap w:val="0"/>
        <w:topLinePunct/>
        <w:spacing w:after="120" w:line="240" w:lineRule="atLeast"/>
        <w:ind w:firstLine="585"/>
        <w:rPr>
          <w:rFonts w:hint="eastAsia"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号（招标编号）招标文件要求，</w:t>
      </w:r>
      <w:r>
        <w:rPr>
          <w:rFonts w:hint="eastAsia" w:ascii="仿宋" w:hAnsi="仿宋" w:eastAsia="仿宋" w:cs="仿宋"/>
          <w:sz w:val="24"/>
          <w:u w:val="single"/>
        </w:rPr>
        <w:t xml:space="preserve">                </w:t>
      </w:r>
      <w:r>
        <w:rPr>
          <w:rFonts w:hint="eastAsia" w:ascii="仿宋" w:hAnsi="仿宋" w:eastAsia="仿宋" w:cs="仿宋"/>
          <w:sz w:val="24"/>
        </w:rPr>
        <w:t>（全名及职衔）经正式授权并以投标人</w:t>
      </w:r>
      <w:r>
        <w:rPr>
          <w:rFonts w:hint="eastAsia" w:ascii="仿宋" w:hAnsi="仿宋" w:eastAsia="仿宋" w:cs="仿宋"/>
          <w:sz w:val="24"/>
          <w:u w:val="single"/>
        </w:rPr>
        <w:t xml:space="preserve">                             </w:t>
      </w:r>
      <w:r>
        <w:rPr>
          <w:rFonts w:hint="eastAsia" w:ascii="仿宋" w:hAnsi="仿宋" w:eastAsia="仿宋" w:cs="仿宋"/>
          <w:sz w:val="24"/>
        </w:rPr>
        <w:t>（投标人名称、地址）的名义投标。提交下述文件正本一份和副本一式五份。</w:t>
      </w:r>
    </w:p>
    <w:p w14:paraId="1C674642">
      <w:pPr>
        <w:pStyle w:val="6"/>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投标书；</w:t>
      </w:r>
    </w:p>
    <w:p w14:paraId="70F31535">
      <w:pPr>
        <w:pStyle w:val="6"/>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开标一览表；</w:t>
      </w:r>
    </w:p>
    <w:p w14:paraId="0AF96C2D">
      <w:pPr>
        <w:pStyle w:val="6"/>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设备配置一览表；</w:t>
      </w:r>
    </w:p>
    <w:p w14:paraId="7B88C5C6">
      <w:pPr>
        <w:pStyle w:val="6"/>
        <w:numPr>
          <w:ilvl w:val="3"/>
          <w:numId w:val="11"/>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服务承诺书；</w:t>
      </w:r>
    </w:p>
    <w:p w14:paraId="5FB25675">
      <w:pPr>
        <w:pStyle w:val="6"/>
        <w:kinsoku w:val="0"/>
        <w:wordWrap w:val="0"/>
        <w:topLinePunct/>
        <w:autoSpaceDE/>
        <w:autoSpaceDN/>
        <w:spacing w:line="200" w:lineRule="atLeast"/>
        <w:ind w:left="1328" w:leftChars="0" w:firstLine="0" w:firstLineChars="0"/>
        <w:rPr>
          <w:rFonts w:hint="eastAsia" w:ascii="仿宋" w:hAnsi="仿宋" w:eastAsia="仿宋" w:cs="仿宋"/>
          <w:sz w:val="24"/>
        </w:rPr>
      </w:pPr>
    </w:p>
    <w:p w14:paraId="597D727E">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签字代表在此声明并同意：</w:t>
      </w:r>
    </w:p>
    <w:p w14:paraId="253F74BD">
      <w:pPr>
        <w:kinsoku w:val="0"/>
        <w:wordWrap w:val="0"/>
        <w:topLinePunct/>
        <w:spacing w:line="360" w:lineRule="atLeast"/>
        <w:ind w:left="830" w:hanging="830"/>
        <w:rPr>
          <w:rFonts w:hint="eastAsia" w:ascii="仿宋" w:hAnsi="仿宋" w:eastAsia="仿宋" w:cs="仿宋"/>
          <w:sz w:val="24"/>
        </w:rPr>
      </w:pPr>
      <w:r>
        <w:rPr>
          <w:rFonts w:hint="eastAsia" w:ascii="仿宋" w:hAnsi="仿宋" w:eastAsia="仿宋" w:cs="仿宋"/>
          <w:sz w:val="24"/>
        </w:rPr>
        <w:t xml:space="preserve">   １.我们愿意遵守招标人招标文件中的各项规定，供应符合“技术规范”所要求的设备，投标总报价为：</w:t>
      </w:r>
      <w:r>
        <w:rPr>
          <w:rFonts w:hint="eastAsia" w:ascii="仿宋" w:hAnsi="仿宋" w:eastAsia="仿宋" w:cs="仿宋"/>
          <w:sz w:val="24"/>
          <w:u w:val="single"/>
        </w:rPr>
        <w:t xml:space="preserve">         </w:t>
      </w:r>
      <w:r>
        <w:rPr>
          <w:rFonts w:hint="eastAsia" w:ascii="仿宋" w:hAnsi="仿宋" w:eastAsia="仿宋" w:cs="仿宋"/>
          <w:sz w:val="24"/>
        </w:rPr>
        <w:t>元。</w:t>
      </w:r>
    </w:p>
    <w:p w14:paraId="28D5C94E">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２.我们同意本投标自投标截止日起30天内有效。如果我们的投标被接受，则直至合同生效时止，本投标始终有效。</w:t>
      </w:r>
    </w:p>
    <w:p w14:paraId="67DFAEE6">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３.我们已经详细地阅读了全部招标文件及附件，包括澄清及参考文件（如果有的话），我们完全理解并同意放弃对这方面有不明及误解的权利。</w:t>
      </w:r>
    </w:p>
    <w:p w14:paraId="78BC23E3">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４.我们同意提供招标人要求的有关投标的其他资料。</w:t>
      </w:r>
    </w:p>
    <w:p w14:paraId="0DDB6A1F">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５.我们理解，招标人并无义务必须接受最低报价的投标或其他任何投标。</w:t>
      </w:r>
    </w:p>
    <w:p w14:paraId="790C90BA">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６.所有有关本次投标的函电请寄：</w:t>
      </w:r>
      <w:r>
        <w:rPr>
          <w:rFonts w:hint="eastAsia" w:ascii="仿宋" w:hAnsi="仿宋" w:eastAsia="仿宋" w:cs="仿宋"/>
          <w:sz w:val="24"/>
          <w:u w:val="single"/>
        </w:rPr>
        <w:t xml:space="preserve">                     </w:t>
      </w:r>
    </w:p>
    <w:p w14:paraId="4D9B340B">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14:paraId="51A3438E">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职      位:</w:t>
      </w:r>
      <w:r>
        <w:rPr>
          <w:rFonts w:hint="eastAsia" w:ascii="仿宋" w:hAnsi="仿宋" w:eastAsia="仿宋" w:cs="仿宋"/>
          <w:sz w:val="24"/>
          <w:u w:val="single"/>
        </w:rPr>
        <w:t xml:space="preserve">                                </w:t>
      </w:r>
    </w:p>
    <w:p w14:paraId="5071750E">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投标方名称:</w:t>
      </w:r>
      <w:r>
        <w:rPr>
          <w:rFonts w:hint="eastAsia" w:ascii="仿宋" w:hAnsi="仿宋" w:eastAsia="仿宋" w:cs="仿宋"/>
          <w:sz w:val="24"/>
          <w:u w:val="single"/>
        </w:rPr>
        <w:t xml:space="preserve">                                </w:t>
      </w:r>
    </w:p>
    <w:p w14:paraId="49E83817">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投标方印章:</w:t>
      </w:r>
      <w:r>
        <w:rPr>
          <w:rFonts w:hint="eastAsia" w:ascii="仿宋" w:hAnsi="仿宋" w:eastAsia="仿宋" w:cs="仿宋"/>
          <w:sz w:val="24"/>
          <w:u w:val="single"/>
        </w:rPr>
        <w:t xml:space="preserve">                                </w:t>
      </w:r>
    </w:p>
    <w:p w14:paraId="51370F54">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w:t>
      </w:r>
    </w:p>
    <w:p w14:paraId="6E7CA4CC">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电  话：           传  真：            E_mail:</w:t>
      </w:r>
    </w:p>
    <w:p w14:paraId="09AA2D73">
      <w:pPr>
        <w:kinsoku w:val="0"/>
        <w:wordWrap w:val="0"/>
        <w:topLinePunct/>
        <w:spacing w:line="360" w:lineRule="exact"/>
        <w:rPr>
          <w:rFonts w:hint="eastAsia" w:ascii="仿宋" w:hAnsi="仿宋" w:eastAsia="仿宋" w:cs="仿宋"/>
          <w:sz w:val="24"/>
        </w:rPr>
      </w:pPr>
    </w:p>
    <w:p w14:paraId="59C1E043">
      <w:pPr>
        <w:kinsoku w:val="0"/>
        <w:wordWrap w:val="0"/>
        <w:topLinePunct/>
        <w:spacing w:line="360" w:lineRule="exact"/>
        <w:rPr>
          <w:rFonts w:hint="eastAsia" w:ascii="仿宋" w:hAnsi="仿宋" w:eastAsia="仿宋" w:cs="仿宋"/>
          <w:sz w:val="24"/>
        </w:rPr>
      </w:pPr>
    </w:p>
    <w:p w14:paraId="10CA5301">
      <w:pPr>
        <w:kinsoku w:val="0"/>
        <w:wordWrap w:val="0"/>
        <w:topLinePunct/>
        <w:spacing w:line="360" w:lineRule="exact"/>
        <w:rPr>
          <w:rFonts w:ascii="仿宋" w:hAnsi="仿宋" w:eastAsia="仿宋" w:cs="仿宋"/>
          <w:sz w:val="24"/>
        </w:rPr>
      </w:pPr>
    </w:p>
    <w:p w14:paraId="5D663016">
      <w:pPr>
        <w:kinsoku w:val="0"/>
        <w:wordWrap w:val="0"/>
        <w:topLinePunct/>
        <w:spacing w:line="360" w:lineRule="exact"/>
        <w:rPr>
          <w:rFonts w:ascii="仿宋" w:hAnsi="仿宋" w:eastAsia="仿宋" w:cs="仿宋"/>
          <w:sz w:val="24"/>
        </w:rPr>
      </w:pPr>
    </w:p>
    <w:p w14:paraId="24907834">
      <w:pPr>
        <w:kinsoku w:val="0"/>
        <w:wordWrap w:val="0"/>
        <w:topLinePunct/>
        <w:spacing w:line="360" w:lineRule="exact"/>
        <w:rPr>
          <w:rFonts w:hint="eastAsia" w:ascii="仿宋" w:hAnsi="仿宋" w:eastAsia="仿宋" w:cs="仿宋"/>
          <w:sz w:val="24"/>
        </w:rPr>
      </w:pPr>
    </w:p>
    <w:p w14:paraId="67BB38F4">
      <w:pPr>
        <w:kinsoku w:val="0"/>
        <w:wordWrap w:val="0"/>
        <w:topLinePunct/>
        <w:spacing w:line="360" w:lineRule="exact"/>
        <w:rPr>
          <w:rFonts w:hint="eastAsia" w:ascii="仿宋" w:hAnsi="仿宋" w:eastAsia="仿宋" w:cs="仿宋"/>
          <w:sz w:val="24"/>
        </w:rPr>
      </w:pPr>
    </w:p>
    <w:p w14:paraId="1B2648A9">
      <w:pPr>
        <w:kinsoku w:val="0"/>
        <w:wordWrap w:val="0"/>
        <w:topLinePunct/>
        <w:spacing w:line="360" w:lineRule="exact"/>
        <w:rPr>
          <w:rFonts w:hint="eastAsia" w:ascii="仿宋" w:hAnsi="仿宋" w:eastAsia="仿宋" w:cs="仿宋"/>
          <w:sz w:val="24"/>
        </w:rPr>
      </w:pPr>
    </w:p>
    <w:p w14:paraId="156307DA">
      <w:pPr>
        <w:kinsoku w:val="0"/>
        <w:wordWrap w:val="0"/>
        <w:topLinePunct/>
        <w:spacing w:line="360" w:lineRule="exact"/>
        <w:rPr>
          <w:rFonts w:hint="eastAsia" w:ascii="仿宋" w:hAnsi="仿宋" w:eastAsia="仿宋" w:cs="仿宋"/>
          <w:sz w:val="24"/>
        </w:rPr>
      </w:pPr>
      <w:r>
        <w:rPr>
          <w:rFonts w:hint="eastAsia" w:ascii="仿宋" w:hAnsi="仿宋" w:eastAsia="仿宋" w:cs="仿宋"/>
          <w:sz w:val="24"/>
        </w:rPr>
        <w:t>投标书附件1：</w:t>
      </w:r>
    </w:p>
    <w:p w14:paraId="1495461F">
      <w:pPr>
        <w:kinsoku w:val="0"/>
        <w:wordWrap w:val="0"/>
        <w:topLinePunct/>
        <w:spacing w:line="360" w:lineRule="exact"/>
        <w:jc w:val="center"/>
        <w:rPr>
          <w:rFonts w:hint="eastAsia" w:ascii="仿宋" w:hAnsi="仿宋" w:eastAsia="仿宋" w:cs="仿宋"/>
          <w:b/>
          <w:sz w:val="32"/>
        </w:rPr>
      </w:pPr>
    </w:p>
    <w:p w14:paraId="6F1C77A8">
      <w:pPr>
        <w:kinsoku w:val="0"/>
        <w:wordWrap w:val="0"/>
        <w:topLinePunct/>
        <w:spacing w:line="360" w:lineRule="exact"/>
        <w:jc w:val="center"/>
        <w:rPr>
          <w:rFonts w:hint="eastAsia" w:ascii="仿宋" w:hAnsi="仿宋" w:eastAsia="仿宋" w:cs="仿宋"/>
          <w:b/>
          <w:sz w:val="32"/>
        </w:rPr>
      </w:pPr>
    </w:p>
    <w:p w14:paraId="18FB4435">
      <w:pPr>
        <w:kinsoku w:val="0"/>
        <w:wordWrap w:val="0"/>
        <w:topLinePunct/>
        <w:spacing w:line="360" w:lineRule="exact"/>
        <w:jc w:val="center"/>
        <w:rPr>
          <w:rFonts w:hint="eastAsia" w:ascii="仿宋" w:hAnsi="仿宋" w:eastAsia="仿宋" w:cs="仿宋"/>
          <w:b/>
          <w:sz w:val="32"/>
        </w:rPr>
      </w:pPr>
      <w:r>
        <w:rPr>
          <w:rFonts w:hint="eastAsia" w:ascii="仿宋" w:hAnsi="仿宋" w:eastAsia="仿宋" w:cs="仿宋"/>
          <w:b/>
          <w:sz w:val="32"/>
        </w:rPr>
        <w:t>开标一览表</w:t>
      </w:r>
    </w:p>
    <w:p w14:paraId="7788F2CD">
      <w:pPr>
        <w:kinsoku w:val="0"/>
        <w:wordWrap w:val="0"/>
        <w:topLinePunct/>
        <w:spacing w:line="360" w:lineRule="exact"/>
        <w:rPr>
          <w:rFonts w:hint="eastAsia" w:ascii="仿宋" w:hAnsi="仿宋" w:eastAsia="仿宋" w:cs="仿宋"/>
          <w:sz w:val="24"/>
        </w:rPr>
      </w:pPr>
    </w:p>
    <w:p w14:paraId="743B8A95">
      <w:pPr>
        <w:kinsoku w:val="0"/>
        <w:wordWrap w:val="0"/>
        <w:topLinePunct/>
        <w:spacing w:line="360" w:lineRule="exact"/>
        <w:rPr>
          <w:rFonts w:hint="eastAsia" w:ascii="仿宋" w:hAnsi="仿宋" w:eastAsia="仿宋" w:cs="仿宋"/>
          <w:sz w:val="24"/>
          <w:u w:val="single"/>
        </w:rPr>
      </w:pPr>
      <w:r>
        <w:rPr>
          <w:rFonts w:hint="eastAsia" w:ascii="仿宋" w:hAnsi="仿宋" w:eastAsia="仿宋" w:cs="仿宋"/>
          <w:sz w:val="24"/>
        </w:rPr>
        <w:t>投标方名称：</w:t>
      </w:r>
      <w:r>
        <w:rPr>
          <w:rFonts w:hint="eastAsia" w:ascii="仿宋" w:hAnsi="仿宋" w:eastAsia="仿宋" w:cs="仿宋"/>
          <w:sz w:val="24"/>
          <w:u w:val="single"/>
        </w:rPr>
        <w:t xml:space="preserve">                     </w:t>
      </w:r>
      <w:r>
        <w:rPr>
          <w:rFonts w:hint="eastAsia" w:ascii="仿宋" w:hAnsi="仿宋" w:eastAsia="仿宋" w:cs="仿宋"/>
          <w:sz w:val="24"/>
        </w:rPr>
        <w:t>，招标编号：</w:t>
      </w:r>
      <w:r>
        <w:rPr>
          <w:rFonts w:hint="eastAsia" w:ascii="仿宋" w:hAnsi="仿宋" w:eastAsia="仿宋" w:cs="仿宋"/>
          <w:sz w:val="24"/>
          <w:u w:val="single"/>
        </w:rPr>
        <w:t xml:space="preserve">         </w:t>
      </w:r>
    </w:p>
    <w:p w14:paraId="18F0DFD0">
      <w:pPr>
        <w:kinsoku w:val="0"/>
        <w:wordWrap w:val="0"/>
        <w:topLinePunct/>
        <w:spacing w:line="360" w:lineRule="exact"/>
        <w:rPr>
          <w:rFonts w:hint="eastAsia" w:ascii="仿宋" w:hAnsi="仿宋" w:eastAsia="仿宋" w:cs="仿宋"/>
          <w:sz w:val="21"/>
        </w:rPr>
      </w:pPr>
      <w:r>
        <w:rPr>
          <w:rFonts w:hint="eastAsia" w:ascii="仿宋" w:hAnsi="仿宋" w:eastAsia="仿宋" w:cs="仿宋"/>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14:paraId="7FCA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59158EA6">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序号</w:t>
            </w:r>
          </w:p>
        </w:tc>
        <w:tc>
          <w:tcPr>
            <w:tcW w:w="3652" w:type="dxa"/>
            <w:vAlign w:val="center"/>
          </w:tcPr>
          <w:p w14:paraId="404AEB42">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项目名称</w:t>
            </w:r>
          </w:p>
        </w:tc>
        <w:tc>
          <w:tcPr>
            <w:tcW w:w="1992" w:type="dxa"/>
            <w:vAlign w:val="center"/>
          </w:tcPr>
          <w:p w14:paraId="51323E6C">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投标总报价</w:t>
            </w:r>
          </w:p>
        </w:tc>
        <w:tc>
          <w:tcPr>
            <w:tcW w:w="2656" w:type="dxa"/>
            <w:vAlign w:val="center"/>
          </w:tcPr>
          <w:p w14:paraId="15DD4327">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备注</w:t>
            </w:r>
          </w:p>
        </w:tc>
      </w:tr>
      <w:tr w14:paraId="6892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633E45BA">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一</w:t>
            </w:r>
          </w:p>
        </w:tc>
        <w:tc>
          <w:tcPr>
            <w:tcW w:w="3652" w:type="dxa"/>
            <w:vAlign w:val="center"/>
          </w:tcPr>
          <w:p w14:paraId="28258E53">
            <w:pPr>
              <w:kinsoku w:val="0"/>
              <w:wordWrap w:val="0"/>
              <w:topLinePunct/>
              <w:spacing w:line="360" w:lineRule="exact"/>
              <w:rPr>
                <w:rFonts w:hint="eastAsia" w:ascii="仿宋" w:hAnsi="仿宋" w:eastAsia="仿宋" w:cs="仿宋"/>
                <w:sz w:val="18"/>
              </w:rPr>
            </w:pPr>
          </w:p>
        </w:tc>
        <w:tc>
          <w:tcPr>
            <w:tcW w:w="1992" w:type="dxa"/>
            <w:vAlign w:val="center"/>
          </w:tcPr>
          <w:p w14:paraId="05569C2C">
            <w:pPr>
              <w:kinsoku w:val="0"/>
              <w:wordWrap w:val="0"/>
              <w:topLinePunct/>
              <w:spacing w:line="360" w:lineRule="exact"/>
              <w:jc w:val="center"/>
              <w:rPr>
                <w:rFonts w:hint="eastAsia" w:ascii="仿宋" w:hAnsi="仿宋" w:eastAsia="仿宋" w:cs="仿宋"/>
                <w:sz w:val="18"/>
              </w:rPr>
            </w:pPr>
          </w:p>
        </w:tc>
        <w:tc>
          <w:tcPr>
            <w:tcW w:w="2656" w:type="dxa"/>
            <w:vAlign w:val="center"/>
          </w:tcPr>
          <w:p w14:paraId="4CD72756">
            <w:pPr>
              <w:kinsoku w:val="0"/>
              <w:wordWrap w:val="0"/>
              <w:topLinePunct/>
              <w:spacing w:line="360" w:lineRule="exact"/>
              <w:jc w:val="center"/>
              <w:rPr>
                <w:rFonts w:hint="eastAsia" w:ascii="仿宋" w:hAnsi="仿宋" w:eastAsia="仿宋" w:cs="仿宋"/>
                <w:sz w:val="18"/>
              </w:rPr>
            </w:pPr>
          </w:p>
        </w:tc>
      </w:tr>
      <w:tr w14:paraId="5CD5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6178B514">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二</w:t>
            </w:r>
          </w:p>
        </w:tc>
        <w:tc>
          <w:tcPr>
            <w:tcW w:w="3652" w:type="dxa"/>
            <w:vAlign w:val="center"/>
          </w:tcPr>
          <w:p w14:paraId="72EA3B25">
            <w:pPr>
              <w:kinsoku w:val="0"/>
              <w:wordWrap w:val="0"/>
              <w:topLinePunct/>
              <w:spacing w:line="360" w:lineRule="exact"/>
              <w:rPr>
                <w:rFonts w:hint="eastAsia" w:ascii="仿宋" w:hAnsi="仿宋" w:eastAsia="仿宋" w:cs="仿宋"/>
                <w:sz w:val="18"/>
              </w:rPr>
            </w:pPr>
          </w:p>
        </w:tc>
        <w:tc>
          <w:tcPr>
            <w:tcW w:w="1992" w:type="dxa"/>
            <w:vAlign w:val="center"/>
          </w:tcPr>
          <w:p w14:paraId="7A655CC9">
            <w:pPr>
              <w:kinsoku w:val="0"/>
              <w:wordWrap w:val="0"/>
              <w:topLinePunct/>
              <w:spacing w:line="360" w:lineRule="exact"/>
              <w:jc w:val="center"/>
              <w:rPr>
                <w:rFonts w:hint="eastAsia" w:ascii="仿宋" w:hAnsi="仿宋" w:eastAsia="仿宋" w:cs="仿宋"/>
                <w:sz w:val="18"/>
              </w:rPr>
            </w:pPr>
          </w:p>
        </w:tc>
        <w:tc>
          <w:tcPr>
            <w:tcW w:w="2656" w:type="dxa"/>
            <w:vAlign w:val="center"/>
          </w:tcPr>
          <w:p w14:paraId="06B0AA9F">
            <w:pPr>
              <w:kinsoku w:val="0"/>
              <w:wordWrap w:val="0"/>
              <w:topLinePunct/>
              <w:spacing w:line="360" w:lineRule="exact"/>
              <w:jc w:val="center"/>
              <w:rPr>
                <w:rFonts w:hint="eastAsia" w:ascii="仿宋" w:hAnsi="仿宋" w:eastAsia="仿宋" w:cs="仿宋"/>
                <w:sz w:val="18"/>
              </w:rPr>
            </w:pPr>
          </w:p>
        </w:tc>
      </w:tr>
      <w:tr w14:paraId="323A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4B112FFF">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三</w:t>
            </w:r>
          </w:p>
        </w:tc>
        <w:tc>
          <w:tcPr>
            <w:tcW w:w="3652" w:type="dxa"/>
            <w:vAlign w:val="center"/>
          </w:tcPr>
          <w:p w14:paraId="38DAAA5D">
            <w:pPr>
              <w:kinsoku w:val="0"/>
              <w:wordWrap w:val="0"/>
              <w:topLinePunct/>
              <w:spacing w:line="360" w:lineRule="exact"/>
              <w:rPr>
                <w:rFonts w:hint="eastAsia" w:ascii="仿宋" w:hAnsi="仿宋" w:eastAsia="仿宋" w:cs="仿宋"/>
                <w:sz w:val="18"/>
              </w:rPr>
            </w:pPr>
          </w:p>
        </w:tc>
        <w:tc>
          <w:tcPr>
            <w:tcW w:w="1992" w:type="dxa"/>
            <w:vAlign w:val="center"/>
          </w:tcPr>
          <w:p w14:paraId="49E99958">
            <w:pPr>
              <w:kinsoku w:val="0"/>
              <w:wordWrap w:val="0"/>
              <w:topLinePunct/>
              <w:spacing w:line="360" w:lineRule="exact"/>
              <w:jc w:val="center"/>
              <w:rPr>
                <w:rFonts w:hint="eastAsia" w:ascii="仿宋" w:hAnsi="仿宋" w:eastAsia="仿宋" w:cs="仿宋"/>
                <w:sz w:val="18"/>
              </w:rPr>
            </w:pPr>
          </w:p>
        </w:tc>
        <w:tc>
          <w:tcPr>
            <w:tcW w:w="2656" w:type="dxa"/>
            <w:vAlign w:val="center"/>
          </w:tcPr>
          <w:p w14:paraId="688CE92E">
            <w:pPr>
              <w:kinsoku w:val="0"/>
              <w:wordWrap w:val="0"/>
              <w:topLinePunct/>
              <w:spacing w:line="360" w:lineRule="exact"/>
              <w:jc w:val="center"/>
              <w:rPr>
                <w:rFonts w:hint="eastAsia" w:ascii="仿宋" w:hAnsi="仿宋" w:eastAsia="仿宋" w:cs="仿宋"/>
                <w:sz w:val="18"/>
              </w:rPr>
            </w:pPr>
          </w:p>
        </w:tc>
      </w:tr>
      <w:tr w14:paraId="7AAA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31E05424">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四</w:t>
            </w:r>
          </w:p>
        </w:tc>
        <w:tc>
          <w:tcPr>
            <w:tcW w:w="3652" w:type="dxa"/>
            <w:vAlign w:val="center"/>
          </w:tcPr>
          <w:p w14:paraId="708CAA63">
            <w:pPr>
              <w:kinsoku w:val="0"/>
              <w:wordWrap w:val="0"/>
              <w:topLinePunct/>
              <w:spacing w:line="360" w:lineRule="exact"/>
              <w:rPr>
                <w:rFonts w:hint="eastAsia" w:ascii="仿宋" w:hAnsi="仿宋" w:eastAsia="仿宋" w:cs="仿宋"/>
                <w:sz w:val="18"/>
              </w:rPr>
            </w:pPr>
          </w:p>
        </w:tc>
        <w:tc>
          <w:tcPr>
            <w:tcW w:w="1992" w:type="dxa"/>
            <w:vAlign w:val="center"/>
          </w:tcPr>
          <w:p w14:paraId="5129C2FD">
            <w:pPr>
              <w:kinsoku w:val="0"/>
              <w:wordWrap w:val="0"/>
              <w:topLinePunct/>
              <w:spacing w:line="360" w:lineRule="exact"/>
              <w:jc w:val="center"/>
              <w:rPr>
                <w:rFonts w:hint="eastAsia" w:ascii="仿宋" w:hAnsi="仿宋" w:eastAsia="仿宋" w:cs="仿宋"/>
                <w:sz w:val="18"/>
              </w:rPr>
            </w:pPr>
          </w:p>
        </w:tc>
        <w:tc>
          <w:tcPr>
            <w:tcW w:w="2656" w:type="dxa"/>
            <w:vAlign w:val="center"/>
          </w:tcPr>
          <w:p w14:paraId="05107815">
            <w:pPr>
              <w:kinsoku w:val="0"/>
              <w:wordWrap w:val="0"/>
              <w:topLinePunct/>
              <w:spacing w:line="360" w:lineRule="exact"/>
              <w:jc w:val="center"/>
              <w:rPr>
                <w:rFonts w:hint="eastAsia" w:ascii="仿宋" w:hAnsi="仿宋" w:eastAsia="仿宋" w:cs="仿宋"/>
                <w:sz w:val="18"/>
              </w:rPr>
            </w:pPr>
          </w:p>
        </w:tc>
      </w:tr>
      <w:tr w14:paraId="304B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5DE4A2B1">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五</w:t>
            </w:r>
          </w:p>
        </w:tc>
        <w:tc>
          <w:tcPr>
            <w:tcW w:w="3652" w:type="dxa"/>
            <w:vAlign w:val="center"/>
          </w:tcPr>
          <w:p w14:paraId="32E49E83">
            <w:pPr>
              <w:kinsoku w:val="0"/>
              <w:wordWrap w:val="0"/>
              <w:topLinePunct/>
              <w:spacing w:line="360" w:lineRule="exact"/>
              <w:rPr>
                <w:rFonts w:hint="eastAsia" w:ascii="仿宋" w:hAnsi="仿宋" w:eastAsia="仿宋" w:cs="仿宋"/>
                <w:sz w:val="18"/>
              </w:rPr>
            </w:pPr>
          </w:p>
        </w:tc>
        <w:tc>
          <w:tcPr>
            <w:tcW w:w="1992" w:type="dxa"/>
            <w:vAlign w:val="center"/>
          </w:tcPr>
          <w:p w14:paraId="6D1EC3B1">
            <w:pPr>
              <w:kinsoku w:val="0"/>
              <w:wordWrap w:val="0"/>
              <w:topLinePunct/>
              <w:spacing w:line="360" w:lineRule="exact"/>
              <w:jc w:val="center"/>
              <w:rPr>
                <w:rFonts w:hint="eastAsia" w:ascii="仿宋" w:hAnsi="仿宋" w:eastAsia="仿宋" w:cs="仿宋"/>
                <w:sz w:val="18"/>
              </w:rPr>
            </w:pPr>
          </w:p>
        </w:tc>
        <w:tc>
          <w:tcPr>
            <w:tcW w:w="2656" w:type="dxa"/>
            <w:vAlign w:val="center"/>
          </w:tcPr>
          <w:p w14:paraId="733B096E">
            <w:pPr>
              <w:kinsoku w:val="0"/>
              <w:wordWrap w:val="0"/>
              <w:topLinePunct/>
              <w:spacing w:line="360" w:lineRule="exact"/>
              <w:jc w:val="center"/>
              <w:rPr>
                <w:rFonts w:hint="eastAsia" w:ascii="仿宋" w:hAnsi="仿宋" w:eastAsia="仿宋" w:cs="仿宋"/>
                <w:sz w:val="18"/>
              </w:rPr>
            </w:pPr>
          </w:p>
        </w:tc>
      </w:tr>
      <w:tr w14:paraId="3991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47C6FD9F">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六</w:t>
            </w:r>
          </w:p>
        </w:tc>
        <w:tc>
          <w:tcPr>
            <w:tcW w:w="3652" w:type="dxa"/>
            <w:vAlign w:val="center"/>
          </w:tcPr>
          <w:p w14:paraId="420D90EF">
            <w:pPr>
              <w:kinsoku w:val="0"/>
              <w:wordWrap w:val="0"/>
              <w:topLinePunct/>
              <w:spacing w:line="360" w:lineRule="exact"/>
              <w:rPr>
                <w:rFonts w:hint="eastAsia" w:ascii="仿宋" w:hAnsi="仿宋" w:eastAsia="仿宋" w:cs="仿宋"/>
                <w:sz w:val="18"/>
              </w:rPr>
            </w:pPr>
          </w:p>
        </w:tc>
        <w:tc>
          <w:tcPr>
            <w:tcW w:w="1992" w:type="dxa"/>
            <w:vAlign w:val="center"/>
          </w:tcPr>
          <w:p w14:paraId="4FF4B289">
            <w:pPr>
              <w:kinsoku w:val="0"/>
              <w:wordWrap w:val="0"/>
              <w:topLinePunct/>
              <w:spacing w:line="360" w:lineRule="exact"/>
              <w:jc w:val="center"/>
              <w:rPr>
                <w:rFonts w:hint="eastAsia" w:ascii="仿宋" w:hAnsi="仿宋" w:eastAsia="仿宋" w:cs="仿宋"/>
                <w:sz w:val="18"/>
              </w:rPr>
            </w:pPr>
          </w:p>
        </w:tc>
        <w:tc>
          <w:tcPr>
            <w:tcW w:w="2656" w:type="dxa"/>
            <w:vAlign w:val="center"/>
          </w:tcPr>
          <w:p w14:paraId="66322ABE">
            <w:pPr>
              <w:kinsoku w:val="0"/>
              <w:wordWrap w:val="0"/>
              <w:topLinePunct/>
              <w:spacing w:line="360" w:lineRule="exact"/>
              <w:jc w:val="center"/>
              <w:rPr>
                <w:rFonts w:hint="eastAsia" w:ascii="仿宋" w:hAnsi="仿宋" w:eastAsia="仿宋" w:cs="仿宋"/>
                <w:sz w:val="18"/>
              </w:rPr>
            </w:pPr>
          </w:p>
        </w:tc>
      </w:tr>
      <w:tr w14:paraId="6284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30B69AEA">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七</w:t>
            </w:r>
          </w:p>
        </w:tc>
        <w:tc>
          <w:tcPr>
            <w:tcW w:w="3652" w:type="dxa"/>
            <w:vAlign w:val="center"/>
          </w:tcPr>
          <w:p w14:paraId="0FC84700">
            <w:pPr>
              <w:kinsoku w:val="0"/>
              <w:wordWrap w:val="0"/>
              <w:topLinePunct/>
              <w:spacing w:line="360" w:lineRule="exact"/>
              <w:rPr>
                <w:rFonts w:hint="eastAsia" w:ascii="仿宋" w:hAnsi="仿宋" w:eastAsia="仿宋" w:cs="仿宋"/>
                <w:sz w:val="18"/>
              </w:rPr>
            </w:pPr>
          </w:p>
        </w:tc>
        <w:tc>
          <w:tcPr>
            <w:tcW w:w="1992" w:type="dxa"/>
            <w:vAlign w:val="center"/>
          </w:tcPr>
          <w:p w14:paraId="5C78BF74">
            <w:pPr>
              <w:kinsoku w:val="0"/>
              <w:wordWrap w:val="0"/>
              <w:topLinePunct/>
              <w:spacing w:line="360" w:lineRule="exact"/>
              <w:jc w:val="center"/>
              <w:rPr>
                <w:rFonts w:hint="eastAsia" w:ascii="仿宋" w:hAnsi="仿宋" w:eastAsia="仿宋" w:cs="仿宋"/>
                <w:sz w:val="18"/>
              </w:rPr>
            </w:pPr>
          </w:p>
        </w:tc>
        <w:tc>
          <w:tcPr>
            <w:tcW w:w="2656" w:type="dxa"/>
            <w:vAlign w:val="center"/>
          </w:tcPr>
          <w:p w14:paraId="49004AEC">
            <w:pPr>
              <w:kinsoku w:val="0"/>
              <w:wordWrap w:val="0"/>
              <w:topLinePunct/>
              <w:spacing w:line="360" w:lineRule="exact"/>
              <w:jc w:val="center"/>
              <w:rPr>
                <w:rFonts w:hint="eastAsia" w:ascii="仿宋" w:hAnsi="仿宋" w:eastAsia="仿宋" w:cs="仿宋"/>
                <w:sz w:val="18"/>
              </w:rPr>
            </w:pPr>
          </w:p>
        </w:tc>
      </w:tr>
      <w:tr w14:paraId="509F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1D4293D4">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八</w:t>
            </w:r>
          </w:p>
        </w:tc>
        <w:tc>
          <w:tcPr>
            <w:tcW w:w="3652" w:type="dxa"/>
            <w:vAlign w:val="center"/>
          </w:tcPr>
          <w:p w14:paraId="64524574">
            <w:pPr>
              <w:kinsoku w:val="0"/>
              <w:wordWrap w:val="0"/>
              <w:topLinePunct/>
              <w:spacing w:line="360" w:lineRule="exact"/>
              <w:rPr>
                <w:rFonts w:hint="eastAsia" w:ascii="仿宋" w:hAnsi="仿宋" w:eastAsia="仿宋" w:cs="仿宋"/>
                <w:sz w:val="18"/>
              </w:rPr>
            </w:pPr>
          </w:p>
        </w:tc>
        <w:tc>
          <w:tcPr>
            <w:tcW w:w="1992" w:type="dxa"/>
            <w:vAlign w:val="center"/>
          </w:tcPr>
          <w:p w14:paraId="054FE9EE">
            <w:pPr>
              <w:kinsoku w:val="0"/>
              <w:wordWrap w:val="0"/>
              <w:topLinePunct/>
              <w:spacing w:line="360" w:lineRule="exact"/>
              <w:jc w:val="center"/>
              <w:rPr>
                <w:rFonts w:hint="eastAsia" w:ascii="仿宋" w:hAnsi="仿宋" w:eastAsia="仿宋" w:cs="仿宋"/>
                <w:sz w:val="18"/>
              </w:rPr>
            </w:pPr>
          </w:p>
        </w:tc>
        <w:tc>
          <w:tcPr>
            <w:tcW w:w="2656" w:type="dxa"/>
            <w:vAlign w:val="center"/>
          </w:tcPr>
          <w:p w14:paraId="6D65B96D">
            <w:pPr>
              <w:kinsoku w:val="0"/>
              <w:wordWrap w:val="0"/>
              <w:topLinePunct/>
              <w:spacing w:line="360" w:lineRule="exact"/>
              <w:jc w:val="center"/>
              <w:rPr>
                <w:rFonts w:hint="eastAsia" w:ascii="仿宋" w:hAnsi="仿宋" w:eastAsia="仿宋" w:cs="仿宋"/>
                <w:sz w:val="18"/>
              </w:rPr>
            </w:pPr>
          </w:p>
        </w:tc>
      </w:tr>
    </w:tbl>
    <w:p w14:paraId="77B06D14">
      <w:pPr>
        <w:kinsoku w:val="0"/>
        <w:wordWrap w:val="0"/>
        <w:topLinePunct/>
        <w:spacing w:line="360" w:lineRule="exact"/>
        <w:rPr>
          <w:rFonts w:hint="eastAsia" w:ascii="仿宋" w:hAnsi="仿宋" w:eastAsia="仿宋" w:cs="仿宋"/>
          <w:sz w:val="24"/>
        </w:rPr>
      </w:pPr>
    </w:p>
    <w:p w14:paraId="322F88F0">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14:paraId="36D1B495">
      <w:pPr>
        <w:kinsoku w:val="0"/>
        <w:wordWrap w:val="0"/>
        <w:topLinePunct/>
        <w:rPr>
          <w:rFonts w:hint="eastAsia" w:ascii="仿宋" w:hAnsi="仿宋" w:eastAsia="仿宋" w:cs="仿宋"/>
        </w:rPr>
      </w:pPr>
    </w:p>
    <w:p w14:paraId="17415121">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服务承诺书（格式）</w:t>
      </w:r>
    </w:p>
    <w:p w14:paraId="48A8410C">
      <w:pPr>
        <w:kinsoku w:val="0"/>
        <w:wordWrap w:val="0"/>
        <w:topLinePunct/>
        <w:ind w:left="851" w:hanging="851"/>
        <w:jc w:val="center"/>
        <w:rPr>
          <w:rFonts w:hint="eastAsia" w:ascii="仿宋" w:hAnsi="仿宋" w:eastAsia="仿宋" w:cs="仿宋"/>
        </w:rPr>
      </w:pPr>
    </w:p>
    <w:p w14:paraId="5BBB9617">
      <w:pPr>
        <w:kinsoku w:val="0"/>
        <w:wordWrap w:val="0"/>
        <w:topLinePunct/>
        <w:ind w:left="851" w:hanging="851"/>
        <w:rPr>
          <w:rFonts w:hint="eastAsia" w:ascii="仿宋" w:hAnsi="仿宋" w:eastAsia="仿宋" w:cs="仿宋"/>
          <w:sz w:val="24"/>
        </w:rPr>
      </w:pPr>
      <w:r>
        <w:rPr>
          <w:rFonts w:hint="eastAsia" w:ascii="仿宋" w:hAnsi="仿宋" w:eastAsia="仿宋" w:cs="仿宋"/>
          <w:sz w:val="24"/>
        </w:rPr>
        <w:t>致：汕头大学医学院：</w:t>
      </w:r>
    </w:p>
    <w:p w14:paraId="04709430">
      <w:pPr>
        <w:kinsoku w:val="0"/>
        <w:wordWrap w:val="0"/>
        <w:topLinePunct/>
        <w:ind w:firstLine="664"/>
        <w:rPr>
          <w:rFonts w:hint="eastAsia"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号（招标编号）招标书，我们同意招标文件中有关服务的要求，对所投的技术服务承诺如下服务：</w:t>
      </w:r>
    </w:p>
    <w:p w14:paraId="696708D0">
      <w:pPr>
        <w:kinsoku w:val="0"/>
        <w:wordWrap w:val="0"/>
        <w:topLinePunct/>
        <w:ind w:firstLine="664"/>
        <w:rPr>
          <w:rFonts w:hint="eastAsia" w:ascii="仿宋" w:hAnsi="仿宋" w:eastAsia="仿宋" w:cs="仿宋"/>
          <w:sz w:val="24"/>
        </w:rPr>
      </w:pPr>
    </w:p>
    <w:p w14:paraId="5E50984B">
      <w:pPr>
        <w:kinsoku w:val="0"/>
        <w:wordWrap w:val="0"/>
        <w:topLinePunct/>
        <w:ind w:firstLine="664"/>
        <w:rPr>
          <w:rFonts w:hint="eastAsia" w:ascii="仿宋" w:hAnsi="仿宋" w:eastAsia="仿宋" w:cs="仿宋"/>
          <w:sz w:val="24"/>
        </w:rPr>
      </w:pPr>
    </w:p>
    <w:p w14:paraId="1A1AB71F">
      <w:pPr>
        <w:kinsoku w:val="0"/>
        <w:wordWrap w:val="0"/>
        <w:topLinePunct/>
        <w:ind w:firstLine="664"/>
        <w:rPr>
          <w:rFonts w:hint="eastAsia" w:ascii="仿宋" w:hAnsi="仿宋" w:eastAsia="仿宋" w:cs="仿宋"/>
          <w:sz w:val="24"/>
        </w:rPr>
      </w:pPr>
    </w:p>
    <w:p w14:paraId="3A9D992D">
      <w:pPr>
        <w:kinsoku w:val="0"/>
        <w:wordWrap w:val="0"/>
        <w:topLinePunct/>
        <w:ind w:firstLine="664"/>
        <w:rPr>
          <w:rFonts w:hint="eastAsia" w:ascii="仿宋" w:hAnsi="仿宋" w:eastAsia="仿宋" w:cs="仿宋"/>
          <w:sz w:val="24"/>
        </w:rPr>
      </w:pPr>
    </w:p>
    <w:p w14:paraId="5B79AE75">
      <w:pPr>
        <w:kinsoku w:val="0"/>
        <w:wordWrap w:val="0"/>
        <w:topLinePunct/>
        <w:ind w:firstLine="664"/>
        <w:rPr>
          <w:rFonts w:hint="eastAsia" w:ascii="仿宋" w:hAnsi="仿宋" w:eastAsia="仿宋" w:cs="仿宋"/>
          <w:sz w:val="24"/>
        </w:rPr>
      </w:pPr>
    </w:p>
    <w:p w14:paraId="126EA7BC">
      <w:pPr>
        <w:kinsoku w:val="0"/>
        <w:wordWrap w:val="0"/>
        <w:topLinePunct/>
        <w:ind w:firstLine="664"/>
        <w:rPr>
          <w:rFonts w:hint="eastAsia" w:ascii="仿宋" w:hAnsi="仿宋" w:eastAsia="仿宋" w:cs="仿宋"/>
          <w:sz w:val="24"/>
        </w:rPr>
      </w:pPr>
    </w:p>
    <w:p w14:paraId="7464D7F4">
      <w:pPr>
        <w:kinsoku w:val="0"/>
        <w:wordWrap w:val="0"/>
        <w:topLinePunct/>
        <w:ind w:firstLine="664"/>
        <w:rPr>
          <w:rFonts w:hint="eastAsia" w:ascii="仿宋" w:hAnsi="仿宋" w:eastAsia="仿宋" w:cs="仿宋"/>
          <w:sz w:val="24"/>
        </w:rPr>
      </w:pPr>
    </w:p>
    <w:p w14:paraId="18205017">
      <w:pPr>
        <w:kinsoku w:val="0"/>
        <w:wordWrap w:val="0"/>
        <w:topLinePunct/>
        <w:ind w:firstLine="664"/>
        <w:rPr>
          <w:rFonts w:hint="eastAsia" w:ascii="仿宋" w:hAnsi="仿宋" w:eastAsia="仿宋" w:cs="仿宋"/>
          <w:sz w:val="24"/>
        </w:rPr>
      </w:pPr>
    </w:p>
    <w:p w14:paraId="120D0D06">
      <w:pPr>
        <w:kinsoku w:val="0"/>
        <w:wordWrap w:val="0"/>
        <w:topLinePunct/>
        <w:ind w:firstLine="664"/>
        <w:rPr>
          <w:rFonts w:hint="eastAsia" w:ascii="仿宋" w:hAnsi="仿宋" w:eastAsia="仿宋" w:cs="仿宋"/>
          <w:sz w:val="24"/>
        </w:rPr>
      </w:pPr>
    </w:p>
    <w:p w14:paraId="2EBA59EA">
      <w:pPr>
        <w:kinsoku w:val="0"/>
        <w:wordWrap w:val="0"/>
        <w:topLinePunct/>
        <w:ind w:firstLine="664"/>
        <w:rPr>
          <w:rFonts w:hint="eastAsia" w:ascii="仿宋" w:hAnsi="仿宋" w:eastAsia="仿宋" w:cs="仿宋"/>
          <w:sz w:val="24"/>
        </w:rPr>
      </w:pPr>
      <w:r>
        <w:rPr>
          <w:rFonts w:hint="eastAsia" w:ascii="仿宋" w:hAnsi="仿宋" w:eastAsia="仿宋" w:cs="仿宋"/>
          <w:sz w:val="24"/>
        </w:rPr>
        <w:t>特此承诺！</w:t>
      </w:r>
    </w:p>
    <w:p w14:paraId="731FE559">
      <w:pPr>
        <w:kinsoku w:val="0"/>
        <w:wordWrap w:val="0"/>
        <w:topLinePunct/>
        <w:ind w:firstLine="664"/>
        <w:rPr>
          <w:rFonts w:hint="eastAsia" w:ascii="仿宋" w:hAnsi="仿宋" w:eastAsia="仿宋" w:cs="仿宋"/>
          <w:sz w:val="24"/>
        </w:rPr>
      </w:pPr>
    </w:p>
    <w:p w14:paraId="187BD0F4">
      <w:pPr>
        <w:kinsoku w:val="0"/>
        <w:wordWrap w:val="0"/>
        <w:topLinePunct/>
        <w:rPr>
          <w:rFonts w:hint="eastAsia" w:ascii="仿宋" w:hAnsi="仿宋" w:eastAsia="仿宋" w:cs="仿宋"/>
          <w:sz w:val="24"/>
        </w:rPr>
      </w:pPr>
      <w:r>
        <w:rPr>
          <w:rFonts w:hint="eastAsia" w:ascii="仿宋" w:hAnsi="仿宋" w:eastAsia="仿宋" w:cs="仿宋"/>
          <w:sz w:val="24"/>
        </w:rPr>
        <w:t xml:space="preserve">    承诺方授权代表签字：</w:t>
      </w:r>
      <w:r>
        <w:rPr>
          <w:rFonts w:hint="eastAsia" w:ascii="仿宋" w:hAnsi="仿宋" w:eastAsia="仿宋" w:cs="仿宋"/>
          <w:sz w:val="24"/>
          <w:u w:val="single"/>
        </w:rPr>
        <w:t xml:space="preserve">                    </w:t>
      </w:r>
    </w:p>
    <w:p w14:paraId="49C6762A">
      <w:pPr>
        <w:kinsoku w:val="0"/>
        <w:wordWrap w:val="0"/>
        <w:topLinePunct/>
        <w:rPr>
          <w:rFonts w:hint="eastAsia" w:ascii="仿宋" w:hAnsi="仿宋" w:eastAsia="仿宋" w:cs="仿宋"/>
          <w:sz w:val="24"/>
        </w:rPr>
      </w:pPr>
      <w:r>
        <w:rPr>
          <w:rFonts w:hint="eastAsia" w:ascii="仿宋" w:hAnsi="仿宋" w:eastAsia="仿宋" w:cs="仿宋"/>
          <w:sz w:val="24"/>
        </w:rPr>
        <w:t xml:space="preserve">    职      位:</w:t>
      </w:r>
      <w:r>
        <w:rPr>
          <w:rFonts w:hint="eastAsia" w:ascii="仿宋" w:hAnsi="仿宋" w:eastAsia="仿宋" w:cs="仿宋"/>
          <w:sz w:val="24"/>
          <w:u w:val="single"/>
        </w:rPr>
        <w:t xml:space="preserve">                             </w:t>
      </w:r>
    </w:p>
    <w:p w14:paraId="7927E205">
      <w:pPr>
        <w:kinsoku w:val="0"/>
        <w:wordWrap w:val="0"/>
        <w:topLinePunct/>
        <w:rPr>
          <w:rFonts w:hint="eastAsia" w:ascii="仿宋" w:hAnsi="仿宋" w:eastAsia="仿宋" w:cs="仿宋"/>
          <w:sz w:val="24"/>
        </w:rPr>
      </w:pPr>
      <w:r>
        <w:rPr>
          <w:rFonts w:hint="eastAsia" w:ascii="仿宋" w:hAnsi="仿宋" w:eastAsia="仿宋" w:cs="仿宋"/>
          <w:sz w:val="24"/>
        </w:rPr>
        <w:t xml:space="preserve">    承诺方名称:</w:t>
      </w:r>
      <w:r>
        <w:rPr>
          <w:rFonts w:hint="eastAsia" w:ascii="仿宋" w:hAnsi="仿宋" w:eastAsia="仿宋" w:cs="仿宋"/>
          <w:sz w:val="24"/>
          <w:u w:val="single"/>
        </w:rPr>
        <w:t xml:space="preserve">                             </w:t>
      </w:r>
    </w:p>
    <w:p w14:paraId="2E655B2F">
      <w:pPr>
        <w:kinsoku w:val="0"/>
        <w:wordWrap w:val="0"/>
        <w:topLinePunct/>
        <w:rPr>
          <w:rFonts w:hint="eastAsia" w:ascii="仿宋" w:hAnsi="仿宋" w:eastAsia="仿宋" w:cs="仿宋"/>
          <w:sz w:val="24"/>
        </w:rPr>
      </w:pPr>
      <w:r>
        <w:rPr>
          <w:rFonts w:hint="eastAsia" w:ascii="仿宋" w:hAnsi="仿宋" w:eastAsia="仿宋" w:cs="仿宋"/>
          <w:sz w:val="24"/>
        </w:rPr>
        <w:t xml:space="preserve">    承诺方印章:</w:t>
      </w:r>
      <w:r>
        <w:rPr>
          <w:rFonts w:hint="eastAsia" w:ascii="仿宋" w:hAnsi="仿宋" w:eastAsia="仿宋" w:cs="仿宋"/>
          <w:sz w:val="24"/>
          <w:u w:val="single"/>
        </w:rPr>
        <w:t xml:space="preserve">                             </w:t>
      </w:r>
    </w:p>
    <w:p w14:paraId="41423E26">
      <w:pPr>
        <w:kinsoku w:val="0"/>
        <w:wordWrap w:val="0"/>
        <w:topLinePunct/>
        <w:rPr>
          <w:rFonts w:hint="eastAsia" w:ascii="仿宋" w:hAnsi="仿宋" w:eastAsia="仿宋" w:cs="仿宋"/>
          <w:sz w:val="24"/>
        </w:rPr>
      </w:pPr>
      <w:r>
        <w:rPr>
          <w:rFonts w:hint="eastAsia" w:ascii="仿宋" w:hAnsi="仿宋" w:eastAsia="仿宋" w:cs="仿宋"/>
          <w:sz w:val="24"/>
        </w:rPr>
        <w:t xml:space="preserve">   </w:t>
      </w:r>
    </w:p>
    <w:p w14:paraId="39BEBDC8">
      <w:pPr>
        <w:kinsoku w:val="0"/>
        <w:wordWrap w:val="0"/>
        <w:topLinePunct/>
        <w:ind w:firstLine="735"/>
        <w:rPr>
          <w:rFonts w:hint="eastAsia" w:ascii="仿宋" w:hAnsi="仿宋" w:eastAsia="仿宋" w:cs="仿宋"/>
          <w:sz w:val="24"/>
        </w:rPr>
      </w:pPr>
      <w:r>
        <w:rPr>
          <w:rFonts w:hint="eastAsia" w:ascii="仿宋" w:hAnsi="仿宋" w:eastAsia="仿宋" w:cs="仿宋"/>
          <w:sz w:val="24"/>
        </w:rPr>
        <w:t>地  址：</w:t>
      </w:r>
    </w:p>
    <w:p w14:paraId="3C517A43">
      <w:pPr>
        <w:kinsoku w:val="0"/>
        <w:wordWrap w:val="0"/>
        <w:topLinePunct/>
        <w:ind w:firstLine="735"/>
        <w:rPr>
          <w:rFonts w:hint="eastAsia" w:ascii="仿宋" w:hAnsi="仿宋" w:eastAsia="仿宋" w:cs="仿宋"/>
          <w:sz w:val="24"/>
        </w:rPr>
      </w:pPr>
      <w:r>
        <w:rPr>
          <w:rFonts w:hint="eastAsia" w:ascii="仿宋" w:hAnsi="仿宋" w:eastAsia="仿宋" w:cs="仿宋"/>
          <w:sz w:val="24"/>
        </w:rPr>
        <w:t>邮  编：</w:t>
      </w:r>
    </w:p>
    <w:p w14:paraId="4490B2B2">
      <w:pPr>
        <w:kinsoku w:val="0"/>
        <w:wordWrap w:val="0"/>
        <w:topLinePunct/>
        <w:ind w:firstLine="735"/>
        <w:rPr>
          <w:rFonts w:hint="eastAsia" w:ascii="仿宋" w:hAnsi="仿宋" w:eastAsia="仿宋" w:cs="仿宋"/>
          <w:sz w:val="24"/>
        </w:rPr>
      </w:pPr>
      <w:r>
        <w:rPr>
          <w:rFonts w:hint="eastAsia" w:ascii="仿宋" w:hAnsi="仿宋" w:eastAsia="仿宋" w:cs="仿宋"/>
          <w:sz w:val="24"/>
        </w:rPr>
        <w:t>电  话：</w:t>
      </w:r>
    </w:p>
    <w:p w14:paraId="69FC9FD6">
      <w:pPr>
        <w:kinsoku w:val="0"/>
        <w:wordWrap w:val="0"/>
        <w:topLinePunct/>
        <w:ind w:firstLine="735"/>
        <w:rPr>
          <w:rFonts w:hint="eastAsia" w:ascii="仿宋" w:hAnsi="仿宋" w:eastAsia="仿宋" w:cs="仿宋"/>
          <w:sz w:val="24"/>
        </w:rPr>
      </w:pPr>
      <w:r>
        <w:rPr>
          <w:rFonts w:hint="eastAsia" w:ascii="仿宋" w:hAnsi="仿宋" w:eastAsia="仿宋" w:cs="仿宋"/>
          <w:sz w:val="24"/>
        </w:rPr>
        <w:t>传  真：</w:t>
      </w:r>
    </w:p>
    <w:p w14:paraId="32159130">
      <w:pPr>
        <w:kinsoku w:val="0"/>
        <w:wordWrap w:val="0"/>
        <w:topLinePunct/>
        <w:rPr>
          <w:rFonts w:hint="eastAsia" w:ascii="仿宋" w:hAnsi="仿宋" w:eastAsia="仿宋" w:cs="仿宋"/>
          <w:sz w:val="24"/>
        </w:rPr>
      </w:pPr>
    </w:p>
    <w:p w14:paraId="144BF60B">
      <w:pPr>
        <w:kinsoku w:val="0"/>
        <w:wordWrap w:val="0"/>
        <w:topLinePunct/>
        <w:rPr>
          <w:rFonts w:hint="eastAsia" w:ascii="仿宋" w:hAnsi="仿宋" w:eastAsia="仿宋" w:cs="仿宋"/>
          <w:sz w:val="24"/>
        </w:rPr>
      </w:pPr>
    </w:p>
    <w:p w14:paraId="6A73C538">
      <w:pPr>
        <w:kinsoku w:val="0"/>
        <w:wordWrap w:val="0"/>
        <w:topLinePunct/>
        <w:rPr>
          <w:rFonts w:hint="eastAsia" w:ascii="仿宋" w:hAnsi="仿宋" w:eastAsia="仿宋" w:cs="仿宋"/>
          <w:sz w:val="24"/>
        </w:rPr>
      </w:pPr>
    </w:p>
    <w:p w14:paraId="5E5475FA">
      <w:pPr>
        <w:kinsoku w:val="0"/>
        <w:wordWrap w:val="0"/>
        <w:topLinePunct/>
        <w:rPr>
          <w:rFonts w:hint="eastAsia" w:ascii="仿宋" w:hAnsi="仿宋" w:eastAsia="仿宋" w:cs="仿宋"/>
          <w:sz w:val="24"/>
        </w:rPr>
      </w:pPr>
    </w:p>
    <w:p w14:paraId="7E744A21">
      <w:pPr>
        <w:kinsoku w:val="0"/>
        <w:wordWrap w:val="0"/>
        <w:topLinePunct/>
        <w:ind w:left="851" w:hanging="851"/>
        <w:rPr>
          <w:rFonts w:hint="eastAsia" w:ascii="仿宋" w:hAnsi="仿宋" w:eastAsia="仿宋" w:cs="仿宋"/>
          <w:sz w:val="24"/>
        </w:rPr>
      </w:pPr>
      <w:r>
        <w:rPr>
          <w:rFonts w:hint="eastAsia" w:ascii="仿宋" w:hAnsi="仿宋" w:eastAsia="仿宋" w:cs="仿宋"/>
          <w:sz w:val="24"/>
        </w:rPr>
        <w:t xml:space="preserve"> </w:t>
      </w:r>
    </w:p>
    <w:p w14:paraId="035CEE6C">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投标书附件3：</w:t>
      </w:r>
    </w:p>
    <w:p w14:paraId="6DC392F4">
      <w:pPr>
        <w:kinsoku w:val="0"/>
        <w:wordWrap w:val="0"/>
        <w:topLinePunct/>
        <w:ind w:left="851" w:hanging="851"/>
        <w:rPr>
          <w:rFonts w:hint="eastAsia" w:ascii="仿宋" w:hAnsi="仿宋" w:eastAsia="仿宋" w:cs="仿宋"/>
          <w:sz w:val="24"/>
        </w:rPr>
      </w:pPr>
    </w:p>
    <w:p w14:paraId="0BE19BE5">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关于资格文件声明的函</w:t>
      </w:r>
    </w:p>
    <w:p w14:paraId="639A377C">
      <w:pPr>
        <w:kinsoku w:val="0"/>
        <w:wordWrap w:val="0"/>
        <w:topLinePunct/>
        <w:ind w:left="851" w:hanging="851"/>
        <w:rPr>
          <w:rFonts w:hint="eastAsia" w:ascii="仿宋" w:hAnsi="仿宋" w:eastAsia="仿宋" w:cs="仿宋"/>
          <w:sz w:val="24"/>
        </w:rPr>
      </w:pPr>
    </w:p>
    <w:p w14:paraId="55C94029">
      <w:pPr>
        <w:kinsoku w:val="0"/>
        <w:wordWrap w:val="0"/>
        <w:topLinePunct/>
        <w:spacing w:after="180"/>
        <w:ind w:left="850" w:hanging="266"/>
        <w:rPr>
          <w:rFonts w:hint="eastAsia" w:ascii="仿宋" w:hAnsi="仿宋" w:eastAsia="仿宋" w:cs="仿宋"/>
          <w:sz w:val="24"/>
        </w:rPr>
      </w:pPr>
      <w:r>
        <w:rPr>
          <w:rFonts w:hint="eastAsia" w:ascii="仿宋" w:hAnsi="仿宋" w:eastAsia="仿宋" w:cs="仿宋"/>
          <w:sz w:val="24"/>
        </w:rPr>
        <w:t>致：汕头大学医学院</w:t>
      </w:r>
    </w:p>
    <w:p w14:paraId="30628924">
      <w:pPr>
        <w:kinsoku w:val="0"/>
        <w:wordWrap w:val="0"/>
        <w:topLinePunct/>
        <w:spacing w:after="180"/>
        <w:ind w:firstLine="585"/>
        <w:rPr>
          <w:rFonts w:hint="eastAsia" w:ascii="仿宋" w:hAnsi="仿宋" w:eastAsia="仿宋" w:cs="仿宋"/>
          <w:sz w:val="24"/>
        </w:rPr>
      </w:pPr>
      <w:r>
        <w:rPr>
          <w:rFonts w:hint="eastAsia" w:ascii="仿宋" w:hAnsi="仿宋" w:eastAsia="仿宋" w:cs="仿宋"/>
          <w:sz w:val="24"/>
        </w:rPr>
        <w:t>关于贵方</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日设</w:t>
      </w:r>
      <w:r>
        <w:rPr>
          <w:rFonts w:hint="eastAsia" w:ascii="仿宋" w:hAnsi="仿宋" w:eastAsia="仿宋" w:cs="仿宋"/>
          <w:sz w:val="24"/>
          <w:u w:val="single"/>
        </w:rPr>
        <w:t xml:space="preserve">           </w:t>
      </w:r>
      <w:r>
        <w:rPr>
          <w:rFonts w:hint="eastAsia" w:ascii="仿宋" w:hAnsi="仿宋" w:eastAsia="仿宋" w:cs="仿宋"/>
          <w:sz w:val="24"/>
        </w:rPr>
        <w:t>号招标文件的投标邀请，本签字人愿意参加投标，并证明提交的资格文件和说明是准确的和真实的。</w:t>
      </w:r>
    </w:p>
    <w:p w14:paraId="47A5C3B5">
      <w:pPr>
        <w:kinsoku w:val="0"/>
        <w:wordWrap w:val="0"/>
        <w:topLinePunct/>
        <w:spacing w:after="180"/>
        <w:rPr>
          <w:rFonts w:hint="eastAsia" w:ascii="仿宋" w:hAnsi="仿宋" w:eastAsia="仿宋" w:cs="仿宋"/>
          <w:sz w:val="24"/>
        </w:rPr>
      </w:pPr>
    </w:p>
    <w:p w14:paraId="5F303D98">
      <w:pPr>
        <w:kinsoku w:val="0"/>
        <w:wordWrap w:val="0"/>
        <w:topLinePunct/>
        <w:spacing w:after="180"/>
        <w:rPr>
          <w:rFonts w:hint="eastAsia" w:ascii="仿宋" w:hAnsi="仿宋" w:eastAsia="仿宋" w:cs="仿宋"/>
          <w:sz w:val="24"/>
        </w:rPr>
      </w:pPr>
    </w:p>
    <w:p w14:paraId="45037BA2">
      <w:pPr>
        <w:kinsoku w:val="0"/>
        <w:wordWrap w:val="0"/>
        <w:topLinePunct/>
        <w:spacing w:after="180"/>
        <w:rPr>
          <w:rFonts w:hint="eastAsia" w:ascii="仿宋" w:hAnsi="仿宋" w:eastAsia="仿宋" w:cs="仿宋"/>
          <w:sz w:val="24"/>
        </w:rPr>
      </w:pPr>
      <w:r>
        <w:rPr>
          <w:rFonts w:hint="eastAsia" w:ascii="仿宋" w:hAnsi="仿宋" w:eastAsia="仿宋" w:cs="仿宋"/>
          <w:sz w:val="24"/>
        </w:rPr>
        <w:t>单位名称和地址：              授权签署本资格文件人：</w:t>
      </w:r>
    </w:p>
    <w:p w14:paraId="4AD0AE4B">
      <w:pPr>
        <w:kinsoku w:val="0"/>
        <w:wordWrap w:val="0"/>
        <w:topLinePunct/>
        <w:spacing w:after="1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 xml:space="preserve">     签  字：</w:t>
      </w:r>
      <w:r>
        <w:rPr>
          <w:rFonts w:hint="eastAsia" w:ascii="仿宋" w:hAnsi="仿宋" w:eastAsia="仿宋" w:cs="仿宋"/>
          <w:sz w:val="24"/>
          <w:u w:val="single"/>
        </w:rPr>
        <w:t xml:space="preserve">                 </w:t>
      </w:r>
      <w:r>
        <w:rPr>
          <w:rFonts w:hint="eastAsia" w:ascii="仿宋" w:hAnsi="仿宋" w:eastAsia="仿宋" w:cs="仿宋"/>
          <w:sz w:val="24"/>
        </w:rPr>
        <w:t>.</w:t>
      </w:r>
    </w:p>
    <w:p w14:paraId="24DBDD5F">
      <w:pPr>
        <w:kinsoku w:val="0"/>
        <w:wordWrap w:val="0"/>
        <w:topLinePunct/>
        <w:spacing w:after="1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签字人姓名、职务（印刷体）</w:t>
      </w:r>
    </w:p>
    <w:p w14:paraId="604AC611">
      <w:pPr>
        <w:kinsoku w:val="0"/>
        <w:wordWrap w:val="0"/>
        <w:topLinePunct/>
        <w:spacing w:after="180"/>
        <w:rPr>
          <w:rFonts w:hint="eastAsia"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14:paraId="26F8BF6C">
      <w:pPr>
        <w:kinsoku w:val="0"/>
        <w:wordWrap w:val="0"/>
        <w:topLinePunct/>
        <w:spacing w:after="180"/>
        <w:rPr>
          <w:rFonts w:hint="eastAsia" w:ascii="仿宋" w:hAnsi="仿宋" w:eastAsia="仿宋" w:cs="仿宋"/>
          <w:sz w:val="24"/>
        </w:rPr>
      </w:pPr>
      <w:r>
        <w:rPr>
          <w:rFonts w:hint="eastAsia" w:ascii="仿宋" w:hAnsi="仿宋" w:eastAsia="仿宋" w:cs="仿宋"/>
          <w:sz w:val="24"/>
        </w:rPr>
        <w:t>邮  编：</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r>
        <w:rPr>
          <w:rFonts w:hint="eastAsia" w:ascii="仿宋" w:hAnsi="仿宋" w:eastAsia="仿宋" w:cs="仿宋"/>
          <w:sz w:val="24"/>
        </w:rPr>
        <w:t>.</w:t>
      </w:r>
    </w:p>
    <w:p w14:paraId="4892D1DA">
      <w:pPr>
        <w:kinsoku w:val="0"/>
        <w:wordWrap w:val="0"/>
        <w:topLinePunct/>
        <w:spacing w:after="180"/>
        <w:rPr>
          <w:rFonts w:hint="eastAsia" w:ascii="仿宋" w:hAnsi="仿宋" w:eastAsia="仿宋" w:cs="仿宋"/>
          <w:sz w:val="24"/>
        </w:rPr>
      </w:pPr>
    </w:p>
    <w:p w14:paraId="08DB0D05">
      <w:pPr>
        <w:kinsoku w:val="0"/>
        <w:wordWrap w:val="0"/>
        <w:topLinePunct/>
        <w:spacing w:after="180"/>
        <w:rPr>
          <w:rFonts w:hint="eastAsia" w:ascii="仿宋" w:hAnsi="仿宋" w:eastAsia="仿宋" w:cs="仿宋"/>
          <w:sz w:val="24"/>
        </w:rPr>
      </w:pPr>
    </w:p>
    <w:p w14:paraId="66746B1C">
      <w:pPr>
        <w:kinsoku w:val="0"/>
        <w:wordWrap w:val="0"/>
        <w:topLinePunct/>
        <w:spacing w:after="180"/>
        <w:rPr>
          <w:rFonts w:hint="eastAsia" w:ascii="仿宋" w:hAnsi="仿宋" w:eastAsia="仿宋" w:cs="仿宋"/>
          <w:sz w:val="24"/>
        </w:rPr>
      </w:pPr>
    </w:p>
    <w:p w14:paraId="245D4229">
      <w:pPr>
        <w:kinsoku w:val="0"/>
        <w:wordWrap w:val="0"/>
        <w:topLinePunct/>
        <w:spacing w:after="180"/>
        <w:rPr>
          <w:rFonts w:hint="eastAsia" w:ascii="仿宋" w:hAnsi="仿宋" w:eastAsia="仿宋" w:cs="仿宋"/>
          <w:sz w:val="24"/>
        </w:rPr>
      </w:pPr>
    </w:p>
    <w:p w14:paraId="7769EE87">
      <w:pPr>
        <w:kinsoku w:val="0"/>
        <w:wordWrap w:val="0"/>
        <w:topLinePunct/>
        <w:spacing w:after="180"/>
        <w:rPr>
          <w:rFonts w:hint="eastAsia" w:ascii="仿宋" w:hAnsi="仿宋" w:eastAsia="仿宋" w:cs="仿宋"/>
          <w:sz w:val="24"/>
        </w:rPr>
      </w:pPr>
    </w:p>
    <w:p w14:paraId="7B32AF97">
      <w:pPr>
        <w:kinsoku w:val="0"/>
        <w:wordWrap w:val="0"/>
        <w:topLinePunct/>
        <w:spacing w:after="180"/>
        <w:rPr>
          <w:rFonts w:hint="eastAsia" w:ascii="仿宋" w:hAnsi="仿宋" w:eastAsia="仿宋" w:cs="仿宋"/>
          <w:sz w:val="24"/>
        </w:rPr>
      </w:pPr>
    </w:p>
    <w:p w14:paraId="041F90C6">
      <w:pPr>
        <w:kinsoku w:val="0"/>
        <w:wordWrap w:val="0"/>
        <w:topLinePunct/>
        <w:spacing w:after="180"/>
        <w:rPr>
          <w:rFonts w:hint="eastAsia" w:ascii="仿宋" w:hAnsi="仿宋" w:eastAsia="仿宋" w:cs="仿宋"/>
          <w:sz w:val="24"/>
        </w:rPr>
      </w:pPr>
    </w:p>
    <w:p w14:paraId="66B83A94">
      <w:pPr>
        <w:kinsoku w:val="0"/>
        <w:wordWrap w:val="0"/>
        <w:topLinePunct/>
        <w:spacing w:after="180"/>
        <w:rPr>
          <w:rFonts w:hint="eastAsia" w:ascii="仿宋" w:hAnsi="仿宋" w:eastAsia="仿宋" w:cs="仿宋"/>
          <w:sz w:val="24"/>
        </w:rPr>
      </w:pPr>
    </w:p>
    <w:p w14:paraId="147E2471">
      <w:pPr>
        <w:kinsoku w:val="0"/>
        <w:wordWrap w:val="0"/>
        <w:topLinePunct/>
        <w:spacing w:after="180"/>
        <w:rPr>
          <w:rFonts w:hint="eastAsia" w:ascii="仿宋" w:hAnsi="仿宋" w:eastAsia="仿宋" w:cs="仿宋"/>
          <w:sz w:val="24"/>
        </w:rPr>
      </w:pPr>
    </w:p>
    <w:p w14:paraId="05AA8F0A">
      <w:pPr>
        <w:kinsoku w:val="0"/>
        <w:wordWrap w:val="0"/>
        <w:topLinePunct/>
        <w:spacing w:after="180"/>
        <w:rPr>
          <w:rFonts w:hint="eastAsia" w:ascii="仿宋" w:hAnsi="仿宋" w:eastAsia="仿宋" w:cs="仿宋"/>
          <w:sz w:val="24"/>
        </w:rPr>
      </w:pPr>
    </w:p>
    <w:p w14:paraId="4C7499F5">
      <w:pPr>
        <w:kinsoku w:val="0"/>
        <w:wordWrap w:val="0"/>
        <w:topLinePunct/>
        <w:spacing w:after="180"/>
        <w:rPr>
          <w:rFonts w:hint="eastAsia" w:ascii="仿宋" w:hAnsi="仿宋" w:eastAsia="仿宋" w:cs="仿宋"/>
          <w:sz w:val="24"/>
        </w:rPr>
      </w:pPr>
    </w:p>
    <w:p w14:paraId="2E3BBB7A">
      <w:pPr>
        <w:kinsoku w:val="0"/>
        <w:wordWrap w:val="0"/>
        <w:topLinePunct/>
        <w:spacing w:after="180"/>
        <w:rPr>
          <w:rFonts w:hint="eastAsia" w:ascii="仿宋" w:hAnsi="仿宋" w:eastAsia="仿宋" w:cs="仿宋"/>
          <w:sz w:val="24"/>
        </w:rPr>
      </w:pPr>
    </w:p>
    <w:p w14:paraId="0F03250B">
      <w:pPr>
        <w:kinsoku w:val="0"/>
        <w:wordWrap w:val="0"/>
        <w:topLinePunct/>
        <w:spacing w:after="180"/>
        <w:rPr>
          <w:rFonts w:hint="eastAsia" w:ascii="仿宋" w:hAnsi="仿宋" w:eastAsia="仿宋" w:cs="仿宋"/>
          <w:sz w:val="24"/>
        </w:rPr>
      </w:pPr>
    </w:p>
    <w:p w14:paraId="64F99BB6">
      <w:pPr>
        <w:kinsoku w:val="0"/>
        <w:wordWrap w:val="0"/>
        <w:topLinePunct/>
        <w:spacing w:after="180"/>
        <w:rPr>
          <w:rFonts w:hint="eastAsia" w:ascii="仿宋" w:hAnsi="仿宋" w:eastAsia="仿宋" w:cs="仿宋"/>
          <w:sz w:val="24"/>
        </w:rPr>
      </w:pPr>
      <w:r>
        <w:rPr>
          <w:rFonts w:hint="eastAsia" w:ascii="仿宋" w:hAnsi="仿宋" w:eastAsia="仿宋" w:cs="仿宋"/>
          <w:sz w:val="24"/>
        </w:rPr>
        <w:t>投标书附件4：</w:t>
      </w:r>
    </w:p>
    <w:p w14:paraId="01863780">
      <w:pPr>
        <w:kinsoku w:val="0"/>
        <w:wordWrap w:val="0"/>
        <w:topLinePunct/>
        <w:spacing w:after="180"/>
        <w:rPr>
          <w:rFonts w:hint="eastAsia" w:ascii="仿宋" w:hAnsi="仿宋" w:eastAsia="仿宋" w:cs="仿宋"/>
          <w:sz w:val="24"/>
        </w:rPr>
      </w:pPr>
    </w:p>
    <w:p w14:paraId="6747F4E2">
      <w:pPr>
        <w:kinsoku w:val="0"/>
        <w:wordWrap w:val="0"/>
        <w:topLinePunct/>
        <w:spacing w:after="180"/>
        <w:jc w:val="center"/>
        <w:rPr>
          <w:rFonts w:hint="eastAsia" w:ascii="仿宋" w:hAnsi="仿宋" w:eastAsia="仿宋" w:cs="仿宋"/>
          <w:b/>
          <w:sz w:val="32"/>
        </w:rPr>
      </w:pPr>
      <w:r>
        <w:rPr>
          <w:rFonts w:hint="eastAsia" w:ascii="仿宋" w:hAnsi="仿宋" w:eastAsia="仿宋" w:cs="仿宋"/>
          <w:b/>
          <w:sz w:val="32"/>
        </w:rPr>
        <w:t>资 格 文 件</w:t>
      </w:r>
    </w:p>
    <w:p w14:paraId="670A6D1F">
      <w:pPr>
        <w:kinsoku w:val="0"/>
        <w:wordWrap w:val="0"/>
        <w:topLinePunct/>
        <w:spacing w:after="180"/>
        <w:rPr>
          <w:rFonts w:hint="eastAsia" w:ascii="仿宋" w:hAnsi="仿宋" w:eastAsia="仿宋" w:cs="仿宋"/>
          <w:sz w:val="24"/>
        </w:rPr>
      </w:pPr>
    </w:p>
    <w:p w14:paraId="5291EB9E">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投标人应按下列要求提交资格文件：</w:t>
      </w:r>
    </w:p>
    <w:p w14:paraId="57EF7556">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1. 投标人全称和注册国。</w:t>
      </w:r>
    </w:p>
    <w:p w14:paraId="1A5F5AEF">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2. 营业执照和工商局签发的销售许可证（复印件）。</w:t>
      </w:r>
    </w:p>
    <w:p w14:paraId="499E148E">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3. 开户银行名称和帐号。</w:t>
      </w:r>
    </w:p>
    <w:p w14:paraId="58FEBB33">
      <w:pPr>
        <w:kinsoku w:val="0"/>
        <w:wordWrap w:val="0"/>
        <w:topLinePunct/>
        <w:spacing w:after="180"/>
        <w:ind w:firstLine="292" w:firstLineChars="100"/>
        <w:rPr>
          <w:rFonts w:hint="eastAsia" w:ascii="仿宋" w:hAnsi="仿宋" w:eastAsia="仿宋" w:cs="仿宋"/>
          <w:sz w:val="24"/>
        </w:rPr>
      </w:pPr>
      <w:r>
        <w:rPr>
          <w:rFonts w:hint="eastAsia" w:ascii="仿宋" w:hAnsi="仿宋" w:eastAsia="仿宋" w:cs="仿宋"/>
          <w:sz w:val="24"/>
        </w:rPr>
        <w:t xml:space="preserve">  4. 参加本项目招标采购活动前三年内，在经营活动中没有重大违法记录书面声明。</w:t>
      </w:r>
    </w:p>
    <w:p w14:paraId="19197A43">
      <w:pPr>
        <w:kinsoku w:val="0"/>
        <w:wordWrap w:val="0"/>
        <w:topLinePunct/>
        <w:spacing w:after="180"/>
        <w:ind w:left="332" w:leftChars="100" w:firstLine="292" w:firstLineChars="100"/>
        <w:rPr>
          <w:rFonts w:hint="eastAsia" w:ascii="仿宋" w:hAnsi="仿宋" w:eastAsia="仿宋" w:cs="仿宋"/>
          <w:sz w:val="24"/>
        </w:rPr>
      </w:pPr>
      <w:r>
        <w:rPr>
          <w:rFonts w:hint="eastAsia" w:ascii="仿宋" w:hAnsi="仿宋" w:eastAsia="仿宋" w:cs="仿宋"/>
          <w:sz w:val="24"/>
        </w:rPr>
        <w:t>5. 投标人未被列入“信用中国”网站失信被执行人、重大税收违法案件严重违法失信行为记录名单 (截图）。</w:t>
      </w:r>
    </w:p>
    <w:p w14:paraId="256219EB">
      <w:pPr>
        <w:kinsoku w:val="0"/>
        <w:wordWrap w:val="0"/>
        <w:topLinePunct/>
        <w:spacing w:after="180"/>
        <w:ind w:left="332" w:leftChars="100"/>
        <w:rPr>
          <w:rFonts w:hint="eastAsia" w:ascii="仿宋" w:hAnsi="仿宋" w:eastAsia="仿宋" w:cs="仿宋"/>
          <w:sz w:val="24"/>
        </w:rPr>
      </w:pPr>
    </w:p>
    <w:p w14:paraId="6CE03553">
      <w:pPr>
        <w:kinsoku w:val="0"/>
        <w:wordWrap w:val="0"/>
        <w:topLinePunct/>
        <w:spacing w:after="180"/>
        <w:ind w:left="332" w:leftChars="100"/>
        <w:rPr>
          <w:rFonts w:hint="eastAsia" w:ascii="仿宋" w:hAnsi="仿宋" w:eastAsia="仿宋" w:cs="仿宋"/>
          <w:sz w:val="24"/>
        </w:rPr>
      </w:pPr>
    </w:p>
    <w:p w14:paraId="309BFF27">
      <w:pPr>
        <w:kinsoku w:val="0"/>
        <w:wordWrap w:val="0"/>
        <w:topLinePunct/>
        <w:spacing w:after="180"/>
        <w:ind w:left="332" w:leftChars="100"/>
        <w:rPr>
          <w:rFonts w:hint="eastAsia" w:ascii="仿宋" w:hAnsi="仿宋" w:eastAsia="仿宋" w:cs="仿宋"/>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9CD6D">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5</w:t>
    </w:r>
    <w:r>
      <w:fldChar w:fldCharType="end"/>
    </w:r>
  </w:p>
  <w:p w14:paraId="6DF956F8">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2A106">
    <w:pPr>
      <w:pStyle w:val="14"/>
      <w:framePr w:wrap="around" w:vAnchor="text" w:hAnchor="margin" w:xAlign="center" w:y="1"/>
      <w:rPr>
        <w:rStyle w:val="26"/>
      </w:rPr>
    </w:pPr>
    <w:r>
      <w:fldChar w:fldCharType="begin"/>
    </w:r>
    <w:r>
      <w:rPr>
        <w:rStyle w:val="26"/>
      </w:rPr>
      <w:instrText xml:space="preserve">PAGE  </w:instrText>
    </w:r>
    <w:r>
      <w:fldChar w:fldCharType="end"/>
    </w:r>
  </w:p>
  <w:p w14:paraId="7FFFFD99">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DD0BE">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084CF"/>
    <w:multiLevelType w:val="singleLevel"/>
    <w:tmpl w:val="A46084CF"/>
    <w:lvl w:ilvl="0" w:tentative="0">
      <w:start w:val="5"/>
      <w:numFmt w:val="chineseCounting"/>
      <w:suff w:val="nothing"/>
      <w:lvlText w:val="%1．"/>
      <w:lvlJc w:val="left"/>
      <w:pPr>
        <w:ind w:left="-2"/>
      </w:pPr>
      <w:rPr>
        <w:rFonts w:hint="eastAsia"/>
      </w:rPr>
    </w:lvl>
  </w:abstractNum>
  <w:abstractNum w:abstractNumId="1">
    <w:nsid w:val="C11B6864"/>
    <w:multiLevelType w:val="singleLevel"/>
    <w:tmpl w:val="C11B6864"/>
    <w:lvl w:ilvl="0" w:tentative="0">
      <w:start w:val="2"/>
      <w:numFmt w:val="chineseCounting"/>
      <w:suff w:val="nothing"/>
      <w:lvlText w:val="（%1）"/>
      <w:lvlJc w:val="left"/>
      <w:rPr>
        <w:rFonts w:hint="eastAsia"/>
      </w:rPr>
    </w:lvl>
  </w:abstractNum>
  <w:abstractNum w:abstractNumId="2">
    <w:nsid w:val="EAB01A2B"/>
    <w:multiLevelType w:val="singleLevel"/>
    <w:tmpl w:val="EAB01A2B"/>
    <w:lvl w:ilvl="0" w:tentative="0">
      <w:start w:val="3"/>
      <w:numFmt w:val="chineseCounting"/>
      <w:suff w:val="space"/>
      <w:lvlText w:val="%1."/>
      <w:lvlJc w:val="left"/>
      <w:rPr>
        <w:rFonts w:hint="eastAsia"/>
      </w:rPr>
    </w:lvl>
  </w:abstractNum>
  <w:abstractNum w:abstractNumId="3">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4">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6">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7">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9">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0">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5"/>
  </w:num>
  <w:num w:numId="2">
    <w:abstractNumId w:val="4"/>
  </w:num>
  <w:num w:numId="3">
    <w:abstractNumId w:val="10"/>
  </w:num>
  <w:num w:numId="4">
    <w:abstractNumId w:val="6"/>
  </w:num>
  <w:num w:numId="5">
    <w:abstractNumId w:val="8"/>
  </w:num>
  <w:num w:numId="6">
    <w:abstractNumId w:val="9"/>
  </w:num>
  <w:num w:numId="7">
    <w:abstractNumId w:val="3"/>
  </w:num>
  <w:num w:numId="8">
    <w:abstractNumId w:val="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66"/>
  <w:drawingGridVerticalSpacing w:val="38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jlhODNjYjM4NGFlZjVhNWM3NjIxNmE4ZjU5Zjc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0981"/>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039D"/>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062CE"/>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54DA"/>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02C6"/>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5E"/>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A5D66"/>
    <w:rsid w:val="008B3399"/>
    <w:rsid w:val="008C1D5E"/>
    <w:rsid w:val="008C40DC"/>
    <w:rsid w:val="008C797F"/>
    <w:rsid w:val="008D20B9"/>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1EC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5757C"/>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437F"/>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08E1"/>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1317F69"/>
    <w:rsid w:val="023D08FC"/>
    <w:rsid w:val="026F331C"/>
    <w:rsid w:val="03206BDA"/>
    <w:rsid w:val="03716D43"/>
    <w:rsid w:val="03775DB5"/>
    <w:rsid w:val="09B94900"/>
    <w:rsid w:val="09C6132E"/>
    <w:rsid w:val="0A1D0E2A"/>
    <w:rsid w:val="0A3B3092"/>
    <w:rsid w:val="0C282FB3"/>
    <w:rsid w:val="0C8E76F7"/>
    <w:rsid w:val="11F019C5"/>
    <w:rsid w:val="12B92680"/>
    <w:rsid w:val="152E4A94"/>
    <w:rsid w:val="19B375B6"/>
    <w:rsid w:val="1C1652FB"/>
    <w:rsid w:val="1D240237"/>
    <w:rsid w:val="202820DF"/>
    <w:rsid w:val="20573810"/>
    <w:rsid w:val="215238B8"/>
    <w:rsid w:val="215C64E4"/>
    <w:rsid w:val="24FF7744"/>
    <w:rsid w:val="2613738E"/>
    <w:rsid w:val="2926384E"/>
    <w:rsid w:val="2BC71179"/>
    <w:rsid w:val="2C9E05DE"/>
    <w:rsid w:val="2DE34591"/>
    <w:rsid w:val="316A76F3"/>
    <w:rsid w:val="31BD23E9"/>
    <w:rsid w:val="33D13DB6"/>
    <w:rsid w:val="3603653E"/>
    <w:rsid w:val="36D79310"/>
    <w:rsid w:val="3722616E"/>
    <w:rsid w:val="38EF3C8A"/>
    <w:rsid w:val="3BFF1BF0"/>
    <w:rsid w:val="3DC92CFC"/>
    <w:rsid w:val="3EC27A88"/>
    <w:rsid w:val="40963817"/>
    <w:rsid w:val="41DE42F4"/>
    <w:rsid w:val="45AD4CB1"/>
    <w:rsid w:val="48A31ADA"/>
    <w:rsid w:val="498774ED"/>
    <w:rsid w:val="4B45104C"/>
    <w:rsid w:val="4B607184"/>
    <w:rsid w:val="4CA12E77"/>
    <w:rsid w:val="52207D76"/>
    <w:rsid w:val="535E1403"/>
    <w:rsid w:val="54324F24"/>
    <w:rsid w:val="56871D14"/>
    <w:rsid w:val="56BF7C5F"/>
    <w:rsid w:val="57407362"/>
    <w:rsid w:val="5CBA2826"/>
    <w:rsid w:val="60312ADF"/>
    <w:rsid w:val="62051CA5"/>
    <w:rsid w:val="62F16D94"/>
    <w:rsid w:val="682827B6"/>
    <w:rsid w:val="68BB30BE"/>
    <w:rsid w:val="69BBC1A5"/>
    <w:rsid w:val="6AD627DF"/>
    <w:rsid w:val="6AF175B2"/>
    <w:rsid w:val="6B3770AB"/>
    <w:rsid w:val="6C8430D7"/>
    <w:rsid w:val="6FA378A1"/>
    <w:rsid w:val="6FB70371"/>
    <w:rsid w:val="743577CE"/>
    <w:rsid w:val="757A523F"/>
    <w:rsid w:val="76D76A84"/>
    <w:rsid w:val="776E3C1A"/>
    <w:rsid w:val="79A36D9F"/>
    <w:rsid w:val="7C9F63FA"/>
    <w:rsid w:val="7CFF7162"/>
    <w:rsid w:val="7D94D7BF"/>
    <w:rsid w:val="7EFF0E57"/>
    <w:rsid w:val="7F1906E6"/>
    <w:rsid w:val="7F61049C"/>
    <w:rsid w:val="7FC610DE"/>
    <w:rsid w:val="7FF3AA6F"/>
    <w:rsid w:val="9F630494"/>
    <w:rsid w:val="BFA85E09"/>
    <w:rsid w:val="DCDC9AD0"/>
    <w:rsid w:val="EDAF029D"/>
    <w:rsid w:val="FBB33233"/>
    <w:rsid w:val="FBCD2A09"/>
    <w:rsid w:val="FFD5CF30"/>
    <w:rsid w:val="FFEB6D86"/>
    <w:rsid w:val="FFF8E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link w:val="100"/>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1">
    <w:name w:val="annotation subject"/>
    <w:basedOn w:val="8"/>
    <w:next w:val="8"/>
    <w:link w:val="101"/>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Emphasis"/>
    <w:basedOn w:val="24"/>
    <w:qFormat/>
    <w:uiPriority w:val="0"/>
    <w:rPr>
      <w:color w:val="CC0033"/>
    </w:rPr>
  </w:style>
  <w:style w:type="character" w:styleId="29">
    <w:name w:val="Hyperlink"/>
    <w:basedOn w:val="24"/>
    <w:qFormat/>
    <w:uiPriority w:val="0"/>
    <w:rPr>
      <w:color w:val="0000FF"/>
      <w:u w:val="single"/>
    </w:rPr>
  </w:style>
  <w:style w:type="character" w:styleId="30">
    <w:name w:val="annotation reference"/>
    <w:basedOn w:val="24"/>
    <w:semiHidden/>
    <w:qFormat/>
    <w:uiPriority w:val="0"/>
    <w:rPr>
      <w:sz w:val="21"/>
    </w:rPr>
  </w:style>
  <w:style w:type="character" w:customStyle="1" w:styleId="31">
    <w:name w:val="font141"/>
    <w:basedOn w:val="24"/>
    <w:qFormat/>
    <w:uiPriority w:val="0"/>
  </w:style>
  <w:style w:type="character" w:customStyle="1" w:styleId="32">
    <w:name w:val="style31"/>
    <w:basedOn w:val="24"/>
    <w:qFormat/>
    <w:uiPriority w:val="0"/>
    <w:rPr>
      <w:b/>
      <w:bCs/>
      <w:color w:val="A16601"/>
    </w:rPr>
  </w:style>
  <w:style w:type="character" w:customStyle="1" w:styleId="33">
    <w:name w:val="dct-tt"/>
    <w:basedOn w:val="24"/>
    <w:qFormat/>
    <w:uiPriority w:val="0"/>
    <w:rPr>
      <w:rFonts w:hint="default" w:ascii="Arial" w:hAnsi="Arial" w:cs="Arial"/>
    </w:rPr>
  </w:style>
  <w:style w:type="character" w:customStyle="1" w:styleId="34">
    <w:name w:val="style36"/>
    <w:basedOn w:val="24"/>
    <w:qFormat/>
    <w:uiPriority w:val="0"/>
  </w:style>
  <w:style w:type="character" w:customStyle="1" w:styleId="35">
    <w:name w:val="search_highlight2"/>
    <w:basedOn w:val="24"/>
    <w:qFormat/>
    <w:uiPriority w:val="0"/>
    <w:rPr>
      <w:rFonts w:hint="default" w:ascii="Arial" w:hAnsi="Arial" w:cs="Arial"/>
      <w:shd w:val="clear" w:color="auto" w:fill="FFFFB0"/>
    </w:rPr>
  </w:style>
  <w:style w:type="character" w:customStyle="1" w:styleId="36">
    <w:name w:val="style4"/>
    <w:basedOn w:val="24"/>
    <w:qFormat/>
    <w:uiPriority w:val="0"/>
  </w:style>
  <w:style w:type="character" w:customStyle="1" w:styleId="37">
    <w:name w:val="f141"/>
    <w:basedOn w:val="24"/>
    <w:qFormat/>
    <w:uiPriority w:val="0"/>
    <w:rPr>
      <w:b/>
      <w:bCs/>
      <w:sz w:val="21"/>
      <w:szCs w:val="21"/>
    </w:rPr>
  </w:style>
  <w:style w:type="character" w:customStyle="1" w:styleId="38">
    <w:name w:val="hei12b"/>
    <w:basedOn w:val="24"/>
    <w:qFormat/>
    <w:uiPriority w:val="0"/>
  </w:style>
  <w:style w:type="paragraph" w:customStyle="1" w:styleId="39">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1">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3">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5">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7">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8">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9">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0">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1">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2">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6">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8">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9">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0">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1">
    <w:name w:val="Char Char Char Char"/>
    <w:basedOn w:val="1"/>
    <w:qFormat/>
    <w:uiPriority w:val="0"/>
    <w:rPr>
      <w:rFonts w:eastAsia="宋体"/>
      <w:sz w:val="21"/>
    </w:rPr>
  </w:style>
  <w:style w:type="paragraph" w:customStyle="1" w:styleId="62">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3">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4">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5">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6">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7">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8">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9">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70">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1">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2">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3">
    <w:name w:val="列出段落1"/>
    <w:basedOn w:val="1"/>
    <w:qFormat/>
    <w:uiPriority w:val="0"/>
    <w:pPr>
      <w:suppressAutoHyphens/>
      <w:ind w:left="720"/>
      <w:jc w:val="left"/>
    </w:pPr>
    <w:rPr>
      <w:rFonts w:eastAsia="Times New Roman"/>
      <w:kern w:val="0"/>
      <w:sz w:val="24"/>
      <w:szCs w:val="24"/>
      <w:lang w:eastAsia="ar-SA"/>
    </w:rPr>
  </w:style>
  <w:style w:type="paragraph" w:customStyle="1" w:styleId="74">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5">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6">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7">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8">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9">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0">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1">
    <w:name w:val="UP标题3"/>
    <w:basedOn w:val="1"/>
    <w:qFormat/>
    <w:uiPriority w:val="0"/>
    <w:pPr>
      <w:spacing w:line="360" w:lineRule="auto"/>
      <w:ind w:firstLine="149" w:firstLineChars="149"/>
    </w:pPr>
    <w:rPr>
      <w:rFonts w:ascii="黑体" w:hAnsi="Calibri" w:eastAsia="黑体" w:cs="宋体"/>
      <w:szCs w:val="28"/>
    </w:rPr>
  </w:style>
  <w:style w:type="paragraph" w:customStyle="1" w:styleId="82">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3">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4">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6">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7">
    <w:name w:val="列表段落1"/>
    <w:basedOn w:val="1"/>
    <w:qFormat/>
    <w:uiPriority w:val="0"/>
    <w:pPr>
      <w:ind w:firstLine="420" w:firstLineChars="200"/>
    </w:pPr>
    <w:rPr>
      <w:rFonts w:eastAsia="Times New Roman"/>
      <w:sz w:val="21"/>
      <w:szCs w:val="24"/>
    </w:rPr>
  </w:style>
  <w:style w:type="paragraph" w:customStyle="1" w:styleId="88">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9">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9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1">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2">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4">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5">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96">
    <w:name w:val="列表段落11"/>
    <w:basedOn w:val="1"/>
    <w:qFormat/>
    <w:uiPriority w:val="0"/>
    <w:pPr>
      <w:ind w:firstLine="420" w:firstLineChars="200"/>
    </w:pPr>
    <w:rPr>
      <w:rFonts w:eastAsia="Times New Roman"/>
      <w:szCs w:val="24"/>
    </w:rPr>
  </w:style>
  <w:style w:type="paragraph" w:styleId="97">
    <w:name w:val="List Paragraph"/>
    <w:basedOn w:val="1"/>
    <w:qFormat/>
    <w:uiPriority w:val="99"/>
    <w:pPr>
      <w:ind w:firstLine="420" w:firstLineChars="200"/>
    </w:pPr>
  </w:style>
  <w:style w:type="paragraph" w:customStyle="1" w:styleId="98">
    <w:name w:val="表格文字"/>
    <w:basedOn w:val="1"/>
    <w:autoRedefine/>
    <w:qFormat/>
    <w:uiPriority w:val="0"/>
    <w:pPr>
      <w:spacing w:before="25" w:after="25"/>
      <w:jc w:val="left"/>
    </w:pPr>
    <w:rPr>
      <w:bCs/>
      <w:spacing w:val="10"/>
      <w:kern w:val="0"/>
      <w:sz w:val="24"/>
    </w:rPr>
  </w:style>
  <w:style w:type="paragraph" w:customStyle="1" w:styleId="99">
    <w:name w:val="修订1"/>
    <w:hidden/>
    <w:unhideWhenUsed/>
    <w:qFormat/>
    <w:uiPriority w:val="99"/>
    <w:rPr>
      <w:rFonts w:ascii="Times New Roman" w:hAnsi="Times New Roman" w:eastAsia="仿宋_GB2312" w:cs="Times New Roman"/>
      <w:kern w:val="2"/>
      <w:sz w:val="28"/>
      <w:lang w:val="en-US" w:eastAsia="zh-CN" w:bidi="ar-SA"/>
    </w:rPr>
  </w:style>
  <w:style w:type="character" w:customStyle="1" w:styleId="100">
    <w:name w:val="批注文字 字符"/>
    <w:basedOn w:val="24"/>
    <w:link w:val="8"/>
    <w:semiHidden/>
    <w:qFormat/>
    <w:uiPriority w:val="0"/>
    <w:rPr>
      <w:rFonts w:eastAsia="仿宋_GB2312"/>
      <w:kern w:val="2"/>
      <w:sz w:val="28"/>
    </w:rPr>
  </w:style>
  <w:style w:type="character" w:customStyle="1" w:styleId="101">
    <w:name w:val="批注主题 字符"/>
    <w:basedOn w:val="100"/>
    <w:link w:val="21"/>
    <w:qFormat/>
    <w:uiPriority w:val="0"/>
    <w:rPr>
      <w:rFonts w:eastAsia="仿宋_GB2312"/>
      <w:b/>
      <w:bCs/>
      <w:kern w:val="2"/>
      <w:sz w:val="28"/>
    </w:rPr>
  </w:style>
  <w:style w:type="paragraph" w:customStyle="1" w:styleId="102">
    <w:name w:val="Revision"/>
    <w:hidden/>
    <w:unhideWhenUsed/>
    <w:qFormat/>
    <w:uiPriority w:val="99"/>
    <w:rPr>
      <w:rFonts w:ascii="Times New Roman" w:hAnsi="Times New Roman" w:eastAsia="仿宋_GB2312"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设备办</Company>
  <Pages>18</Pages>
  <Words>993</Words>
  <Characters>1097</Characters>
  <Lines>252</Lines>
  <Paragraphs>265</Paragraphs>
  <TotalTime>23</TotalTime>
  <ScaleCrop>false</ScaleCrop>
  <LinksUpToDate>false</LinksUpToDate>
  <CharactersWithSpaces>1141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2015-12-21T18:26:00Z</dcterms:created>
  <dc:creator>许慰玲</dc:creator>
  <cp:lastModifiedBy>微笑</cp:lastModifiedBy>
  <cp:lastPrinted>2015-06-12T16:58:00Z</cp:lastPrinted>
  <dcterms:modified xsi:type="dcterms:W3CDTF">2025-07-14T01:42:21Z</dcterms:modified>
  <dc:title>广东省政府采购中心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AEAF44BB6619407685B6C95015DAEA53_13</vt:lpwstr>
  </property>
  <property fmtid="{D5CDD505-2E9C-101B-9397-08002B2CF9AE}" pid="4" name="KSOTemplateDocerSaveRecord">
    <vt:lpwstr>eyJoZGlkIjoiMDVjMzQ1OTRlZTFhN2Y3OGU0MDU2MjdkYTkzYjE4NTIiLCJ1c2VySWQiOiIxMzkwMzI0Nzk0In0=</vt:lpwstr>
  </property>
</Properties>
</file>