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D144E">
      <w:pPr>
        <w:pStyle w:val="2"/>
        <w:kinsoku w:val="0"/>
        <w:wordWrap w:val="0"/>
        <w:topLinePunct/>
        <w:autoSpaceDE/>
        <w:spacing w:line="240" w:lineRule="auto"/>
        <w:ind w:right="-1132" w:rightChars="-341"/>
        <w:jc w:val="center"/>
        <w:rPr>
          <w:rFonts w:hint="eastAsia" w:ascii="仿宋" w:hAnsi="仿宋" w:eastAsia="仿宋" w:cs="仿宋"/>
          <w:sz w:val="32"/>
        </w:rPr>
      </w:pPr>
    </w:p>
    <w:p w14:paraId="52074E49">
      <w:pPr>
        <w:pStyle w:val="2"/>
        <w:kinsoku w:val="0"/>
        <w:wordWrap w:val="0"/>
        <w:topLinePunct/>
        <w:autoSpaceDE/>
        <w:spacing w:line="240" w:lineRule="auto"/>
        <w:jc w:val="center"/>
        <w:rPr>
          <w:rFonts w:hint="eastAsia" w:ascii="仿宋" w:hAnsi="仿宋" w:eastAsia="仿宋" w:cs="仿宋"/>
          <w:sz w:val="44"/>
        </w:rPr>
      </w:pPr>
      <w:r>
        <w:rPr>
          <w:rFonts w:hint="eastAsia" w:ascii="仿宋" w:hAnsi="仿宋" w:eastAsia="仿宋" w:cs="仿宋"/>
          <w:sz w:val="44"/>
        </w:rPr>
        <w:t>汕头大学医学院技术服务招标项目</w:t>
      </w:r>
    </w:p>
    <w:p w14:paraId="2F690095">
      <w:pPr>
        <w:pStyle w:val="2"/>
        <w:kinsoku w:val="0"/>
        <w:wordWrap w:val="0"/>
        <w:topLinePunct/>
        <w:autoSpaceDE/>
        <w:spacing w:line="240" w:lineRule="auto"/>
        <w:jc w:val="center"/>
        <w:rPr>
          <w:rFonts w:hint="eastAsia" w:ascii="仿宋" w:hAnsi="仿宋" w:eastAsia="仿宋" w:cs="仿宋"/>
          <w:sz w:val="44"/>
        </w:rPr>
      </w:pPr>
    </w:p>
    <w:p w14:paraId="76D4EC1F">
      <w:pPr>
        <w:pStyle w:val="2"/>
        <w:kinsoku w:val="0"/>
        <w:wordWrap w:val="0"/>
        <w:topLinePunct/>
        <w:autoSpaceDE/>
        <w:spacing w:line="240" w:lineRule="auto"/>
        <w:jc w:val="center"/>
      </w:pPr>
      <w:r>
        <w:rPr>
          <w:rFonts w:hint="eastAsia"/>
        </w:rPr>
        <w:t>招   标   文   件</w:t>
      </w:r>
    </w:p>
    <w:p w14:paraId="305F99C6">
      <w:pPr>
        <w:kinsoku w:val="0"/>
        <w:wordWrap w:val="0"/>
        <w:topLinePunct/>
        <w:rPr>
          <w:rFonts w:hint="eastAsia" w:ascii="仿宋" w:hAnsi="仿宋" w:eastAsia="仿宋" w:cs="仿宋"/>
        </w:rPr>
      </w:pPr>
    </w:p>
    <w:p w14:paraId="71DEC4EC">
      <w:pPr>
        <w:kinsoku w:val="0"/>
        <w:wordWrap w:val="0"/>
        <w:topLinePunct/>
        <w:rPr>
          <w:rFonts w:hint="eastAsia" w:ascii="仿宋" w:hAnsi="仿宋" w:eastAsia="仿宋" w:cs="仿宋"/>
        </w:rPr>
      </w:pPr>
    </w:p>
    <w:p w14:paraId="7478D778">
      <w:pPr>
        <w:kinsoku w:val="0"/>
        <w:wordWrap w:val="0"/>
        <w:topLinePunct/>
        <w:rPr>
          <w:rFonts w:hint="eastAsia" w:ascii="仿宋" w:hAnsi="仿宋" w:eastAsia="仿宋" w:cs="仿宋"/>
        </w:rPr>
      </w:pPr>
    </w:p>
    <w:p w14:paraId="03576EF3">
      <w:pPr>
        <w:kinsoku w:val="0"/>
        <w:wordWrap w:val="0"/>
        <w:topLinePunct/>
        <w:rPr>
          <w:rFonts w:hint="eastAsia" w:ascii="仿宋" w:hAnsi="仿宋" w:eastAsia="仿宋" w:cs="仿宋"/>
        </w:rPr>
      </w:pPr>
    </w:p>
    <w:p w14:paraId="7432E140">
      <w:pPr>
        <w:kinsoku w:val="0"/>
        <w:wordWrap w:val="0"/>
        <w:topLinePunct/>
        <w:rPr>
          <w:rFonts w:hint="eastAsia" w:ascii="仿宋" w:hAnsi="仿宋" w:eastAsia="仿宋" w:cs="仿宋"/>
        </w:rPr>
      </w:pPr>
    </w:p>
    <w:p w14:paraId="016CD8F8">
      <w:pPr>
        <w:rPr>
          <w:rFonts w:hint="default" w:eastAsia="仿宋_GB2312"/>
          <w:lang w:val="en-US" w:eastAsia="zh-CN"/>
        </w:rPr>
      </w:pPr>
      <w:r>
        <w:rPr>
          <w:rFonts w:hint="eastAsia"/>
        </w:rPr>
        <w:t>招标编号：</w:t>
      </w:r>
      <w:r>
        <w:rPr>
          <w:rFonts w:hint="eastAsia"/>
          <w:highlight w:val="yellow"/>
          <w:lang w:eastAsia="zh-CN"/>
        </w:rPr>
        <w:t>汕医招</w:t>
      </w:r>
      <w:r>
        <w:rPr>
          <w:rFonts w:hint="eastAsia"/>
          <w:highlight w:val="yellow"/>
        </w:rPr>
        <w:t>2025-</w:t>
      </w:r>
      <w:r>
        <w:rPr>
          <w:rFonts w:hint="eastAsia"/>
          <w:highlight w:val="yellow"/>
          <w:lang w:val="en-US" w:eastAsia="zh-CN"/>
        </w:rPr>
        <w:t>12</w:t>
      </w:r>
      <w:r>
        <w:rPr>
          <w:highlight w:val="yellow"/>
        </w:rPr>
        <w:t>-</w:t>
      </w:r>
      <w:r>
        <w:rPr>
          <w:rFonts w:hint="eastAsia"/>
          <w:highlight w:val="yellow"/>
          <w:lang w:val="en-US" w:eastAsia="zh-CN"/>
        </w:rPr>
        <w:t>31</w:t>
      </w:r>
    </w:p>
    <w:p w14:paraId="08E1A979">
      <w:pPr>
        <w:spacing w:line="360" w:lineRule="auto"/>
        <w:jc w:val="center"/>
        <w:rPr>
          <w:rFonts w:hint="eastAsia" w:ascii="仿宋" w:hAnsi="仿宋" w:eastAsia="仿宋" w:cs="仿宋"/>
          <w:sz w:val="30"/>
          <w:szCs w:val="30"/>
        </w:rPr>
      </w:pPr>
      <w:r>
        <w:rPr>
          <w:rFonts w:hint="eastAsia" w:ascii="仿宋" w:hAnsi="仿宋" w:eastAsia="仿宋" w:cs="仿宋"/>
          <w:sz w:val="30"/>
          <w:szCs w:val="30"/>
        </w:rPr>
        <w:t>项目名称：汕头大学医学院血管再狭窄机制研究及特异性基因敲除小鼠模型构建与造模服务招标项目</w:t>
      </w:r>
    </w:p>
    <w:p w14:paraId="28CAB07E">
      <w:pPr>
        <w:kinsoku w:val="0"/>
        <w:wordWrap w:val="0"/>
        <w:topLinePunct/>
        <w:ind w:firstLine="1494"/>
        <w:rPr>
          <w:rFonts w:hint="eastAsia" w:ascii="仿宋" w:hAnsi="仿宋" w:eastAsia="仿宋" w:cs="仿宋"/>
          <w:sz w:val="24"/>
        </w:rPr>
      </w:pPr>
    </w:p>
    <w:p w14:paraId="528B1F6A">
      <w:pPr>
        <w:kinsoku w:val="0"/>
        <w:wordWrap w:val="0"/>
        <w:topLinePunct/>
        <w:rPr>
          <w:rFonts w:hint="eastAsia" w:ascii="仿宋" w:hAnsi="仿宋" w:eastAsia="仿宋" w:cs="仿宋"/>
          <w:sz w:val="24"/>
        </w:rPr>
      </w:pPr>
    </w:p>
    <w:p w14:paraId="19729A91">
      <w:pPr>
        <w:kinsoku w:val="0"/>
        <w:wordWrap w:val="0"/>
        <w:topLinePunct/>
        <w:jc w:val="center"/>
        <w:rPr>
          <w:rFonts w:hint="eastAsia" w:ascii="仿宋" w:hAnsi="仿宋" w:eastAsia="仿宋" w:cs="仿宋"/>
          <w:sz w:val="36"/>
        </w:rPr>
      </w:pPr>
    </w:p>
    <w:p w14:paraId="28618A5A">
      <w:pPr>
        <w:kinsoku w:val="0"/>
        <w:wordWrap w:val="0"/>
        <w:topLinePunct/>
        <w:jc w:val="center"/>
        <w:rPr>
          <w:rFonts w:hint="eastAsia" w:ascii="仿宋" w:hAnsi="仿宋" w:eastAsia="仿宋" w:cs="仿宋"/>
          <w:sz w:val="36"/>
        </w:rPr>
      </w:pPr>
      <w:r>
        <w:rPr>
          <w:rFonts w:hint="eastAsia" w:ascii="仿宋" w:hAnsi="仿宋" w:eastAsia="仿宋" w:cs="仿宋"/>
        </w:rPr>
        <w:drawing>
          <wp:inline distT="0" distB="0" distL="114300" distR="114300">
            <wp:extent cx="752475" cy="828675"/>
            <wp:effectExtent l="0" t="0" r="9525"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7"/>
                    <a:stretch>
                      <a:fillRect/>
                    </a:stretch>
                  </pic:blipFill>
                  <pic:spPr>
                    <a:xfrm>
                      <a:off x="0" y="0"/>
                      <a:ext cx="752475" cy="828675"/>
                    </a:xfrm>
                    <a:prstGeom prst="rect">
                      <a:avLst/>
                    </a:prstGeom>
                    <a:noFill/>
                    <a:ln>
                      <a:noFill/>
                    </a:ln>
                  </pic:spPr>
                </pic:pic>
              </a:graphicData>
            </a:graphic>
          </wp:inline>
        </w:drawing>
      </w:r>
    </w:p>
    <w:p w14:paraId="2B77F675">
      <w:pPr>
        <w:kinsoku w:val="0"/>
        <w:wordWrap w:val="0"/>
        <w:topLinePunct/>
        <w:jc w:val="center"/>
        <w:rPr>
          <w:rFonts w:hint="eastAsia" w:ascii="仿宋" w:hAnsi="仿宋" w:eastAsia="仿宋" w:cs="仿宋"/>
          <w:sz w:val="21"/>
        </w:rPr>
      </w:pPr>
      <w:r>
        <w:rPr>
          <w:rFonts w:hint="eastAsia" w:ascii="仿宋" w:hAnsi="仿宋" w:eastAsia="仿宋" w:cs="仿宋"/>
          <w:sz w:val="21"/>
        </w:rPr>
        <w:t>(欢迎访问我们的网站:http://www.med.stu.edu.cn)</w:t>
      </w:r>
    </w:p>
    <w:p w14:paraId="6D887D6E">
      <w:pPr>
        <w:kinsoku w:val="0"/>
        <w:wordWrap w:val="0"/>
        <w:topLinePunct/>
        <w:jc w:val="center"/>
        <w:rPr>
          <w:rFonts w:hint="eastAsia" w:ascii="仿宋" w:hAnsi="仿宋" w:eastAsia="仿宋" w:cs="仿宋"/>
        </w:rPr>
      </w:pPr>
    </w:p>
    <w:p w14:paraId="39C62C5F">
      <w:pPr>
        <w:kinsoku w:val="0"/>
        <w:wordWrap w:val="0"/>
        <w:topLinePunct/>
        <w:jc w:val="center"/>
        <w:rPr>
          <w:rFonts w:hint="eastAsia" w:ascii="仿宋" w:hAnsi="仿宋" w:eastAsia="仿宋" w:cs="仿宋"/>
          <w:sz w:val="36"/>
        </w:rPr>
      </w:pPr>
      <w:r>
        <w:rPr>
          <w:rFonts w:hint="eastAsia" w:ascii="仿宋" w:hAnsi="仿宋" w:eastAsia="仿宋" w:cs="仿宋"/>
          <w:sz w:val="36"/>
        </w:rPr>
        <w:t>汕头大学医学院</w:t>
      </w:r>
    </w:p>
    <w:p w14:paraId="579906B4">
      <w:pPr>
        <w:kinsoku w:val="0"/>
        <w:wordWrap w:val="0"/>
        <w:topLinePunct/>
        <w:jc w:val="center"/>
        <w:rPr>
          <w:rFonts w:hint="default" w:ascii="仿宋" w:hAnsi="仿宋" w:eastAsia="仿宋" w:cs="仿宋"/>
          <w:sz w:val="44"/>
          <w:lang w:val="en-US" w:eastAsia="zh-CN"/>
        </w:rPr>
      </w:pPr>
      <w:r>
        <w:rPr>
          <w:rFonts w:hint="eastAsia" w:ascii="仿宋" w:hAnsi="仿宋" w:eastAsia="仿宋" w:cs="仿宋"/>
          <w:sz w:val="44"/>
          <w:highlight w:val="yellow"/>
        </w:rPr>
        <w:t>2025.</w:t>
      </w:r>
      <w:r>
        <w:rPr>
          <w:rFonts w:hint="eastAsia" w:ascii="仿宋" w:hAnsi="仿宋" w:eastAsia="仿宋" w:cs="仿宋"/>
          <w:sz w:val="44"/>
          <w:highlight w:val="yellow"/>
          <w:lang w:val="en-US" w:eastAsia="zh-CN"/>
        </w:rPr>
        <w:t>12</w:t>
      </w:r>
      <w:r>
        <w:rPr>
          <w:rFonts w:hint="eastAsia" w:ascii="仿宋" w:hAnsi="仿宋" w:eastAsia="仿宋" w:cs="仿宋"/>
          <w:sz w:val="44"/>
          <w:highlight w:val="yellow"/>
        </w:rPr>
        <w:t>.</w:t>
      </w:r>
      <w:r>
        <w:rPr>
          <w:rFonts w:hint="eastAsia" w:ascii="仿宋" w:hAnsi="仿宋" w:eastAsia="仿宋" w:cs="仿宋"/>
          <w:sz w:val="44"/>
          <w:highlight w:val="yellow"/>
          <w:lang w:val="en-US" w:eastAsia="zh-CN"/>
        </w:rPr>
        <w:t>31</w:t>
      </w:r>
      <w:bookmarkStart w:id="0" w:name="_GoBack"/>
      <w:bookmarkEnd w:id="0"/>
    </w:p>
    <w:p w14:paraId="46F8E276">
      <w:pPr>
        <w:kinsoku w:val="0"/>
        <w:wordWrap w:val="0"/>
        <w:topLinePunct/>
        <w:rPr>
          <w:rFonts w:hint="eastAsia" w:ascii="仿宋" w:hAnsi="仿宋" w:eastAsia="仿宋" w:cs="仿宋"/>
          <w:sz w:val="24"/>
        </w:rPr>
      </w:pPr>
    </w:p>
    <w:p w14:paraId="5605047B">
      <w:pPr>
        <w:kinsoku w:val="0"/>
        <w:wordWrap w:val="0"/>
        <w:topLinePunct/>
        <w:rPr>
          <w:rFonts w:hint="eastAsia" w:ascii="仿宋" w:hAnsi="仿宋" w:eastAsia="仿宋" w:cs="仿宋"/>
          <w:sz w:val="24"/>
        </w:rPr>
      </w:pPr>
    </w:p>
    <w:p w14:paraId="1BC7154D">
      <w:pPr>
        <w:pageBreakBefore/>
        <w:kinsoku w:val="0"/>
        <w:wordWrap w:val="0"/>
        <w:topLinePunct/>
        <w:jc w:val="center"/>
        <w:rPr>
          <w:rFonts w:hint="eastAsia" w:ascii="仿宋" w:hAnsi="仿宋" w:eastAsia="仿宋" w:cs="仿宋"/>
          <w:b/>
          <w:sz w:val="44"/>
        </w:rPr>
      </w:pPr>
      <w:r>
        <w:rPr>
          <w:rFonts w:hint="eastAsia" w:ascii="仿宋" w:hAnsi="仿宋" w:eastAsia="仿宋" w:cs="仿宋"/>
          <w:b/>
          <w:sz w:val="44"/>
        </w:rPr>
        <w:t>目  录</w:t>
      </w:r>
    </w:p>
    <w:p w14:paraId="6AD1DC27">
      <w:pPr>
        <w:kinsoku w:val="0"/>
        <w:wordWrap w:val="0"/>
        <w:topLinePunct/>
        <w:jc w:val="center"/>
        <w:rPr>
          <w:rFonts w:hint="eastAsia" w:ascii="仿宋" w:hAnsi="仿宋" w:eastAsia="仿宋" w:cs="仿宋"/>
          <w:b/>
          <w:sz w:val="44"/>
        </w:rPr>
      </w:pPr>
    </w:p>
    <w:p w14:paraId="111C0316">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第一部分  投标须知、招标项目说明</w:t>
      </w:r>
    </w:p>
    <w:p w14:paraId="2399E011">
      <w:pPr>
        <w:numPr>
          <w:ilvl w:val="0"/>
          <w:numId w:val="3"/>
        </w:numPr>
        <w:kinsoku w:val="0"/>
        <w:wordWrap w:val="0"/>
        <w:topLinePunct/>
        <w:rPr>
          <w:rFonts w:hint="eastAsia" w:ascii="仿宋" w:hAnsi="仿宋" w:eastAsia="仿宋" w:cs="仿宋"/>
        </w:rPr>
      </w:pPr>
      <w:r>
        <w:rPr>
          <w:rFonts w:hint="eastAsia" w:ascii="仿宋" w:hAnsi="仿宋" w:eastAsia="仿宋" w:cs="仿宋"/>
        </w:rPr>
        <w:t>投标人须知</w:t>
      </w:r>
    </w:p>
    <w:p w14:paraId="2C74DFE4">
      <w:pPr>
        <w:numPr>
          <w:ilvl w:val="0"/>
          <w:numId w:val="3"/>
        </w:numPr>
        <w:kinsoku w:val="0"/>
        <w:wordWrap w:val="0"/>
        <w:topLinePunct/>
        <w:rPr>
          <w:rFonts w:hint="eastAsia" w:ascii="仿宋" w:hAnsi="仿宋" w:eastAsia="仿宋" w:cs="仿宋"/>
        </w:rPr>
      </w:pPr>
      <w:r>
        <w:rPr>
          <w:rFonts w:hint="eastAsia" w:ascii="仿宋" w:hAnsi="仿宋" w:eastAsia="仿宋" w:cs="仿宋"/>
        </w:rPr>
        <w:t>招标项目的名称、性质和数量</w:t>
      </w:r>
    </w:p>
    <w:p w14:paraId="592894EC">
      <w:pPr>
        <w:numPr>
          <w:ilvl w:val="0"/>
          <w:numId w:val="3"/>
        </w:numPr>
        <w:kinsoku w:val="0"/>
        <w:wordWrap w:val="0"/>
        <w:topLinePunct/>
        <w:rPr>
          <w:rFonts w:hint="eastAsia" w:ascii="仿宋" w:hAnsi="仿宋" w:eastAsia="仿宋" w:cs="仿宋"/>
        </w:rPr>
      </w:pPr>
      <w:r>
        <w:rPr>
          <w:rFonts w:hint="eastAsia" w:ascii="仿宋" w:hAnsi="仿宋" w:eastAsia="仿宋" w:cs="仿宋"/>
        </w:rPr>
        <w:t>投标报价方式及报价要求</w:t>
      </w:r>
    </w:p>
    <w:p w14:paraId="1EE86DDF">
      <w:pPr>
        <w:numPr>
          <w:ilvl w:val="0"/>
          <w:numId w:val="3"/>
        </w:numPr>
        <w:kinsoku w:val="0"/>
        <w:wordWrap w:val="0"/>
        <w:topLinePunct/>
        <w:rPr>
          <w:rFonts w:hint="eastAsia" w:ascii="仿宋" w:hAnsi="仿宋" w:eastAsia="仿宋" w:cs="仿宋"/>
        </w:rPr>
      </w:pPr>
      <w:r>
        <w:rPr>
          <w:rFonts w:hint="eastAsia" w:ascii="仿宋" w:hAnsi="仿宋" w:eastAsia="仿宋" w:cs="仿宋"/>
        </w:rPr>
        <w:t>提交投标书的方式、地点和截止日期</w:t>
      </w:r>
    </w:p>
    <w:p w14:paraId="336298EF">
      <w:pPr>
        <w:numPr>
          <w:ilvl w:val="0"/>
          <w:numId w:val="3"/>
        </w:numPr>
        <w:kinsoku w:val="0"/>
        <w:wordWrap w:val="0"/>
        <w:topLinePunct/>
        <w:rPr>
          <w:rFonts w:hint="eastAsia" w:ascii="仿宋" w:hAnsi="仿宋" w:eastAsia="仿宋" w:cs="仿宋"/>
        </w:rPr>
      </w:pPr>
      <w:r>
        <w:rPr>
          <w:rFonts w:hint="eastAsia" w:ascii="仿宋" w:hAnsi="仿宋" w:eastAsia="仿宋" w:cs="仿宋"/>
        </w:rPr>
        <w:t>评（议）标原则</w:t>
      </w:r>
    </w:p>
    <w:p w14:paraId="3881924A">
      <w:pPr>
        <w:numPr>
          <w:ilvl w:val="0"/>
          <w:numId w:val="3"/>
        </w:numPr>
        <w:kinsoku w:val="0"/>
        <w:wordWrap w:val="0"/>
        <w:topLinePunct/>
        <w:rPr>
          <w:rFonts w:hint="eastAsia" w:ascii="仿宋" w:hAnsi="仿宋" w:eastAsia="仿宋" w:cs="仿宋"/>
        </w:rPr>
      </w:pPr>
      <w:r>
        <w:rPr>
          <w:rFonts w:hint="eastAsia" w:ascii="仿宋" w:hAnsi="仿宋" w:eastAsia="仿宋" w:cs="仿宋"/>
        </w:rPr>
        <w:t>开标、评标、定标</w:t>
      </w:r>
    </w:p>
    <w:p w14:paraId="640678D3">
      <w:pPr>
        <w:numPr>
          <w:ilvl w:val="0"/>
          <w:numId w:val="3"/>
        </w:numPr>
        <w:kinsoku w:val="0"/>
        <w:wordWrap w:val="0"/>
        <w:topLinePunct/>
        <w:rPr>
          <w:rFonts w:hint="eastAsia" w:ascii="仿宋" w:hAnsi="仿宋" w:eastAsia="仿宋" w:cs="仿宋"/>
        </w:rPr>
      </w:pPr>
      <w:r>
        <w:rPr>
          <w:rFonts w:hint="eastAsia" w:ascii="仿宋" w:hAnsi="仿宋" w:eastAsia="仿宋" w:cs="仿宋"/>
        </w:rPr>
        <w:t>评标过程的保密性</w:t>
      </w:r>
    </w:p>
    <w:p w14:paraId="64B5D5E8">
      <w:pPr>
        <w:kinsoku w:val="0"/>
        <w:wordWrap w:val="0"/>
        <w:topLinePunct/>
        <w:adjustRightInd w:val="0"/>
        <w:snapToGrid w:val="0"/>
        <w:spacing w:before="50" w:after="50"/>
        <w:rPr>
          <w:rFonts w:hint="eastAsia" w:ascii="仿宋" w:hAnsi="仿宋" w:eastAsia="仿宋" w:cs="仿宋"/>
          <w:sz w:val="32"/>
        </w:rPr>
      </w:pPr>
    </w:p>
    <w:p w14:paraId="633311A0">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第二部分  技术规格要求和交货日期等</w:t>
      </w:r>
    </w:p>
    <w:p w14:paraId="620A967B">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项目内容数量</w:t>
      </w:r>
    </w:p>
    <w:p w14:paraId="00191B67">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主要技术指标、技术服务要求、时间</w:t>
      </w:r>
    </w:p>
    <w:p w14:paraId="13B2AC82">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技术服务质量及售后服务要求</w:t>
      </w:r>
    </w:p>
    <w:p w14:paraId="05ED29BA">
      <w:pPr>
        <w:kinsoku w:val="0"/>
        <w:wordWrap w:val="0"/>
        <w:topLinePunct/>
        <w:adjustRightInd w:val="0"/>
        <w:snapToGrid w:val="0"/>
        <w:spacing w:before="50" w:after="50"/>
        <w:rPr>
          <w:rFonts w:hint="eastAsia" w:ascii="仿宋" w:hAnsi="仿宋" w:eastAsia="仿宋" w:cs="仿宋"/>
          <w:sz w:val="32"/>
        </w:rPr>
      </w:pPr>
    </w:p>
    <w:p w14:paraId="116CA53C">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第三部分  合同样本</w:t>
      </w:r>
    </w:p>
    <w:p w14:paraId="43272155">
      <w:pPr>
        <w:kinsoku w:val="0"/>
        <w:wordWrap w:val="0"/>
        <w:topLinePunct/>
        <w:adjustRightInd w:val="0"/>
        <w:snapToGrid w:val="0"/>
        <w:spacing w:before="50" w:after="50"/>
        <w:rPr>
          <w:rFonts w:hint="eastAsia" w:ascii="仿宋" w:hAnsi="仿宋" w:eastAsia="仿宋" w:cs="仿宋"/>
          <w:b/>
          <w:sz w:val="32"/>
        </w:rPr>
      </w:pPr>
    </w:p>
    <w:p w14:paraId="2401799C">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第四部分  投标书格式</w:t>
      </w:r>
    </w:p>
    <w:p w14:paraId="62E8F3D6">
      <w:pPr>
        <w:kinsoku w:val="0"/>
        <w:wordWrap w:val="0"/>
        <w:topLinePunct/>
        <w:adjustRightInd w:val="0"/>
        <w:snapToGrid w:val="0"/>
        <w:spacing w:before="50" w:after="50"/>
        <w:rPr>
          <w:rFonts w:hint="eastAsia" w:ascii="仿宋" w:hAnsi="仿宋" w:eastAsia="仿宋" w:cs="仿宋"/>
          <w:b/>
          <w:sz w:val="32"/>
        </w:rPr>
      </w:pPr>
    </w:p>
    <w:p w14:paraId="26C60F1F">
      <w:pPr>
        <w:kinsoku w:val="0"/>
        <w:wordWrap w:val="0"/>
        <w:topLinePunct/>
        <w:jc w:val="center"/>
        <w:rPr>
          <w:rFonts w:hint="eastAsia" w:ascii="仿宋" w:hAnsi="仿宋" w:eastAsia="仿宋" w:cs="仿宋"/>
          <w:b/>
          <w:sz w:val="30"/>
        </w:rPr>
      </w:pPr>
      <w:r>
        <w:rPr>
          <w:rFonts w:hint="eastAsia" w:ascii="仿宋" w:hAnsi="仿宋" w:eastAsia="仿宋" w:cs="仿宋"/>
        </w:rPr>
        <w:br w:type="page"/>
      </w:r>
      <w:r>
        <w:rPr>
          <w:rFonts w:hint="eastAsia" w:ascii="仿宋" w:hAnsi="仿宋" w:eastAsia="仿宋" w:cs="仿宋"/>
          <w:b/>
          <w:sz w:val="30"/>
        </w:rPr>
        <w:t>第一部分  投标须知、招标项目说明</w:t>
      </w:r>
    </w:p>
    <w:p w14:paraId="3F6E4F71">
      <w:pPr>
        <w:kinsoku w:val="0"/>
        <w:wordWrap w:val="0"/>
        <w:topLinePunct/>
        <w:rPr>
          <w:rFonts w:hint="eastAsia" w:ascii="仿宋" w:hAnsi="仿宋" w:eastAsia="仿宋" w:cs="仿宋"/>
          <w:b/>
          <w:sz w:val="21"/>
          <w:szCs w:val="21"/>
        </w:rPr>
      </w:pPr>
      <w:r>
        <w:rPr>
          <w:rFonts w:hint="eastAsia" w:ascii="仿宋" w:hAnsi="仿宋" w:eastAsia="仿宋" w:cs="仿宋"/>
          <w:b/>
          <w:sz w:val="21"/>
          <w:szCs w:val="21"/>
        </w:rPr>
        <w:t>一、投标人须知</w:t>
      </w:r>
    </w:p>
    <w:p w14:paraId="7B972B5B">
      <w:pPr>
        <w:numPr>
          <w:ilvl w:val="0"/>
          <w:numId w:val="0"/>
        </w:numPr>
        <w:tabs>
          <w:tab w:val="left" w:pos="166"/>
        </w:tabs>
        <w:kinsoku w:val="0"/>
        <w:wordWrap w:val="0"/>
        <w:topLinePunct/>
        <w:ind w:firstLine="524" w:firstLineChars="200"/>
        <w:rPr>
          <w:rFonts w:hint="eastAsia" w:ascii="仿宋" w:hAnsi="仿宋" w:eastAsia="仿宋" w:cs="仿宋"/>
          <w:sz w:val="21"/>
          <w:szCs w:val="21"/>
        </w:rPr>
      </w:pPr>
      <w:r>
        <w:rPr>
          <w:rFonts w:hint="eastAsia" w:ascii="仿宋" w:hAnsi="仿宋" w:eastAsia="仿宋" w:cs="仿宋"/>
          <w:b/>
          <w:bCs/>
          <w:sz w:val="21"/>
          <w:szCs w:val="21"/>
          <w:lang w:val="en-US" w:eastAsia="zh-CN"/>
        </w:rPr>
        <w:t>1.</w:t>
      </w:r>
      <w:r>
        <w:rPr>
          <w:rFonts w:hint="eastAsia" w:ascii="仿宋" w:hAnsi="仿宋" w:eastAsia="仿宋" w:cs="仿宋"/>
          <w:b/>
          <w:bCs/>
          <w:sz w:val="21"/>
          <w:szCs w:val="21"/>
        </w:rPr>
        <w:t>投标文件要求：正本（含资质文件）一份，副本五份[内容与正本一致]</w:t>
      </w:r>
      <w:r>
        <w:rPr>
          <w:rFonts w:hint="eastAsia" w:ascii="仿宋" w:hAnsi="仿宋" w:eastAsia="仿宋" w:cs="仿宋"/>
          <w:sz w:val="21"/>
          <w:szCs w:val="21"/>
        </w:rPr>
        <w:t>。</w:t>
      </w:r>
    </w:p>
    <w:p w14:paraId="29764325">
      <w:pPr>
        <w:spacing w:line="540" w:lineRule="exact"/>
        <w:ind w:firstLine="524" w:firstLineChars="200"/>
        <w:rPr>
          <w:rFonts w:hint="eastAsia" w:ascii="仿宋" w:hAnsi="仿宋" w:eastAsia="仿宋" w:cs="仿宋"/>
          <w:b/>
          <w:sz w:val="21"/>
          <w:szCs w:val="21"/>
        </w:rPr>
      </w:pPr>
      <w:r>
        <w:rPr>
          <w:rFonts w:hint="eastAsia" w:ascii="仿宋" w:hAnsi="仿宋" w:eastAsia="仿宋" w:cs="仿宋"/>
          <w:b/>
          <w:sz w:val="21"/>
          <w:szCs w:val="21"/>
        </w:rPr>
        <w:t>2.供应商资格要求</w:t>
      </w:r>
    </w:p>
    <w:p w14:paraId="5CB637A0">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（1）具有独立承担民事责任的能力，投标人须在中国境内注册</w:t>
      </w:r>
      <w:r>
        <w:rPr>
          <w:rFonts w:hint="eastAsia" w:ascii="仿宋" w:hAnsi="仿宋" w:eastAsia="仿宋" w:cs="仿宋"/>
          <w:sz w:val="21"/>
          <w:szCs w:val="21"/>
          <w:lang w:eastAsia="zh-CN"/>
        </w:rPr>
        <w:t>并且经营范围包含本项目内容</w:t>
      </w:r>
      <w:r>
        <w:rPr>
          <w:rFonts w:hint="eastAsia" w:ascii="仿宋" w:hAnsi="仿宋" w:eastAsia="仿宋" w:cs="仿宋"/>
          <w:sz w:val="21"/>
          <w:szCs w:val="21"/>
        </w:rPr>
        <w:t>。</w:t>
      </w:r>
    </w:p>
    <w:p w14:paraId="75237A31">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（2）参加本项目招标采购活动前三年内，在经营活动中没有重大违法记录（投标人自行提供书面声明）。</w:t>
      </w:r>
    </w:p>
    <w:p w14:paraId="0F5A33F1">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单位负责人为同一人或者存在直接控股、管理关系的不同供应商，不得同时参加同一品目的报价。为采购项目提供整体设计、规范编制或者项目管理、监理、检测等服务的供应商，不得再参加该采购项目的其他采购活动。</w:t>
      </w:r>
    </w:p>
    <w:p w14:paraId="1270561B">
      <w:pPr>
        <w:spacing w:line="540" w:lineRule="exact"/>
        <w:ind w:left="425"/>
        <w:rPr>
          <w:rFonts w:hint="eastAsia" w:ascii="仿宋" w:hAnsi="仿宋" w:eastAsia="仿宋" w:cs="仿宋"/>
          <w:sz w:val="21"/>
          <w:szCs w:val="21"/>
        </w:rPr>
      </w:pPr>
      <w:r>
        <w:rPr>
          <w:rFonts w:hint="eastAsia" w:ascii="仿宋" w:hAnsi="仿宋" w:eastAsia="仿宋" w:cs="仿宋"/>
          <w:sz w:val="21"/>
          <w:szCs w:val="21"/>
        </w:rPr>
        <w:t>（4）投标人未被列入“信用中国”网站失信被执行人、重大税收违法案件严重违法失信行为记录名单（投标人自行提供截图）。</w:t>
      </w:r>
    </w:p>
    <w:p w14:paraId="59FEB653">
      <w:pPr>
        <w:spacing w:line="540" w:lineRule="exact"/>
        <w:ind w:left="425"/>
        <w:rPr>
          <w:rFonts w:hint="eastAsia" w:ascii="仿宋" w:hAnsi="仿宋" w:eastAsia="仿宋" w:cs="仿宋"/>
          <w:sz w:val="21"/>
          <w:szCs w:val="21"/>
        </w:rPr>
      </w:pPr>
      <w:r>
        <w:rPr>
          <w:rFonts w:hint="eastAsia" w:ascii="仿宋" w:hAnsi="仿宋" w:eastAsia="仿宋" w:cs="仿宋"/>
          <w:sz w:val="21"/>
          <w:szCs w:val="21"/>
        </w:rPr>
        <w:t>（5）须持有省科学技术行政部门核发的实验动物使用许可证。</w:t>
      </w:r>
    </w:p>
    <w:p w14:paraId="2E94AF69">
      <w:pPr>
        <w:spacing w:line="540" w:lineRule="exact"/>
        <w:ind w:left="425"/>
        <w:rPr>
          <w:rFonts w:hint="eastAsia" w:ascii="仿宋" w:hAnsi="仿宋" w:eastAsia="仿宋" w:cs="仿宋"/>
          <w:sz w:val="21"/>
          <w:szCs w:val="21"/>
        </w:rPr>
      </w:pPr>
      <w:r>
        <w:rPr>
          <w:rFonts w:hint="eastAsia" w:ascii="仿宋" w:hAnsi="仿宋" w:eastAsia="仿宋" w:cs="仿宋"/>
          <w:sz w:val="21"/>
          <w:szCs w:val="21"/>
        </w:rPr>
        <w:t>（6）本项目不接受联合体投标。</w:t>
      </w:r>
    </w:p>
    <w:p w14:paraId="22C20E53">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3. 投标人可以在汕头大学医学院网站主页自行下载招标文件。投标人拿到招标书后，如有疑问，可在投标截止日期内与招标有关联系人联系。</w:t>
      </w:r>
    </w:p>
    <w:p w14:paraId="3B1A9306">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4.投标书和签定合同要求企业法人或企业法人授权委托代表签名方为有效。</w:t>
      </w:r>
    </w:p>
    <w:p w14:paraId="4A26C22D">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5.如有必要，投标人应接受招标人的答辩要求。</w:t>
      </w:r>
    </w:p>
    <w:p w14:paraId="0CC9B428">
      <w:pPr>
        <w:spacing w:line="540" w:lineRule="exact"/>
        <w:ind w:firstLine="524" w:firstLineChars="200"/>
        <w:rPr>
          <w:rFonts w:hint="eastAsia" w:ascii="仿宋" w:hAnsi="仿宋" w:eastAsia="仿宋" w:cs="仿宋"/>
          <w:sz w:val="21"/>
          <w:szCs w:val="21"/>
          <w:lang w:eastAsia="zh-CN"/>
        </w:rPr>
      </w:pPr>
      <w:r>
        <w:rPr>
          <w:rFonts w:hint="eastAsia" w:ascii="仿宋" w:hAnsi="仿宋" w:eastAsia="仿宋" w:cs="仿宋"/>
          <w:sz w:val="21"/>
          <w:szCs w:val="21"/>
        </w:rPr>
        <w:t>6.投标时每个投标单位向我院缴交人民币</w:t>
      </w:r>
      <w:r>
        <w:rPr>
          <w:rFonts w:hint="eastAsia" w:ascii="仿宋" w:hAnsi="仿宋" w:eastAsia="仿宋" w:cs="仿宋"/>
          <w:sz w:val="21"/>
          <w:szCs w:val="21"/>
          <w:lang w:eastAsia="zh-CN"/>
        </w:rPr>
        <w:t>三百</w:t>
      </w:r>
      <w:r>
        <w:rPr>
          <w:rFonts w:hint="eastAsia" w:ascii="仿宋" w:hAnsi="仿宋" w:eastAsia="仿宋" w:cs="仿宋"/>
          <w:sz w:val="21"/>
          <w:szCs w:val="21"/>
        </w:rPr>
        <w:t>元资料费</w:t>
      </w:r>
      <w:r>
        <w:rPr>
          <w:rFonts w:hint="eastAsia" w:ascii="仿宋" w:hAnsi="仿宋" w:eastAsia="仿宋" w:cs="仿宋"/>
          <w:sz w:val="21"/>
          <w:szCs w:val="21"/>
          <w:lang w:eastAsia="zh-CN"/>
        </w:rPr>
        <w:t>。</w:t>
      </w:r>
    </w:p>
    <w:p w14:paraId="00E2F9F4">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7.向我院缴交资料费时用此专用户头：</w:t>
      </w:r>
      <w:r>
        <w:rPr>
          <w:rFonts w:hint="eastAsia" w:ascii="仿宋" w:hAnsi="仿宋" w:eastAsia="仿宋" w:cs="仿宋"/>
          <w:b/>
          <w:bCs/>
          <w:sz w:val="21"/>
          <w:szCs w:val="21"/>
        </w:rPr>
        <w:t>单位名称：（汕头大学医学院 ）  帐号：（705557744822 ）  开户行：（中行嘉泰支行）</w:t>
      </w:r>
      <w:r>
        <w:rPr>
          <w:rFonts w:hint="eastAsia" w:ascii="仿宋" w:hAnsi="仿宋" w:eastAsia="仿宋" w:cs="仿宋"/>
          <w:sz w:val="21"/>
          <w:szCs w:val="21"/>
        </w:rPr>
        <w:t xml:space="preserve"> </w:t>
      </w:r>
    </w:p>
    <w:p w14:paraId="4BF162B2">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8.投标人必须接受</w:t>
      </w:r>
      <w:r>
        <w:rPr>
          <w:rFonts w:hint="eastAsia" w:ascii="仿宋" w:hAnsi="仿宋" w:eastAsia="仿宋" w:cs="仿宋"/>
          <w:b/>
          <w:bCs/>
          <w:sz w:val="21"/>
          <w:szCs w:val="21"/>
        </w:rPr>
        <w:t>标书注明的付款</w:t>
      </w:r>
      <w:r>
        <w:rPr>
          <w:rFonts w:hint="eastAsia" w:ascii="仿宋" w:hAnsi="仿宋" w:eastAsia="仿宋" w:cs="仿宋"/>
          <w:sz w:val="21"/>
          <w:szCs w:val="21"/>
        </w:rPr>
        <w:t>条款。</w:t>
      </w:r>
    </w:p>
    <w:p w14:paraId="6D386308">
      <w:pPr>
        <w:kinsoku w:val="0"/>
        <w:wordWrap w:val="0"/>
        <w:topLinePunct/>
        <w:ind w:left="425"/>
        <w:rPr>
          <w:rFonts w:hint="eastAsia" w:ascii="仿宋" w:hAnsi="仿宋" w:eastAsia="仿宋" w:cs="仿宋"/>
          <w:sz w:val="21"/>
        </w:rPr>
      </w:pPr>
      <w:r>
        <w:rPr>
          <w:rFonts w:hint="eastAsia" w:ascii="仿宋" w:hAnsi="仿宋" w:eastAsia="仿宋" w:cs="仿宋"/>
          <w:sz w:val="18"/>
        </w:rPr>
        <w:t xml:space="preserve">   </w:t>
      </w:r>
    </w:p>
    <w:p w14:paraId="263B95D6">
      <w:pPr>
        <w:kinsoku w:val="0"/>
        <w:wordWrap w:val="0"/>
        <w:topLinePunct/>
        <w:rPr>
          <w:rFonts w:hint="eastAsia" w:ascii="仿宋" w:hAnsi="仿宋" w:eastAsia="仿宋" w:cs="仿宋"/>
          <w:b/>
          <w:sz w:val="21"/>
        </w:rPr>
      </w:pPr>
      <w:r>
        <w:rPr>
          <w:rFonts w:hint="eastAsia" w:ascii="仿宋" w:hAnsi="仿宋" w:eastAsia="仿宋" w:cs="仿宋"/>
          <w:b/>
          <w:sz w:val="21"/>
        </w:rPr>
        <w:t>二、招标项目的名称</w:t>
      </w:r>
    </w:p>
    <w:p w14:paraId="6E57982E">
      <w:pPr>
        <w:spacing w:line="360" w:lineRule="auto"/>
        <w:ind w:firstLine="524" w:firstLineChars="200"/>
        <w:rPr>
          <w:rFonts w:hint="eastAsia" w:ascii="仿宋" w:hAnsi="仿宋" w:eastAsia="仿宋" w:cs="仿宋"/>
          <w:sz w:val="30"/>
          <w:szCs w:val="30"/>
        </w:rPr>
      </w:pPr>
      <w:r>
        <w:rPr>
          <w:rFonts w:hint="eastAsia" w:ascii="仿宋" w:hAnsi="仿宋" w:eastAsia="仿宋" w:cs="仿宋"/>
          <w:sz w:val="21"/>
          <w:szCs w:val="21"/>
        </w:rPr>
        <w:t>汕头大学医学院血管再狭窄机制研究及特异性基因敲除小鼠模型构建与造模服务招标项目</w:t>
      </w:r>
    </w:p>
    <w:p w14:paraId="277ADB40">
      <w:pPr>
        <w:kinsoku w:val="0"/>
        <w:wordWrap w:val="0"/>
        <w:topLinePunct/>
        <w:rPr>
          <w:rFonts w:hint="eastAsia" w:ascii="仿宋" w:hAnsi="仿宋" w:eastAsia="仿宋" w:cs="仿宋"/>
          <w:b/>
          <w:sz w:val="21"/>
        </w:rPr>
      </w:pPr>
    </w:p>
    <w:p w14:paraId="75856484">
      <w:pPr>
        <w:kinsoku w:val="0"/>
        <w:wordWrap w:val="0"/>
        <w:topLinePunct/>
        <w:rPr>
          <w:rFonts w:hint="eastAsia" w:ascii="仿宋" w:hAnsi="仿宋" w:eastAsia="仿宋" w:cs="仿宋"/>
          <w:b/>
          <w:sz w:val="21"/>
        </w:rPr>
      </w:pPr>
      <w:r>
        <w:rPr>
          <w:rFonts w:hint="eastAsia" w:ascii="仿宋" w:hAnsi="仿宋" w:eastAsia="仿宋" w:cs="仿宋"/>
          <w:b/>
          <w:sz w:val="21"/>
        </w:rPr>
        <w:t>三、投标报价方式及报价要求</w:t>
      </w:r>
    </w:p>
    <w:p w14:paraId="513A6513">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报价方式：仅以人民币报价，投标总价不得高于总预算。</w:t>
      </w:r>
    </w:p>
    <w:p w14:paraId="32D492CE">
      <w:pPr>
        <w:spacing w:line="360" w:lineRule="auto"/>
        <w:ind w:firstLine="524" w:firstLineChars="200"/>
        <w:rPr>
          <w:rFonts w:hint="eastAsia" w:ascii="仿宋" w:hAnsi="仿宋" w:eastAsia="仿宋" w:cs="仿宋"/>
          <w:sz w:val="21"/>
          <w:szCs w:val="21"/>
        </w:rPr>
      </w:pPr>
    </w:p>
    <w:p w14:paraId="5385BA9C">
      <w:pPr>
        <w:kinsoku w:val="0"/>
        <w:wordWrap w:val="0"/>
        <w:topLinePunct/>
        <w:rPr>
          <w:rFonts w:hint="eastAsia" w:ascii="仿宋" w:hAnsi="仿宋" w:eastAsia="仿宋" w:cs="仿宋"/>
          <w:b/>
          <w:sz w:val="21"/>
        </w:rPr>
      </w:pPr>
      <w:r>
        <w:rPr>
          <w:rFonts w:hint="eastAsia" w:ascii="仿宋" w:hAnsi="仿宋" w:eastAsia="仿宋" w:cs="仿宋"/>
          <w:b/>
          <w:sz w:val="21"/>
        </w:rPr>
        <w:t>四、</w:t>
      </w:r>
      <w:r>
        <w:rPr>
          <w:rFonts w:hint="eastAsia" w:ascii="仿宋" w:hAnsi="仿宋" w:eastAsia="仿宋" w:cs="仿宋"/>
          <w:b/>
          <w:sz w:val="21"/>
          <w:lang w:eastAsia="zh-CN"/>
        </w:rPr>
        <w:t>报名截止时间、</w:t>
      </w:r>
      <w:r>
        <w:rPr>
          <w:rFonts w:hint="eastAsia" w:ascii="仿宋" w:hAnsi="仿宋" w:eastAsia="仿宋" w:cs="仿宋"/>
          <w:b/>
          <w:sz w:val="21"/>
        </w:rPr>
        <w:t>提交投标书的方式、地点和截止时间</w:t>
      </w:r>
    </w:p>
    <w:p w14:paraId="784F0818">
      <w:pPr>
        <w:numPr>
          <w:ilvl w:val="0"/>
          <w:numId w:val="5"/>
        </w:numPr>
        <w:kinsoku w:val="0"/>
        <w:wordWrap w:val="0"/>
        <w:topLinePunct/>
        <w:ind w:firstLine="73"/>
        <w:rPr>
          <w:rFonts w:hint="eastAsia" w:ascii="仿宋" w:hAnsi="仿宋" w:eastAsia="仿宋" w:cs="仿宋"/>
          <w:sz w:val="21"/>
          <w:szCs w:val="21"/>
        </w:rPr>
      </w:pPr>
      <w:r>
        <w:rPr>
          <w:rFonts w:hint="eastAsia" w:ascii="仿宋" w:hAnsi="仿宋" w:eastAsia="仿宋" w:cs="仿宋"/>
          <w:sz w:val="21"/>
          <w:szCs w:val="21"/>
          <w:lang w:eastAsia="zh-CN"/>
        </w:rPr>
        <w:t>单位报名把项目采购报名表扫描件通过邮件发送到</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"mailto:yxyztbzx@stu.edu.cn" </w:instrText>
      </w:r>
      <w:r>
        <w:rPr>
          <w:rFonts w:hint="eastAsia" w:ascii="仿宋" w:hAnsi="仿宋" w:eastAsia="仿宋" w:cs="仿宋"/>
          <w:sz w:val="21"/>
          <w:szCs w:val="21"/>
          <w:lang w:val="en-US" w:eastAsia="zh-CN"/>
        </w:rPr>
        <w:fldChar w:fldCharType="separate"/>
      </w:r>
      <w:r>
        <w:rPr>
          <w:rStyle w:val="29"/>
          <w:rFonts w:hint="eastAsia" w:ascii="仿宋" w:hAnsi="仿宋" w:eastAsia="仿宋" w:cs="仿宋"/>
          <w:sz w:val="21"/>
          <w:szCs w:val="21"/>
          <w:lang w:val="en-US" w:eastAsia="zh-CN"/>
        </w:rPr>
        <w:t>yxyztbzx@stu.edu.cn</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，报</w:t>
      </w:r>
    </w:p>
    <w:p w14:paraId="109D8B1B">
      <w:pPr>
        <w:numPr>
          <w:ilvl w:val="0"/>
          <w:numId w:val="5"/>
        </w:numPr>
        <w:kinsoku w:val="0"/>
        <w:wordWrap w:val="0"/>
        <w:topLinePunct/>
        <w:ind w:firstLine="73"/>
        <w:rPr>
          <w:rFonts w:hint="eastAsia" w:ascii="仿宋" w:hAnsi="仿宋" w:eastAsia="仿宋" w:cs="仿宋"/>
          <w:sz w:val="21"/>
          <w:szCs w:val="21"/>
        </w:rPr>
      </w:pPr>
      <w:r>
        <w:rPr>
          <w:rFonts w:hint="eastAsia" w:ascii="仿宋" w:hAnsi="仿宋" w:eastAsia="仿宋" w:cs="仿宋"/>
          <w:sz w:val="21"/>
          <w:szCs w:val="21"/>
        </w:rPr>
        <w:t xml:space="preserve">投标书必须以密封加盖骑缝章的形式亲自或快递送达汕头新陵路22号汕头大学医学院   </w:t>
      </w:r>
      <w:r>
        <w:rPr>
          <w:rFonts w:hint="eastAsia" w:ascii="仿宋" w:hAnsi="仿宋" w:eastAsia="仿宋" w:cs="仿宋"/>
          <w:sz w:val="21"/>
          <w:szCs w:val="21"/>
          <w:lang w:eastAsia="zh-CN"/>
        </w:rPr>
        <w:t>招投标中心</w:t>
      </w:r>
    </w:p>
    <w:p w14:paraId="3A369E8D">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联系人：杨成瑜</w:t>
      </w:r>
    </w:p>
    <w:p w14:paraId="706C5F65">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联系电话：（0754）8890</w:t>
      </w:r>
      <w:r>
        <w:rPr>
          <w:rFonts w:hint="eastAsia" w:ascii="仿宋" w:hAnsi="仿宋" w:eastAsia="仿宋" w:cs="仿宋"/>
          <w:sz w:val="21"/>
          <w:szCs w:val="21"/>
          <w:lang w:val="en-US" w:eastAsia="zh-CN"/>
        </w:rPr>
        <w:t>0305</w:t>
      </w:r>
      <w:r>
        <w:rPr>
          <w:rFonts w:hint="eastAsia" w:ascii="仿宋" w:hAnsi="仿宋" w:eastAsia="仿宋" w:cs="仿宋"/>
          <w:sz w:val="21"/>
          <w:szCs w:val="21"/>
        </w:rPr>
        <w:t>、13016667886</w:t>
      </w:r>
    </w:p>
    <w:p w14:paraId="1DA7C9D1">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传真电话：（0754）88900305</w:t>
      </w:r>
    </w:p>
    <w:p w14:paraId="4B667D18">
      <w:pPr>
        <w:kinsoku w:val="0"/>
        <w:wordWrap w:val="0"/>
        <w:topLinePunct/>
        <w:ind w:firstLine="780"/>
        <w:rPr>
          <w:rFonts w:hint="eastAsia" w:ascii="仿宋" w:hAnsi="仿宋" w:eastAsia="仿宋" w:cs="仿宋"/>
          <w:b/>
          <w:bCs/>
          <w:i/>
          <w:iCs/>
          <w:sz w:val="24"/>
          <w:lang w:eastAsia="zh-CN"/>
        </w:rPr>
      </w:pPr>
      <w:r>
        <w:rPr>
          <w:rFonts w:hint="eastAsia" w:ascii="仿宋" w:hAnsi="仿宋" w:eastAsia="仿宋" w:cs="仿宋"/>
          <w:b/>
          <w:bCs/>
          <w:i/>
          <w:iCs/>
          <w:sz w:val="24"/>
          <w:lang w:eastAsia="zh-CN"/>
        </w:rPr>
        <w:t>报名截止时间：</w:t>
      </w:r>
      <w:r>
        <w:rPr>
          <w:rFonts w:hint="eastAsia" w:ascii="仿宋" w:hAnsi="仿宋" w:eastAsia="仿宋" w:cs="仿宋"/>
          <w:sz w:val="21"/>
          <w:szCs w:val="21"/>
          <w:lang w:val="en-US" w:eastAsia="zh-CN"/>
        </w:rPr>
        <w:t>2026年1月8日17时30分</w:t>
      </w:r>
    </w:p>
    <w:p w14:paraId="0B25EDAA">
      <w:pPr>
        <w:kinsoku w:val="0"/>
        <w:wordWrap w:val="0"/>
        <w:topLinePunct/>
        <w:ind w:firstLine="780"/>
        <w:rPr>
          <w:rFonts w:hint="eastAsia" w:ascii="仿宋" w:hAnsi="仿宋" w:eastAsia="仿宋" w:cs="仿宋"/>
          <w:b/>
          <w:bCs/>
          <w:i/>
          <w:iCs/>
          <w:sz w:val="24"/>
          <w:highlight w:val="yellow"/>
        </w:rPr>
      </w:pPr>
      <w:r>
        <w:rPr>
          <w:rFonts w:hint="eastAsia" w:ascii="仿宋" w:hAnsi="仿宋" w:eastAsia="仿宋" w:cs="仿宋"/>
          <w:b/>
          <w:bCs/>
          <w:i/>
          <w:iCs/>
          <w:sz w:val="24"/>
        </w:rPr>
        <w:t>投标截止时间：</w:t>
      </w:r>
      <w:r>
        <w:rPr>
          <w:rFonts w:hint="eastAsia" w:ascii="仿宋" w:hAnsi="仿宋" w:eastAsia="仿宋" w:cs="仿宋"/>
          <w:b/>
          <w:bCs/>
          <w:i/>
          <w:iCs/>
          <w:sz w:val="24"/>
          <w:highlight w:val="yellow"/>
        </w:rPr>
        <w:t>202</w:t>
      </w:r>
      <w:r>
        <w:rPr>
          <w:rFonts w:hint="eastAsia" w:ascii="仿宋" w:hAnsi="仿宋" w:eastAsia="仿宋" w:cs="仿宋"/>
          <w:b/>
          <w:bCs/>
          <w:i/>
          <w:iCs/>
          <w:sz w:val="24"/>
          <w:highlight w:val="yellow"/>
          <w:lang w:val="en-US" w:eastAsia="zh-CN"/>
        </w:rPr>
        <w:t>6</w:t>
      </w:r>
      <w:r>
        <w:rPr>
          <w:rFonts w:hint="eastAsia" w:ascii="仿宋" w:hAnsi="仿宋" w:eastAsia="仿宋" w:cs="仿宋"/>
          <w:b/>
          <w:bCs/>
          <w:i/>
          <w:iCs/>
          <w:sz w:val="24"/>
          <w:highlight w:val="yellow"/>
        </w:rPr>
        <w:t xml:space="preserve">年 </w:t>
      </w:r>
      <w:r>
        <w:rPr>
          <w:rFonts w:hint="eastAsia" w:ascii="仿宋" w:hAnsi="仿宋" w:eastAsia="仿宋" w:cs="仿宋"/>
          <w:b/>
          <w:bCs/>
          <w:i/>
          <w:iCs/>
          <w:sz w:val="24"/>
          <w:highlight w:val="yellow"/>
          <w:lang w:val="en-US" w:eastAsia="zh-CN"/>
        </w:rPr>
        <w:t>1</w:t>
      </w:r>
      <w:r>
        <w:rPr>
          <w:rFonts w:hint="eastAsia" w:ascii="仿宋" w:hAnsi="仿宋" w:eastAsia="仿宋" w:cs="仿宋"/>
          <w:b/>
          <w:bCs/>
          <w:i/>
          <w:iCs/>
          <w:sz w:val="24"/>
          <w:highlight w:val="yellow"/>
        </w:rPr>
        <w:t>月</w:t>
      </w:r>
      <w:r>
        <w:rPr>
          <w:rFonts w:hint="eastAsia" w:ascii="仿宋" w:hAnsi="仿宋" w:eastAsia="仿宋" w:cs="仿宋"/>
          <w:b/>
          <w:bCs/>
          <w:i/>
          <w:iCs/>
          <w:sz w:val="24"/>
          <w:highlight w:val="yellow"/>
          <w:lang w:val="en-US" w:eastAsia="zh-CN"/>
        </w:rPr>
        <w:t>20</w:t>
      </w:r>
      <w:r>
        <w:rPr>
          <w:rFonts w:hint="eastAsia" w:ascii="仿宋" w:hAnsi="仿宋" w:eastAsia="仿宋" w:cs="仿宋"/>
          <w:b/>
          <w:bCs/>
          <w:i/>
          <w:iCs/>
          <w:sz w:val="24"/>
          <w:highlight w:val="yellow"/>
        </w:rPr>
        <w:t>日上午9:30(北京时间)</w:t>
      </w:r>
    </w:p>
    <w:p w14:paraId="12510256">
      <w:pPr>
        <w:numPr>
          <w:ilvl w:val="0"/>
          <w:numId w:val="5"/>
        </w:numPr>
        <w:kinsoku w:val="0"/>
        <w:wordWrap w:val="0"/>
        <w:topLinePunct/>
        <w:ind w:left="425" w:leftChars="0" w:firstLine="73"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项目采购报名表格式如下</w:t>
      </w:r>
    </w:p>
    <w:p w14:paraId="3A8835EF">
      <w:pPr>
        <w:spacing w:line="360" w:lineRule="auto"/>
        <w:jc w:val="center"/>
        <w:rPr>
          <w:rFonts w:ascii="等线" w:hAnsi="等线" w:eastAsia="等线" w:cs="等线"/>
          <w:b/>
          <w:bCs/>
          <w:sz w:val="21"/>
          <w:szCs w:val="21"/>
        </w:rPr>
      </w:pPr>
      <w:r>
        <w:rPr>
          <w:rFonts w:hint="eastAsia" w:ascii="等线" w:hAnsi="等线" w:eastAsia="等线" w:cs="等线"/>
          <w:b/>
          <w:bCs/>
          <w:sz w:val="21"/>
          <w:szCs w:val="21"/>
          <w:lang w:val="en-US" w:eastAsia="zh-CN"/>
        </w:rPr>
        <w:t>项目采购</w:t>
      </w:r>
      <w:r>
        <w:rPr>
          <w:rFonts w:hint="eastAsia" w:ascii="等线" w:hAnsi="等线" w:eastAsia="等线" w:cs="等线"/>
          <w:b/>
          <w:bCs/>
          <w:sz w:val="21"/>
          <w:szCs w:val="21"/>
        </w:rPr>
        <w:t>报名表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5"/>
        <w:gridCol w:w="2130"/>
        <w:gridCol w:w="2424"/>
        <w:gridCol w:w="1172"/>
        <w:gridCol w:w="3161"/>
      </w:tblGrid>
      <w:tr w14:paraId="3AAE2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bottom w:val="single" w:color="auto" w:sz="4" w:space="0"/>
              <w:right w:val="single" w:color="auto" w:sz="4" w:space="0"/>
            </w:tcBorders>
            <w:vAlign w:val="center"/>
          </w:tcPr>
          <w:p w14:paraId="19ABE8A9">
            <w:pPr>
              <w:jc w:val="center"/>
              <w:rPr>
                <w:rFonts w:ascii="Times New Roman" w:hAnsi="Times New Roman" w:eastAsia="仿宋"/>
                <w:sz w:val="21"/>
                <w:szCs w:val="21"/>
              </w:rPr>
            </w:pPr>
            <w:r>
              <w:rPr>
                <w:rFonts w:hint="eastAsia" w:ascii="Times New Roman" w:hAnsi="Times New Roman" w:eastAsia="仿宋"/>
                <w:sz w:val="21"/>
                <w:szCs w:val="21"/>
              </w:rPr>
              <w:t>项目名称</w:t>
            </w:r>
          </w:p>
        </w:tc>
        <w:tc>
          <w:tcPr>
            <w:tcW w:w="11459" w:type="dxa"/>
            <w:gridSpan w:val="4"/>
            <w:tcBorders>
              <w:left w:val="single" w:color="auto" w:sz="4" w:space="0"/>
              <w:bottom w:val="single" w:color="auto" w:sz="4" w:space="0"/>
            </w:tcBorders>
            <w:vAlign w:val="center"/>
          </w:tcPr>
          <w:p w14:paraId="00A5D7D3">
            <w:pPr>
              <w:jc w:val="center"/>
              <w:rPr>
                <w:rFonts w:ascii="Times New Roman" w:hAnsi="Times New Roman" w:eastAsia="仿宋"/>
                <w:sz w:val="21"/>
                <w:szCs w:val="21"/>
              </w:rPr>
            </w:pPr>
          </w:p>
        </w:tc>
      </w:tr>
      <w:tr w14:paraId="1F4B0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top w:val="single" w:color="auto" w:sz="4" w:space="0"/>
              <w:bottom w:val="single" w:color="auto" w:sz="4" w:space="0"/>
              <w:right w:val="single" w:color="auto" w:sz="4" w:space="0"/>
            </w:tcBorders>
            <w:vAlign w:val="center"/>
          </w:tcPr>
          <w:p w14:paraId="46FCB850">
            <w:pPr>
              <w:jc w:val="center"/>
              <w:rPr>
                <w:rFonts w:ascii="Times New Roman" w:hAnsi="Times New Roman" w:eastAsia="仿宋"/>
                <w:sz w:val="21"/>
                <w:szCs w:val="21"/>
              </w:rPr>
            </w:pPr>
            <w:r>
              <w:rPr>
                <w:rFonts w:hint="eastAsia" w:ascii="Times New Roman" w:hAnsi="Times New Roman" w:eastAsia="仿宋"/>
                <w:sz w:val="21"/>
                <w:szCs w:val="21"/>
              </w:rPr>
              <w:t>项目编号</w:t>
            </w:r>
          </w:p>
        </w:tc>
        <w:tc>
          <w:tcPr>
            <w:tcW w:w="5924" w:type="dxa"/>
            <w:gridSpan w:val="2"/>
            <w:tcBorders>
              <w:top w:val="single" w:color="auto" w:sz="4" w:space="0"/>
              <w:left w:val="single" w:color="auto" w:sz="4" w:space="0"/>
              <w:bottom w:val="single" w:color="auto" w:sz="4" w:space="0"/>
              <w:right w:val="single" w:color="auto" w:sz="4" w:space="0"/>
            </w:tcBorders>
            <w:vAlign w:val="center"/>
          </w:tcPr>
          <w:p w14:paraId="1B04D038">
            <w:pPr>
              <w:jc w:val="center"/>
              <w:rPr>
                <w:rFonts w:hint="eastAsia" w:ascii="Times New Roman" w:hAnsi="Times New Roman" w:eastAsia="仿宋"/>
                <w:sz w:val="21"/>
                <w:szCs w:val="21"/>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64E88F96">
            <w:pPr>
              <w:jc w:val="center"/>
              <w:rPr>
                <w:rFonts w:ascii="Times New Roman" w:hAnsi="Times New Roman" w:eastAsia="仿宋"/>
                <w:sz w:val="21"/>
                <w:szCs w:val="21"/>
              </w:rPr>
            </w:pPr>
            <w:r>
              <w:rPr>
                <w:rFonts w:hint="eastAsia" w:ascii="Times New Roman" w:hAnsi="Times New Roman" w:eastAsia="仿宋"/>
                <w:sz w:val="21"/>
                <w:szCs w:val="21"/>
              </w:rPr>
              <w:t>报名日期</w:t>
            </w:r>
          </w:p>
        </w:tc>
        <w:tc>
          <w:tcPr>
            <w:tcW w:w="4095" w:type="dxa"/>
            <w:tcBorders>
              <w:top w:val="single" w:color="auto" w:sz="4" w:space="0"/>
              <w:left w:val="single" w:color="auto" w:sz="4" w:space="0"/>
              <w:bottom w:val="single" w:color="auto" w:sz="4" w:space="0"/>
            </w:tcBorders>
            <w:vAlign w:val="center"/>
          </w:tcPr>
          <w:p w14:paraId="350A4D17">
            <w:pPr>
              <w:jc w:val="center"/>
              <w:rPr>
                <w:rFonts w:ascii="Times New Roman" w:hAnsi="Times New Roman" w:eastAsia="仿宋"/>
                <w:sz w:val="21"/>
                <w:szCs w:val="21"/>
              </w:rPr>
            </w:pPr>
          </w:p>
        </w:tc>
      </w:tr>
      <w:tr w14:paraId="0197C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restart"/>
            <w:tcBorders>
              <w:top w:val="single" w:color="auto" w:sz="4" w:space="0"/>
              <w:bottom w:val="single" w:color="auto" w:sz="4" w:space="0"/>
              <w:right w:val="single" w:color="auto" w:sz="4" w:space="0"/>
            </w:tcBorders>
            <w:vAlign w:val="center"/>
          </w:tcPr>
          <w:p w14:paraId="3E916234">
            <w:pPr>
              <w:jc w:val="center"/>
              <w:rPr>
                <w:rFonts w:ascii="Times New Roman" w:hAnsi="Times New Roman" w:eastAsia="仿宋"/>
                <w:sz w:val="21"/>
                <w:szCs w:val="21"/>
              </w:rPr>
            </w:pPr>
            <w:r>
              <w:rPr>
                <w:rFonts w:hint="eastAsia" w:ascii="Times New Roman" w:hAnsi="Times New Roman" w:eastAsia="仿宋"/>
                <w:sz w:val="21"/>
                <w:szCs w:val="21"/>
              </w:rPr>
              <w:t>单位信息</w:t>
            </w:r>
          </w:p>
        </w:tc>
        <w:tc>
          <w:tcPr>
            <w:tcW w:w="2656" w:type="dxa"/>
            <w:tcBorders>
              <w:top w:val="single" w:color="auto" w:sz="4" w:space="0"/>
              <w:left w:val="single" w:color="auto" w:sz="4" w:space="0"/>
              <w:bottom w:val="single" w:color="auto" w:sz="4" w:space="0"/>
              <w:right w:val="single" w:color="auto" w:sz="4" w:space="0"/>
            </w:tcBorders>
            <w:vAlign w:val="center"/>
          </w:tcPr>
          <w:p w14:paraId="360A5F94">
            <w:pPr>
              <w:jc w:val="center"/>
              <w:rPr>
                <w:rFonts w:ascii="Times New Roman" w:hAnsi="Times New Roman" w:eastAsia="仿宋"/>
                <w:sz w:val="21"/>
                <w:szCs w:val="21"/>
              </w:rPr>
            </w:pPr>
            <w:r>
              <w:rPr>
                <w:rFonts w:hint="eastAsia" w:ascii="Times New Roman" w:hAnsi="Times New Roman" w:eastAsia="仿宋"/>
                <w:sz w:val="21"/>
                <w:szCs w:val="21"/>
              </w:rPr>
              <w:t>单位名称</w:t>
            </w:r>
          </w:p>
        </w:tc>
        <w:tc>
          <w:tcPr>
            <w:tcW w:w="3268" w:type="dxa"/>
            <w:tcBorders>
              <w:top w:val="single" w:color="auto" w:sz="4" w:space="0"/>
              <w:left w:val="single" w:color="auto" w:sz="4" w:space="0"/>
              <w:bottom w:val="single" w:color="auto" w:sz="4" w:space="0"/>
              <w:right w:val="single" w:color="auto" w:sz="4" w:space="0"/>
            </w:tcBorders>
            <w:vAlign w:val="center"/>
          </w:tcPr>
          <w:p w14:paraId="21C5E273">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7A6A04C">
            <w:pPr>
              <w:jc w:val="center"/>
              <w:rPr>
                <w:rFonts w:ascii="Times New Roman" w:hAnsi="Times New Roman" w:eastAsia="仿宋"/>
                <w:sz w:val="21"/>
                <w:szCs w:val="21"/>
              </w:rPr>
            </w:pPr>
            <w:r>
              <w:rPr>
                <w:rFonts w:hint="eastAsia" w:ascii="Times New Roman" w:hAnsi="Times New Roman" w:eastAsia="仿宋"/>
                <w:sz w:val="21"/>
                <w:szCs w:val="21"/>
              </w:rPr>
              <w:t>项目联系人</w:t>
            </w:r>
          </w:p>
        </w:tc>
        <w:tc>
          <w:tcPr>
            <w:tcW w:w="4095" w:type="dxa"/>
            <w:tcBorders>
              <w:top w:val="single" w:color="auto" w:sz="4" w:space="0"/>
              <w:left w:val="single" w:color="auto" w:sz="4" w:space="0"/>
              <w:bottom w:val="single" w:color="auto" w:sz="4" w:space="0"/>
            </w:tcBorders>
            <w:vAlign w:val="center"/>
          </w:tcPr>
          <w:p w14:paraId="40429AC9">
            <w:pPr>
              <w:jc w:val="center"/>
              <w:rPr>
                <w:rFonts w:ascii="Times New Roman" w:hAnsi="Times New Roman" w:eastAsia="仿宋"/>
                <w:sz w:val="21"/>
                <w:szCs w:val="21"/>
              </w:rPr>
            </w:pPr>
            <w:r>
              <w:rPr>
                <w:rFonts w:hint="eastAsia" w:ascii="Times New Roman" w:hAnsi="Times New Roman" w:eastAsia="仿宋"/>
                <w:sz w:val="21"/>
                <w:szCs w:val="21"/>
              </w:rPr>
              <w:t>姓名：</w:t>
            </w:r>
            <w:r>
              <w:rPr>
                <w:rFonts w:hint="eastAsia" w:ascii="Times New Roman" w:hAnsi="Times New Roman" w:eastAsia="仿宋"/>
                <w:sz w:val="21"/>
                <w:szCs w:val="21"/>
                <w:u w:val="single"/>
              </w:rPr>
              <w:t xml:space="preserve">         </w:t>
            </w:r>
            <w:r>
              <w:rPr>
                <w:rFonts w:hint="eastAsia" w:ascii="Times New Roman" w:hAnsi="Times New Roman" w:eastAsia="仿宋"/>
                <w:sz w:val="21"/>
                <w:szCs w:val="21"/>
              </w:rPr>
              <w:t>（□先生 □女士）</w:t>
            </w:r>
          </w:p>
        </w:tc>
      </w:tr>
      <w:tr w14:paraId="0229B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continue"/>
            <w:tcBorders>
              <w:top w:val="single" w:color="auto" w:sz="4" w:space="0"/>
              <w:bottom w:val="single" w:color="auto" w:sz="4" w:space="0"/>
              <w:right w:val="single" w:color="auto" w:sz="4" w:space="0"/>
            </w:tcBorders>
            <w:vAlign w:val="center"/>
          </w:tcPr>
          <w:p w14:paraId="4BCE0960">
            <w:pPr>
              <w:jc w:val="center"/>
              <w:rPr>
                <w:rFonts w:ascii="Times New Roman" w:hAnsi="Times New Roman" w:eastAsia="仿宋"/>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4C23BE74">
            <w:pPr>
              <w:jc w:val="center"/>
              <w:rPr>
                <w:rFonts w:ascii="Times New Roman" w:hAnsi="Times New Roman" w:eastAsia="仿宋"/>
                <w:sz w:val="21"/>
                <w:szCs w:val="21"/>
              </w:rPr>
            </w:pPr>
            <w:r>
              <w:rPr>
                <w:rFonts w:hint="eastAsia" w:ascii="Times New Roman" w:hAnsi="Times New Roman" w:eastAsia="仿宋"/>
                <w:sz w:val="21"/>
                <w:szCs w:val="21"/>
              </w:rPr>
              <w:t>单位地址</w:t>
            </w:r>
          </w:p>
        </w:tc>
        <w:tc>
          <w:tcPr>
            <w:tcW w:w="3268" w:type="dxa"/>
            <w:tcBorders>
              <w:top w:val="single" w:color="auto" w:sz="4" w:space="0"/>
              <w:left w:val="single" w:color="auto" w:sz="4" w:space="0"/>
              <w:bottom w:val="single" w:color="auto" w:sz="4" w:space="0"/>
              <w:right w:val="single" w:color="auto" w:sz="4" w:space="0"/>
            </w:tcBorders>
            <w:vAlign w:val="center"/>
          </w:tcPr>
          <w:p w14:paraId="77AA3E94">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443EB5B">
            <w:pPr>
              <w:jc w:val="center"/>
              <w:rPr>
                <w:rFonts w:ascii="Times New Roman" w:hAnsi="Times New Roman" w:eastAsia="仿宋"/>
                <w:sz w:val="21"/>
                <w:szCs w:val="21"/>
              </w:rPr>
            </w:pPr>
            <w:r>
              <w:rPr>
                <w:rFonts w:hint="eastAsia" w:ascii="Times New Roman" w:hAnsi="Times New Roman" w:eastAsia="仿宋"/>
                <w:sz w:val="21"/>
                <w:szCs w:val="21"/>
              </w:rPr>
              <w:t>联系电话</w:t>
            </w:r>
          </w:p>
        </w:tc>
        <w:tc>
          <w:tcPr>
            <w:tcW w:w="4095" w:type="dxa"/>
            <w:tcBorders>
              <w:top w:val="single" w:color="auto" w:sz="4" w:space="0"/>
              <w:left w:val="single" w:color="auto" w:sz="4" w:space="0"/>
              <w:bottom w:val="single" w:color="auto" w:sz="4" w:space="0"/>
            </w:tcBorders>
            <w:vAlign w:val="center"/>
          </w:tcPr>
          <w:p w14:paraId="2D5C368D">
            <w:pPr>
              <w:jc w:val="center"/>
              <w:rPr>
                <w:rFonts w:ascii="Times New Roman" w:hAnsi="Times New Roman" w:eastAsia="仿宋"/>
                <w:sz w:val="21"/>
                <w:szCs w:val="21"/>
              </w:rPr>
            </w:pPr>
          </w:p>
        </w:tc>
      </w:tr>
      <w:tr w14:paraId="4452A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471" w:type="dxa"/>
            <w:vMerge w:val="continue"/>
            <w:tcBorders>
              <w:top w:val="single" w:color="auto" w:sz="4" w:space="0"/>
              <w:bottom w:val="single" w:color="auto" w:sz="4" w:space="0"/>
              <w:right w:val="single" w:color="auto" w:sz="4" w:space="0"/>
            </w:tcBorders>
            <w:vAlign w:val="center"/>
          </w:tcPr>
          <w:p w14:paraId="478F6930">
            <w:pPr>
              <w:jc w:val="center"/>
              <w:rPr>
                <w:rFonts w:ascii="Times New Roman" w:hAnsi="Times New Roman" w:eastAsia="仿宋"/>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2BEBDD4B">
            <w:pPr>
              <w:jc w:val="center"/>
              <w:rPr>
                <w:rFonts w:ascii="Times New Roman" w:hAnsi="Times New Roman" w:eastAsia="仿宋"/>
                <w:sz w:val="21"/>
                <w:szCs w:val="21"/>
              </w:rPr>
            </w:pPr>
            <w:r>
              <w:rPr>
                <w:rFonts w:hint="eastAsia" w:ascii="Times New Roman" w:hAnsi="Times New Roman" w:eastAsia="仿宋"/>
                <w:sz w:val="21"/>
                <w:szCs w:val="21"/>
              </w:rPr>
              <w:t>邮箱</w:t>
            </w:r>
          </w:p>
          <w:p w14:paraId="6C95D43A">
            <w:pPr>
              <w:jc w:val="center"/>
              <w:rPr>
                <w:rFonts w:ascii="Times New Roman" w:hAnsi="Times New Roman" w:eastAsia="仿宋"/>
                <w:sz w:val="21"/>
                <w:szCs w:val="21"/>
              </w:rPr>
            </w:pPr>
            <w:r>
              <w:rPr>
                <w:rFonts w:hint="eastAsia" w:ascii="Times New Roman" w:hAnsi="Times New Roman" w:eastAsia="仿宋"/>
                <w:b/>
                <w:bCs/>
                <w:sz w:val="21"/>
                <w:szCs w:val="21"/>
              </w:rPr>
              <w:t>（非常重要！请确保正确）</w:t>
            </w:r>
          </w:p>
        </w:tc>
        <w:tc>
          <w:tcPr>
            <w:tcW w:w="3268" w:type="dxa"/>
            <w:tcBorders>
              <w:top w:val="single" w:color="auto" w:sz="4" w:space="0"/>
              <w:left w:val="single" w:color="auto" w:sz="4" w:space="0"/>
              <w:bottom w:val="single" w:color="auto" w:sz="4" w:space="0"/>
              <w:right w:val="single" w:color="auto" w:sz="4" w:space="0"/>
            </w:tcBorders>
            <w:vAlign w:val="center"/>
          </w:tcPr>
          <w:p w14:paraId="66833B1B">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0BEF665">
            <w:pPr>
              <w:jc w:val="center"/>
              <w:rPr>
                <w:rFonts w:ascii="Times New Roman" w:hAnsi="Times New Roman" w:eastAsia="仿宋"/>
                <w:sz w:val="21"/>
                <w:szCs w:val="21"/>
              </w:rPr>
            </w:pPr>
            <w:r>
              <w:rPr>
                <w:rFonts w:hint="eastAsia" w:ascii="Times New Roman" w:hAnsi="Times New Roman" w:eastAsia="仿宋"/>
                <w:sz w:val="21"/>
                <w:szCs w:val="21"/>
              </w:rPr>
              <w:t>职务</w:t>
            </w:r>
          </w:p>
        </w:tc>
        <w:tc>
          <w:tcPr>
            <w:tcW w:w="4095" w:type="dxa"/>
            <w:tcBorders>
              <w:top w:val="single" w:color="auto" w:sz="4" w:space="0"/>
              <w:left w:val="single" w:color="auto" w:sz="4" w:space="0"/>
              <w:bottom w:val="single" w:color="auto" w:sz="4" w:space="0"/>
            </w:tcBorders>
            <w:vAlign w:val="center"/>
          </w:tcPr>
          <w:p w14:paraId="66A3AC01">
            <w:pPr>
              <w:jc w:val="center"/>
              <w:rPr>
                <w:rFonts w:ascii="Times New Roman" w:hAnsi="Times New Roman" w:eastAsia="仿宋"/>
                <w:sz w:val="21"/>
                <w:szCs w:val="21"/>
              </w:rPr>
            </w:pPr>
          </w:p>
        </w:tc>
      </w:tr>
      <w:tr w14:paraId="25ABE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1" w:type="dxa"/>
            <w:vMerge w:val="continue"/>
            <w:tcBorders>
              <w:top w:val="single" w:color="auto" w:sz="4" w:space="0"/>
              <w:bottom w:val="single" w:color="auto" w:sz="4" w:space="0"/>
              <w:right w:val="single" w:color="auto" w:sz="4" w:space="0"/>
            </w:tcBorders>
            <w:vAlign w:val="center"/>
          </w:tcPr>
          <w:p w14:paraId="0932414B">
            <w:pPr>
              <w:jc w:val="center"/>
              <w:rPr>
                <w:rFonts w:ascii="Times New Roman" w:hAnsi="Times New Roman" w:eastAsia="仿宋"/>
                <w:sz w:val="21"/>
                <w:szCs w:val="21"/>
              </w:rPr>
            </w:pPr>
          </w:p>
        </w:tc>
        <w:tc>
          <w:tcPr>
            <w:tcW w:w="5924" w:type="dxa"/>
            <w:gridSpan w:val="2"/>
            <w:tcBorders>
              <w:top w:val="single" w:color="auto" w:sz="4" w:space="0"/>
              <w:left w:val="single" w:color="auto" w:sz="4" w:space="0"/>
              <w:bottom w:val="single" w:color="auto" w:sz="4" w:space="0"/>
              <w:right w:val="single" w:color="auto" w:sz="4" w:space="0"/>
            </w:tcBorders>
            <w:vAlign w:val="center"/>
          </w:tcPr>
          <w:p w14:paraId="49A55FB3">
            <w:pPr>
              <w:jc w:val="center"/>
              <w:rPr>
                <w:rFonts w:ascii="Times New Roman" w:hAnsi="Times New Roman" w:eastAsia="仿宋"/>
                <w:sz w:val="21"/>
                <w:szCs w:val="21"/>
              </w:rPr>
            </w:pPr>
            <w:r>
              <w:rPr>
                <w:rFonts w:hint="eastAsia" w:ascii="Times New Roman" w:hAnsi="Times New Roman" w:eastAsia="仿宋"/>
                <w:sz w:val="21"/>
                <w:szCs w:val="21"/>
              </w:rPr>
              <w:t>纳税人识别号或统一社会信用代码（必填）</w:t>
            </w:r>
          </w:p>
          <w:p w14:paraId="3CD63B40">
            <w:pPr>
              <w:jc w:val="center"/>
              <w:rPr>
                <w:rFonts w:ascii="Times New Roman" w:hAnsi="Times New Roman" w:eastAsia="仿宋"/>
                <w:sz w:val="21"/>
                <w:szCs w:val="21"/>
              </w:rPr>
            </w:pPr>
            <w:r>
              <w:rPr>
                <w:rFonts w:hint="eastAsia" w:ascii="Times New Roman" w:hAnsi="Times New Roman" w:eastAsia="仿宋"/>
                <w:sz w:val="21"/>
                <w:szCs w:val="21"/>
              </w:rPr>
              <w:t>（注：个人、没有纳税人识别号或统一社会信用代码的政府机构、事业单位除外）</w:t>
            </w:r>
          </w:p>
        </w:tc>
        <w:tc>
          <w:tcPr>
            <w:tcW w:w="5535" w:type="dxa"/>
            <w:gridSpan w:val="2"/>
            <w:tcBorders>
              <w:top w:val="single" w:color="auto" w:sz="4" w:space="0"/>
              <w:left w:val="single" w:color="auto" w:sz="4" w:space="0"/>
              <w:bottom w:val="single" w:color="auto" w:sz="4" w:space="0"/>
            </w:tcBorders>
            <w:vAlign w:val="center"/>
          </w:tcPr>
          <w:p w14:paraId="3DF94B60">
            <w:pPr>
              <w:jc w:val="center"/>
              <w:rPr>
                <w:rFonts w:ascii="Times New Roman" w:hAnsi="Times New Roman" w:eastAsia="仿宋"/>
                <w:sz w:val="21"/>
                <w:szCs w:val="21"/>
              </w:rPr>
            </w:pPr>
          </w:p>
        </w:tc>
      </w:tr>
      <w:tr w14:paraId="367E8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471" w:type="dxa"/>
            <w:tcBorders>
              <w:top w:val="single" w:color="auto" w:sz="4" w:space="0"/>
              <w:bottom w:val="single" w:color="auto" w:sz="4" w:space="0"/>
              <w:right w:val="single" w:color="auto" w:sz="4" w:space="0"/>
            </w:tcBorders>
            <w:vAlign w:val="center"/>
          </w:tcPr>
          <w:p w14:paraId="44D30E83">
            <w:pPr>
              <w:jc w:val="center"/>
              <w:rPr>
                <w:rFonts w:ascii="Times New Roman" w:hAnsi="Times New Roman" w:eastAsia="仿宋"/>
                <w:sz w:val="21"/>
                <w:szCs w:val="21"/>
              </w:rPr>
            </w:pPr>
            <w:r>
              <w:rPr>
                <w:rFonts w:hint="eastAsia" w:ascii="Times New Roman" w:hAnsi="Times New Roman" w:eastAsia="仿宋"/>
                <w:sz w:val="21"/>
                <w:szCs w:val="21"/>
              </w:rPr>
              <w:t>温馨提示</w:t>
            </w:r>
          </w:p>
        </w:tc>
        <w:tc>
          <w:tcPr>
            <w:tcW w:w="11459" w:type="dxa"/>
            <w:gridSpan w:val="4"/>
            <w:tcBorders>
              <w:top w:val="single" w:color="auto" w:sz="4" w:space="0"/>
              <w:left w:val="single" w:color="auto" w:sz="4" w:space="0"/>
              <w:bottom w:val="single" w:color="auto" w:sz="4" w:space="0"/>
            </w:tcBorders>
            <w:vAlign w:val="center"/>
          </w:tcPr>
          <w:p w14:paraId="07CF78D1">
            <w:pPr>
              <w:numPr>
                <w:ilvl w:val="0"/>
                <w:numId w:val="0"/>
              </w:numPr>
              <w:rPr>
                <w:rFonts w:ascii="Times New Roman" w:hAnsi="Times New Roman" w:eastAsia="仿宋"/>
                <w:sz w:val="21"/>
                <w:szCs w:val="21"/>
              </w:rPr>
            </w:pPr>
            <w:r>
              <w:rPr>
                <w:rFonts w:hint="eastAsia" w:ascii="Times New Roman" w:hAnsi="Times New Roman" w:eastAsia="仿宋"/>
                <w:sz w:val="21"/>
                <w:szCs w:val="21"/>
                <w:lang w:val="en-US" w:eastAsia="zh-CN"/>
              </w:rPr>
              <w:t>本报名表落款处需</w:t>
            </w:r>
            <w:r>
              <w:rPr>
                <w:rFonts w:hint="eastAsia" w:ascii="Times New Roman" w:hAnsi="Times New Roman" w:eastAsia="仿宋"/>
                <w:sz w:val="21"/>
                <w:szCs w:val="21"/>
              </w:rPr>
              <w:t>项目联系人签字或者盖章，并加盖公章。</w:t>
            </w:r>
          </w:p>
        </w:tc>
      </w:tr>
    </w:tbl>
    <w:p w14:paraId="4FAA2E48">
      <w:pPr>
        <w:spacing w:line="360" w:lineRule="auto"/>
        <w:ind w:firstLine="786" w:firstLineChars="300"/>
        <w:rPr>
          <w:rFonts w:hint="eastAsia" w:ascii="仿宋" w:hAnsi="仿宋" w:eastAsia="仿宋" w:cs="仿宋"/>
          <w:b/>
          <w:bCs/>
          <w:sz w:val="21"/>
          <w:szCs w:val="21"/>
        </w:rPr>
      </w:pPr>
    </w:p>
    <w:p w14:paraId="299CFF30">
      <w:pPr>
        <w:spacing w:line="360" w:lineRule="auto"/>
        <w:ind w:firstLine="786" w:firstLineChars="300"/>
        <w:rPr>
          <w:rFonts w:hint="eastAsia" w:ascii="仿宋" w:hAnsi="仿宋" w:eastAsia="仿宋" w:cs="仿宋"/>
          <w:b/>
          <w:bCs/>
          <w:sz w:val="21"/>
          <w:szCs w:val="21"/>
        </w:rPr>
      </w:pPr>
    </w:p>
    <w:p w14:paraId="7E8330AC">
      <w:pPr>
        <w:spacing w:line="360" w:lineRule="auto"/>
        <w:rPr>
          <w:rFonts w:ascii="仿宋" w:hAnsi="仿宋" w:eastAsia="仿宋" w:cs="仿宋"/>
          <w:b/>
          <w:bCs/>
          <w:sz w:val="21"/>
          <w:szCs w:val="21"/>
        </w:rPr>
      </w:pPr>
      <w:r>
        <w:rPr>
          <w:rFonts w:hint="eastAsia" w:ascii="仿宋" w:hAnsi="仿宋" w:eastAsia="仿宋" w:cs="仿宋"/>
          <w:b/>
          <w:bCs/>
          <w:sz w:val="21"/>
          <w:szCs w:val="21"/>
        </w:rPr>
        <w:t>报名供应商项目联系人签字：                    报名供应商加盖单位公章：</w:t>
      </w:r>
    </w:p>
    <w:p w14:paraId="5F72EB97">
      <w:pPr>
        <w:numPr>
          <w:ilvl w:val="0"/>
          <w:numId w:val="0"/>
        </w:numPr>
        <w:kinsoku w:val="0"/>
        <w:wordWrap w:val="0"/>
        <w:topLinePunct/>
        <w:ind w:left="498" w:leftChars="0"/>
        <w:rPr>
          <w:rFonts w:hint="default" w:ascii="仿宋" w:hAnsi="仿宋" w:eastAsia="仿宋" w:cs="仿宋"/>
          <w:sz w:val="21"/>
          <w:szCs w:val="21"/>
          <w:lang w:val="en-US" w:eastAsia="zh-CN"/>
        </w:rPr>
      </w:pPr>
    </w:p>
    <w:p w14:paraId="02CF6B0B">
      <w:pPr>
        <w:kinsoku w:val="0"/>
        <w:wordWrap w:val="0"/>
        <w:topLinePunct/>
        <w:rPr>
          <w:rFonts w:hint="eastAsia" w:ascii="仿宋" w:hAnsi="仿宋" w:eastAsia="仿宋" w:cs="仿宋"/>
          <w:b/>
          <w:sz w:val="21"/>
        </w:rPr>
      </w:pPr>
      <w:r>
        <w:rPr>
          <w:rFonts w:hint="eastAsia" w:ascii="仿宋" w:hAnsi="仿宋" w:eastAsia="仿宋" w:cs="仿宋"/>
          <w:b/>
          <w:sz w:val="21"/>
        </w:rPr>
        <w:t>五、评（议）标原则</w:t>
      </w:r>
    </w:p>
    <w:p w14:paraId="2341A2E9">
      <w:pPr>
        <w:kinsoku w:val="0"/>
        <w:wordWrap w:val="0"/>
        <w:topLinePunct/>
        <w:ind w:firstLine="524" w:firstLineChars="200"/>
        <w:rPr>
          <w:rFonts w:ascii="仿宋" w:hAnsi="仿宋" w:eastAsia="仿宋" w:cs="仿宋"/>
          <w:b/>
          <w:sz w:val="21"/>
          <w:szCs w:val="21"/>
        </w:rPr>
      </w:pPr>
      <w:r>
        <w:rPr>
          <w:rFonts w:hint="eastAsia" w:ascii="仿宋" w:hAnsi="仿宋" w:eastAsia="仿宋" w:cs="仿宋"/>
          <w:sz w:val="21"/>
          <w:szCs w:val="21"/>
        </w:rPr>
        <w:t>1.本次采购采用综合评分法，按分数高低选出中标候选人。</w:t>
      </w:r>
    </w:p>
    <w:p w14:paraId="3A328D63">
      <w:pPr>
        <w:pStyle w:val="17"/>
        <w:tabs>
          <w:tab w:val="left" w:pos="-166"/>
        </w:tabs>
        <w:kinsoku w:val="0"/>
        <w:wordWrap w:val="0"/>
        <w:topLinePunct/>
        <w:ind w:left="0" w:leftChars="0" w:firstLine="524" w:firstLineChars="200"/>
        <w:rPr>
          <w:rFonts w:hint="eastAsia" w:ascii="仿宋" w:hAnsi="仿宋" w:eastAsia="仿宋" w:cs="仿宋"/>
          <w:sz w:val="21"/>
          <w:szCs w:val="21"/>
        </w:rPr>
      </w:pPr>
      <w:r>
        <w:rPr>
          <w:rFonts w:hint="eastAsia" w:ascii="仿宋" w:hAnsi="仿宋" w:eastAsia="仿宋" w:cs="仿宋"/>
          <w:sz w:val="21"/>
          <w:szCs w:val="21"/>
        </w:rPr>
        <w:t>2.评分表：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465"/>
        <w:gridCol w:w="4910"/>
      </w:tblGrid>
      <w:tr w14:paraId="71DD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Pr>
          <w:p w14:paraId="5DA8EDBD">
            <w:pPr>
              <w:jc w:val="center"/>
              <w:rPr>
                <w:sz w:val="21"/>
                <w:szCs w:val="21"/>
              </w:rPr>
            </w:pPr>
            <w:r>
              <w:rPr>
                <w:sz w:val="21"/>
                <w:szCs w:val="21"/>
              </w:rPr>
              <w:t>评审因素</w:t>
            </w:r>
          </w:p>
        </w:tc>
        <w:tc>
          <w:tcPr>
            <w:tcW w:w="7375" w:type="dxa"/>
            <w:gridSpan w:val="2"/>
          </w:tcPr>
          <w:p w14:paraId="384BFD35">
            <w:pPr>
              <w:jc w:val="center"/>
              <w:rPr>
                <w:sz w:val="21"/>
                <w:szCs w:val="21"/>
              </w:rPr>
            </w:pPr>
            <w:r>
              <w:rPr>
                <w:sz w:val="21"/>
                <w:szCs w:val="21"/>
              </w:rPr>
              <w:t>评审标准</w:t>
            </w:r>
          </w:p>
        </w:tc>
      </w:tr>
      <w:tr w14:paraId="1FC1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Pr>
          <w:p w14:paraId="615AF1F4">
            <w:pPr>
              <w:jc w:val="center"/>
              <w:rPr>
                <w:sz w:val="21"/>
                <w:szCs w:val="21"/>
              </w:rPr>
            </w:pPr>
            <w:r>
              <w:rPr>
                <w:b/>
                <w:bCs/>
                <w:i w:val="0"/>
                <w:iCs w:val="0"/>
                <w:sz w:val="21"/>
                <w:szCs w:val="21"/>
              </w:rPr>
              <w:t>分值构成</w:t>
            </w:r>
          </w:p>
        </w:tc>
        <w:tc>
          <w:tcPr>
            <w:tcW w:w="7375" w:type="dxa"/>
            <w:gridSpan w:val="2"/>
          </w:tcPr>
          <w:p w14:paraId="0DDC7590">
            <w:pPr>
              <w:rPr>
                <w:b/>
                <w:bCs/>
                <w:sz w:val="21"/>
                <w:szCs w:val="21"/>
              </w:rPr>
            </w:pPr>
            <w:r>
              <w:rPr>
                <w:b/>
                <w:bCs/>
                <w:sz w:val="21"/>
                <w:szCs w:val="21"/>
              </w:rPr>
              <w:t>技术部分</w:t>
            </w:r>
            <w:r>
              <w:rPr>
                <w:rFonts w:hint="eastAsia"/>
                <w:b/>
                <w:bCs/>
                <w:sz w:val="21"/>
                <w:szCs w:val="21"/>
                <w:lang w:val="en-US" w:eastAsia="zh-CN"/>
              </w:rPr>
              <w:t>40.0</w:t>
            </w:r>
            <w:r>
              <w:rPr>
                <w:b/>
                <w:bCs/>
                <w:sz w:val="21"/>
                <w:szCs w:val="21"/>
              </w:rPr>
              <w:t>分</w:t>
            </w:r>
          </w:p>
          <w:p w14:paraId="05A8ECE8">
            <w:pPr>
              <w:rPr>
                <w:b/>
                <w:bCs/>
                <w:sz w:val="21"/>
                <w:szCs w:val="21"/>
              </w:rPr>
            </w:pPr>
            <w:r>
              <w:rPr>
                <w:b/>
                <w:bCs/>
                <w:sz w:val="21"/>
                <w:szCs w:val="21"/>
              </w:rPr>
              <w:t>商务部分</w:t>
            </w:r>
            <w:r>
              <w:rPr>
                <w:rFonts w:hint="eastAsia"/>
                <w:b/>
                <w:bCs/>
                <w:sz w:val="21"/>
                <w:szCs w:val="21"/>
                <w:lang w:val="en-US" w:eastAsia="zh-CN"/>
              </w:rPr>
              <w:t>40.0</w:t>
            </w:r>
            <w:r>
              <w:rPr>
                <w:b/>
                <w:bCs/>
                <w:sz w:val="21"/>
                <w:szCs w:val="21"/>
              </w:rPr>
              <w:t>分</w:t>
            </w:r>
          </w:p>
          <w:p w14:paraId="561E2462">
            <w:pPr>
              <w:rPr>
                <w:sz w:val="21"/>
                <w:szCs w:val="21"/>
              </w:rPr>
            </w:pPr>
            <w:r>
              <w:rPr>
                <w:b/>
                <w:bCs/>
                <w:sz w:val="21"/>
                <w:szCs w:val="21"/>
              </w:rPr>
              <w:t>报价得分</w:t>
            </w:r>
            <w:r>
              <w:rPr>
                <w:rFonts w:hint="eastAsia"/>
                <w:b/>
                <w:bCs/>
                <w:sz w:val="21"/>
                <w:szCs w:val="21"/>
                <w:lang w:val="en-US" w:eastAsia="zh-CN"/>
              </w:rPr>
              <w:t>20.0</w:t>
            </w:r>
            <w:r>
              <w:rPr>
                <w:b/>
                <w:bCs/>
                <w:sz w:val="21"/>
                <w:szCs w:val="21"/>
              </w:rPr>
              <w:t>分</w:t>
            </w:r>
          </w:p>
        </w:tc>
      </w:tr>
      <w:tr w14:paraId="6192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0" w:hRule="atLeast"/>
          <w:jc w:val="center"/>
        </w:trPr>
        <w:tc>
          <w:tcPr>
            <w:tcW w:w="921" w:type="dxa"/>
            <w:vMerge w:val="restart"/>
          </w:tcPr>
          <w:p w14:paraId="083E8CB4">
            <w:pPr>
              <w:rPr>
                <w:sz w:val="21"/>
                <w:szCs w:val="21"/>
              </w:rPr>
            </w:pPr>
            <w:r>
              <w:rPr>
                <w:rFonts w:hint="eastAsia"/>
                <w:b/>
                <w:bCs/>
                <w:sz w:val="21"/>
                <w:szCs w:val="21"/>
              </w:rPr>
              <w:t>技术部分</w:t>
            </w:r>
          </w:p>
        </w:tc>
        <w:tc>
          <w:tcPr>
            <w:tcW w:w="2465" w:type="dxa"/>
            <w:vAlign w:val="center"/>
          </w:tcPr>
          <w:p w14:paraId="3C2FC09A">
            <w:pPr>
              <w:widowControl/>
              <w:contextualSpacing/>
              <w:jc w:val="center"/>
              <w:rPr>
                <w:rFonts w:hint="default" w:eastAsia="仿宋_GB2312"/>
                <w:b/>
                <w:bCs/>
                <w:sz w:val="21"/>
                <w:szCs w:val="21"/>
                <w:lang w:val="en-US" w:eastAsia="zh-CN"/>
              </w:rPr>
            </w:pPr>
            <w:r>
              <w:rPr>
                <w:b/>
                <w:bCs/>
                <w:sz w:val="21"/>
                <w:szCs w:val="21"/>
              </w:rPr>
              <w:t>项目实施方案</w:t>
            </w:r>
            <w:r>
              <w:rPr>
                <w:rFonts w:hint="eastAsia"/>
                <w:b/>
                <w:bCs/>
                <w:sz w:val="21"/>
                <w:szCs w:val="21"/>
                <w:lang w:val="en-US" w:eastAsia="zh-CN"/>
              </w:rPr>
              <w:t>保障措施</w:t>
            </w:r>
          </w:p>
          <w:p w14:paraId="0173E00C">
            <w:pPr>
              <w:widowControl/>
              <w:contextualSpacing/>
              <w:jc w:val="center"/>
              <w:rPr>
                <w:sz w:val="21"/>
                <w:szCs w:val="21"/>
                <w:highlight w:val="yellow"/>
              </w:rPr>
            </w:pPr>
            <w:r>
              <w:rPr>
                <w:b/>
                <w:bCs/>
                <w:sz w:val="21"/>
                <w:szCs w:val="21"/>
              </w:rPr>
              <w:t xml:space="preserve"> (</w:t>
            </w:r>
            <w:r>
              <w:rPr>
                <w:rFonts w:hint="eastAsia"/>
                <w:b/>
                <w:bCs/>
                <w:sz w:val="21"/>
                <w:szCs w:val="21"/>
                <w:lang w:val="en-US" w:eastAsia="zh-CN"/>
              </w:rPr>
              <w:t>20</w:t>
            </w:r>
            <w:r>
              <w:rPr>
                <w:b/>
                <w:bCs/>
                <w:sz w:val="21"/>
                <w:szCs w:val="21"/>
              </w:rPr>
              <w:t>分)</w:t>
            </w:r>
          </w:p>
        </w:tc>
        <w:tc>
          <w:tcPr>
            <w:tcW w:w="4910" w:type="dxa"/>
          </w:tcPr>
          <w:p w14:paraId="4D977B33">
            <w:pPr>
              <w:contextualSpacing/>
              <w:rPr>
                <w:rFonts w:hint="eastAsia" w:ascii="Times New Roman" w:hAnsi="Times New Roman" w:cs="Times New Roman"/>
                <w:sz w:val="21"/>
                <w:szCs w:val="21"/>
                <w:lang w:eastAsia="zh-CN"/>
              </w:rPr>
            </w:pPr>
            <w:r>
              <w:rPr>
                <w:rFonts w:hint="eastAsia" w:ascii="Times New Roman" w:hAnsi="Times New Roman" w:cs="Times New Roman"/>
                <w:sz w:val="21"/>
                <w:szCs w:val="21"/>
              </w:rPr>
              <w:t>根据</w:t>
            </w:r>
            <w:r>
              <w:rPr>
                <w:rFonts w:hint="eastAsia" w:ascii="Times New Roman" w:hAnsi="Times New Roman" w:cs="Times New Roman"/>
                <w:sz w:val="21"/>
                <w:szCs w:val="21"/>
                <w:lang w:eastAsia="zh-CN"/>
              </w:rPr>
              <w:t>招标文件</w:t>
            </w:r>
            <w:r>
              <w:rPr>
                <w:rFonts w:hint="eastAsia" w:ascii="Times New Roman" w:hAnsi="Times New Roman" w:cs="Times New Roman"/>
                <w:sz w:val="21"/>
                <w:szCs w:val="21"/>
              </w:rPr>
              <w:t>“第二部分技术服务内容、技术指标要求等:二、服务内容</w:t>
            </w:r>
            <w:r>
              <w:rPr>
                <w:rFonts w:hint="eastAsia" w:ascii="Times New Roman" w:hAnsi="Times New Roman" w:cs="Times New Roman"/>
                <w:sz w:val="21"/>
                <w:szCs w:val="21"/>
                <w:lang w:eastAsia="zh-CN"/>
              </w:rPr>
              <w:t>”</w:t>
            </w:r>
            <w:r>
              <w:rPr>
                <w:rFonts w:ascii="Times New Roman" w:hAnsi="Times New Roman" w:cs="Times New Roman"/>
                <w:sz w:val="21"/>
                <w:szCs w:val="21"/>
              </w:rPr>
              <w:t>，对投标人提供的项目实施方案</w:t>
            </w:r>
            <w:r>
              <w:rPr>
                <w:rFonts w:hint="eastAsia" w:ascii="Times New Roman" w:hAnsi="Times New Roman" w:cs="Times New Roman"/>
                <w:sz w:val="21"/>
                <w:szCs w:val="21"/>
                <w:lang w:val="en-US" w:eastAsia="zh-CN"/>
              </w:rPr>
              <w:t>保障措施</w:t>
            </w:r>
            <w:r>
              <w:rPr>
                <w:rFonts w:ascii="Times New Roman" w:hAnsi="Times New Roman" w:cs="Times New Roman"/>
                <w:sz w:val="21"/>
                <w:szCs w:val="21"/>
              </w:rPr>
              <w:t>进行评分：</w:t>
            </w:r>
          </w:p>
          <w:p w14:paraId="4550509B">
            <w:pPr>
              <w:contextualSpacing/>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（1）项目方案保障措施（10分）</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br w:type="textWrapping"/>
            </w:r>
            <w:r>
              <w:rPr>
                <w:rFonts w:hint="eastAsia" w:ascii="Times New Roman" w:hAnsi="Times New Roman" w:cs="Times New Roman"/>
                <w:sz w:val="21"/>
                <w:szCs w:val="21"/>
                <w:lang w:val="en-US" w:eastAsia="zh-CN"/>
              </w:rPr>
              <w:t>A</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环境检测报告（5分）：</w:t>
            </w:r>
            <w:r>
              <w:rPr>
                <w:rFonts w:hint="default" w:ascii="Times New Roman" w:hAnsi="Times New Roman" w:cs="Times New Roman"/>
                <w:sz w:val="21"/>
                <w:szCs w:val="21"/>
                <w:lang w:val="en-US" w:eastAsia="zh-CN"/>
              </w:rPr>
              <w:t>提供近一年内国家认可第三方机构出具的SPF级动物房环境检测合格报告</w:t>
            </w:r>
            <w:r>
              <w:rPr>
                <w:rFonts w:hint="eastAsia" w:ascii="Times New Roman" w:hAnsi="Times New Roman" w:cs="Times New Roman"/>
                <w:sz w:val="21"/>
                <w:szCs w:val="21"/>
                <w:lang w:val="en-US" w:eastAsia="zh-CN"/>
              </w:rPr>
              <w:t>，得5分</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br w:type="textWrapping"/>
            </w:r>
            <w:r>
              <w:rPr>
                <w:rFonts w:hint="eastAsia" w:ascii="Times New Roman" w:hAnsi="Times New Roman" w:cs="Times New Roman"/>
                <w:sz w:val="21"/>
                <w:szCs w:val="21"/>
                <w:lang w:val="en-US" w:eastAsia="zh-CN"/>
              </w:rPr>
              <w:t>B</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笼位容量承诺（5分）：实施方案中承诺的实验动物笼位数量不低于采购需求，得5分</w:t>
            </w:r>
            <w:r>
              <w:rPr>
                <w:rFonts w:hint="default" w:ascii="Times New Roman" w:hAnsi="Times New Roman" w:cs="Times New Roman"/>
                <w:sz w:val="21"/>
                <w:szCs w:val="21"/>
                <w:lang w:val="en-US" w:eastAsia="zh-CN"/>
              </w:rPr>
              <w:t>。</w:t>
            </w:r>
          </w:p>
          <w:p w14:paraId="2ABEE9E0">
            <w:pPr>
              <w:contextualSpacing/>
              <w:rPr>
                <w:rFonts w:hint="eastAsia" w:ascii="Times New Roman" w:hAnsi="Times New Roman" w:cs="Times New Roman"/>
                <w:sz w:val="21"/>
                <w:szCs w:val="21"/>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检测能力（5分）：</w:t>
            </w:r>
            <w:r>
              <w:rPr>
                <w:rFonts w:hint="eastAsia" w:ascii="Times New Roman" w:hAnsi="Times New Roman" w:cs="Times New Roman"/>
                <w:sz w:val="21"/>
                <w:szCs w:val="21"/>
                <w:lang w:val="en-US" w:eastAsia="zh-CN"/>
              </w:rPr>
              <w:t>提供</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下游</w:t>
            </w:r>
            <w:r>
              <w:rPr>
                <w:rFonts w:hint="default" w:ascii="Times New Roman" w:hAnsi="Times New Roman" w:cs="Times New Roman"/>
                <w:sz w:val="21"/>
                <w:szCs w:val="21"/>
                <w:lang w:val="en-US" w:eastAsia="zh-CN"/>
              </w:rPr>
              <w:t>CRO服务能力清单》</w:t>
            </w:r>
            <w:r>
              <w:rPr>
                <w:rFonts w:hint="eastAsia" w:ascii="Times New Roman" w:hAnsi="Times New Roman" w:cs="Times New Roman"/>
                <w:sz w:val="21"/>
                <w:szCs w:val="21"/>
                <w:lang w:val="en-US" w:eastAsia="zh-CN"/>
              </w:rPr>
              <w:t>，得5分，</w:t>
            </w:r>
            <w:r>
              <w:rPr>
                <w:rFonts w:hint="default" w:ascii="Times New Roman" w:hAnsi="Times New Roman" w:cs="Times New Roman"/>
                <w:sz w:val="21"/>
                <w:szCs w:val="21"/>
                <w:lang w:val="en-US" w:eastAsia="zh-CN"/>
              </w:rPr>
              <w:t>未提供者不得分。</w:t>
            </w:r>
          </w:p>
          <w:p w14:paraId="4C1817EE">
            <w:pPr>
              <w:contextualSpacing/>
              <w:rPr>
                <w:rFonts w:hint="eastAsia"/>
                <w:sz w:val="21"/>
                <w:szCs w:val="21"/>
              </w:rPr>
            </w:pPr>
            <w:r>
              <w:rPr>
                <w:rFonts w:hint="eastAsia" w:ascii="Times New Roman" w:hAnsi="Times New Roman" w:cs="Times New Roman"/>
                <w:sz w:val="21"/>
                <w:szCs w:val="21"/>
                <w:lang w:val="en-US" w:eastAsia="zh-CN"/>
              </w:rPr>
              <w:t>（3）项目时间计划</w:t>
            </w:r>
            <w:r>
              <w:rPr>
                <w:rFonts w:hint="default" w:ascii="Times New Roman" w:hAnsi="Times New Roman" w:cs="Times New Roman"/>
                <w:sz w:val="21"/>
                <w:szCs w:val="21"/>
                <w:lang w:val="en-US" w:eastAsia="zh-CN"/>
              </w:rPr>
              <w:t>（5分）：投标人须在实施方案中</w:t>
            </w:r>
            <w:r>
              <w:rPr>
                <w:rFonts w:hint="eastAsia" w:ascii="Times New Roman" w:hAnsi="Times New Roman" w:cs="Times New Roman"/>
                <w:sz w:val="21"/>
                <w:szCs w:val="21"/>
                <w:lang w:val="en-US" w:eastAsia="zh-CN"/>
              </w:rPr>
              <w:t>提供项目时间计划表</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并承诺</w:t>
            </w:r>
            <w:r>
              <w:rPr>
                <w:rFonts w:hint="default" w:ascii="Times New Roman" w:hAnsi="Times New Roman" w:cs="Times New Roman"/>
                <w:sz w:val="21"/>
                <w:szCs w:val="21"/>
                <w:lang w:val="en-US" w:eastAsia="zh-CN"/>
              </w:rPr>
              <w:t>自合同正式签订之日起，在 1</w:t>
            </w:r>
            <w:r>
              <w:rPr>
                <w:rFonts w:hint="eastAsia" w:cs="Times New Roman"/>
                <w:sz w:val="21"/>
                <w:szCs w:val="21"/>
                <w:lang w:val="en-US" w:eastAsia="zh-CN"/>
              </w:rPr>
              <w:t>5</w:t>
            </w:r>
            <w:r>
              <w:rPr>
                <w:rFonts w:hint="default" w:ascii="Times New Roman" w:hAnsi="Times New Roman" w:cs="Times New Roman"/>
                <w:sz w:val="21"/>
                <w:szCs w:val="21"/>
                <w:lang w:val="en-US" w:eastAsia="zh-CN"/>
              </w:rPr>
              <w:t>个自然月内完成项目全部服务内容并交付所有成果。满足此要求得5分，否则不得分。</w:t>
            </w:r>
          </w:p>
        </w:tc>
      </w:tr>
      <w:tr w14:paraId="6133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Pr>
          <w:p w14:paraId="773DF723">
            <w:pPr>
              <w:rPr>
                <w:sz w:val="21"/>
                <w:szCs w:val="21"/>
              </w:rPr>
            </w:pPr>
          </w:p>
        </w:tc>
        <w:tc>
          <w:tcPr>
            <w:tcW w:w="2465" w:type="dxa"/>
            <w:tcBorders>
              <w:left w:val="single" w:color="auto" w:sz="4" w:space="0"/>
            </w:tcBorders>
            <w:vAlign w:val="center"/>
          </w:tcPr>
          <w:p w14:paraId="0E62FA31">
            <w:pPr>
              <w:widowControl/>
              <w:contextualSpacing/>
              <w:jc w:val="center"/>
              <w:rPr>
                <w:sz w:val="21"/>
                <w:szCs w:val="21"/>
              </w:rPr>
            </w:pPr>
            <w:r>
              <w:rPr>
                <w:b/>
                <w:bCs/>
                <w:sz w:val="21"/>
                <w:szCs w:val="21"/>
              </w:rPr>
              <w:t>相关</w:t>
            </w:r>
            <w:r>
              <w:rPr>
                <w:rFonts w:hint="eastAsia"/>
                <w:b/>
                <w:bCs/>
                <w:sz w:val="21"/>
                <w:szCs w:val="21"/>
                <w:lang w:val="en-US" w:eastAsia="zh-CN"/>
              </w:rPr>
              <w:t>的检测报告</w:t>
            </w:r>
            <w:r>
              <w:rPr>
                <w:b/>
                <w:bCs/>
                <w:sz w:val="21"/>
                <w:szCs w:val="21"/>
              </w:rPr>
              <w:t>(</w:t>
            </w:r>
            <w:r>
              <w:rPr>
                <w:rFonts w:hint="eastAsia"/>
                <w:b/>
                <w:bCs/>
                <w:sz w:val="21"/>
                <w:szCs w:val="21"/>
                <w:lang w:val="en-US" w:eastAsia="zh-CN"/>
              </w:rPr>
              <w:t>8</w:t>
            </w:r>
            <w:r>
              <w:rPr>
                <w:b/>
                <w:bCs/>
                <w:sz w:val="21"/>
                <w:szCs w:val="21"/>
              </w:rPr>
              <w:t>.0分)</w:t>
            </w:r>
          </w:p>
        </w:tc>
        <w:tc>
          <w:tcPr>
            <w:tcW w:w="4910" w:type="dxa"/>
          </w:tcPr>
          <w:p w14:paraId="604B6871">
            <w:pPr>
              <w:contextualSpacing/>
              <w:rPr>
                <w:rFonts w:hint="default"/>
                <w:sz w:val="21"/>
                <w:szCs w:val="21"/>
                <w:lang w:val="en-US" w:eastAsia="zh-CN"/>
              </w:rPr>
            </w:pPr>
            <w:r>
              <w:rPr>
                <w:sz w:val="21"/>
                <w:szCs w:val="21"/>
              </w:rPr>
              <w:t>投标人</w:t>
            </w:r>
            <w:r>
              <w:rPr>
                <w:rFonts w:hint="eastAsia"/>
                <w:sz w:val="21"/>
                <w:szCs w:val="21"/>
                <w:lang w:val="en-US" w:eastAsia="zh-CN"/>
              </w:rPr>
              <w:t>须</w:t>
            </w:r>
            <w:r>
              <w:rPr>
                <w:rFonts w:hint="eastAsia"/>
                <w:sz w:val="21"/>
                <w:szCs w:val="21"/>
              </w:rPr>
              <w:t>提供</w:t>
            </w:r>
            <w:r>
              <w:rPr>
                <w:rFonts w:hint="eastAsia"/>
                <w:sz w:val="21"/>
                <w:szCs w:val="21"/>
                <w:lang w:val="en-US" w:eastAsia="zh-CN"/>
              </w:rPr>
              <w:t>2025年各个季度</w:t>
            </w:r>
            <w:r>
              <w:rPr>
                <w:rFonts w:hint="eastAsia"/>
                <w:sz w:val="21"/>
                <w:szCs w:val="21"/>
              </w:rPr>
              <w:t>的</w:t>
            </w:r>
            <w:r>
              <w:rPr>
                <w:rFonts w:hint="eastAsia"/>
                <w:sz w:val="21"/>
                <w:szCs w:val="21"/>
                <w:lang w:val="en-US" w:eastAsia="zh-CN"/>
              </w:rPr>
              <w:t>SPF级小鼠实验动物健康检测</w:t>
            </w:r>
            <w:r>
              <w:rPr>
                <w:rFonts w:hint="eastAsia"/>
                <w:sz w:val="21"/>
                <w:szCs w:val="21"/>
              </w:rPr>
              <w:t>报告</w:t>
            </w:r>
            <w:r>
              <w:rPr>
                <w:rFonts w:hint="eastAsia"/>
                <w:sz w:val="21"/>
                <w:szCs w:val="21"/>
                <w:lang w:eastAsia="zh-CN"/>
              </w:rPr>
              <w:t>，</w:t>
            </w:r>
            <w:r>
              <w:rPr>
                <w:rFonts w:hint="eastAsia"/>
                <w:sz w:val="21"/>
                <w:szCs w:val="21"/>
                <w:lang w:val="en-US" w:eastAsia="zh-CN"/>
              </w:rPr>
              <w:t>该报告须由CNAS认可的第三方检测机构出具，并完整包含国家标准要求的所有检测指标。每提供一个符合要求的季度报告得2分，本项最多得8分。</w:t>
            </w:r>
          </w:p>
        </w:tc>
      </w:tr>
      <w:tr w14:paraId="694F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bottom w:val="single" w:color="auto" w:sz="4" w:space="0"/>
            </w:tcBorders>
          </w:tcPr>
          <w:p w14:paraId="53D4B443">
            <w:pPr>
              <w:rPr>
                <w:sz w:val="21"/>
                <w:szCs w:val="21"/>
              </w:rPr>
            </w:pPr>
          </w:p>
        </w:tc>
        <w:tc>
          <w:tcPr>
            <w:tcW w:w="2465" w:type="dxa"/>
            <w:tcBorders>
              <w:left w:val="single" w:color="auto" w:sz="4" w:space="0"/>
            </w:tcBorders>
            <w:shd w:val="clear" w:color="auto" w:fill="auto"/>
            <w:vAlign w:val="center"/>
          </w:tcPr>
          <w:p w14:paraId="5EE90D6E">
            <w:pPr>
              <w:widowControl/>
              <w:spacing w:line="276" w:lineRule="auto"/>
              <w:jc w:val="center"/>
              <w:rPr>
                <w:rFonts w:hint="eastAsia" w:ascii="宋体" w:hAnsi="宋体"/>
                <w:b/>
                <w:bCs/>
                <w:strike w:val="0"/>
                <w:color w:val="0C0C0C"/>
                <w:sz w:val="21"/>
                <w:szCs w:val="21"/>
                <w:u w:val="none"/>
              </w:rPr>
            </w:pPr>
            <w:r>
              <w:rPr>
                <w:rFonts w:hint="eastAsia" w:ascii="宋体" w:hAnsi="宋体"/>
                <w:b/>
                <w:bCs/>
                <w:strike w:val="0"/>
                <w:color w:val="0C0C0C"/>
                <w:sz w:val="21"/>
                <w:szCs w:val="21"/>
                <w:u w:val="none"/>
              </w:rPr>
              <w:t>成果产出能力</w:t>
            </w:r>
          </w:p>
          <w:p w14:paraId="1E0B795A">
            <w:pPr>
              <w:widowControl/>
              <w:spacing w:line="276" w:lineRule="auto"/>
              <w:jc w:val="center"/>
              <w:rPr>
                <w:rFonts w:hint="eastAsia" w:ascii="Times New Roman" w:hAnsi="Times New Roman" w:eastAsia="仿宋_GB2312" w:cs="Times New Roman"/>
                <w:strike w:val="0"/>
                <w:kern w:val="2"/>
                <w:sz w:val="21"/>
                <w:szCs w:val="21"/>
                <w:u w:val="single"/>
                <w:lang w:val="en-US" w:eastAsia="zh-CN" w:bidi="ar-SA"/>
              </w:rPr>
            </w:pPr>
            <w:r>
              <w:rPr>
                <w:rFonts w:hint="eastAsia" w:ascii="宋体" w:hAnsi="宋体"/>
                <w:b/>
                <w:bCs/>
                <w:strike w:val="0"/>
                <w:color w:val="0C0C0C"/>
                <w:sz w:val="21"/>
                <w:szCs w:val="21"/>
                <w:u w:val="none"/>
              </w:rPr>
              <w:t>(</w:t>
            </w:r>
            <w:r>
              <w:rPr>
                <w:rFonts w:hint="eastAsia"/>
                <w:b/>
                <w:bCs/>
                <w:sz w:val="21"/>
                <w:szCs w:val="21"/>
                <w:lang w:val="en-US" w:eastAsia="zh-CN"/>
              </w:rPr>
              <w:t>12.0</w:t>
            </w:r>
            <w:r>
              <w:rPr>
                <w:rFonts w:hint="eastAsia" w:ascii="宋体" w:hAnsi="宋体"/>
                <w:b/>
                <w:bCs/>
                <w:strike w:val="0"/>
                <w:color w:val="0C0C0C"/>
                <w:sz w:val="21"/>
                <w:szCs w:val="21"/>
                <w:u w:val="none"/>
              </w:rPr>
              <w:t>分</w:t>
            </w:r>
            <w:r>
              <w:rPr>
                <w:rFonts w:ascii="宋体" w:hAnsi="宋体"/>
                <w:b/>
                <w:bCs/>
                <w:strike w:val="0"/>
                <w:color w:val="0C0C0C"/>
                <w:sz w:val="21"/>
                <w:szCs w:val="21"/>
                <w:u w:val="none"/>
              </w:rPr>
              <w:t>)</w:t>
            </w:r>
          </w:p>
        </w:tc>
        <w:tc>
          <w:tcPr>
            <w:tcW w:w="4910" w:type="dxa"/>
            <w:shd w:val="clear" w:color="auto" w:fill="auto"/>
            <w:vAlign w:val="center"/>
          </w:tcPr>
          <w:p w14:paraId="74E93788">
            <w:pPr>
              <w:contextualSpacing/>
              <w:rPr>
                <w:rFonts w:hint="eastAsia" w:ascii="Times New Roman" w:hAnsi="Times New Roman" w:eastAsia="仿宋_GB2312" w:cs="Times New Roman"/>
                <w:strike w:val="0"/>
                <w:kern w:val="2"/>
                <w:sz w:val="21"/>
                <w:szCs w:val="21"/>
                <w:u w:val="none"/>
                <w:lang w:val="en-US" w:eastAsia="zh-CN" w:bidi="ar-SA"/>
              </w:rPr>
            </w:pPr>
            <w:r>
              <w:rPr>
                <w:rFonts w:hint="eastAsia" w:ascii="Times New Roman" w:hAnsi="Times New Roman" w:eastAsia="仿宋_GB2312" w:cs="Times New Roman"/>
                <w:strike w:val="0"/>
                <w:kern w:val="2"/>
                <w:sz w:val="21"/>
                <w:szCs w:val="21"/>
                <w:u w:val="none"/>
                <w:lang w:val="en-US" w:eastAsia="zh-CN" w:bidi="ar-SA"/>
              </w:rPr>
              <w:t>投标人</w:t>
            </w:r>
            <w:r>
              <w:rPr>
                <w:rFonts w:hint="eastAsia" w:cs="Times New Roman"/>
                <w:strike w:val="0"/>
                <w:kern w:val="2"/>
                <w:sz w:val="21"/>
                <w:szCs w:val="21"/>
                <w:u w:val="none"/>
                <w:lang w:val="en-US" w:eastAsia="zh-CN" w:bidi="ar-SA"/>
              </w:rPr>
              <w:t>须</w:t>
            </w:r>
            <w:r>
              <w:rPr>
                <w:rFonts w:hint="eastAsia" w:ascii="Times New Roman" w:hAnsi="Times New Roman" w:eastAsia="仿宋_GB2312" w:cs="Times New Roman"/>
                <w:strike w:val="0"/>
                <w:kern w:val="2"/>
                <w:sz w:val="21"/>
                <w:szCs w:val="21"/>
                <w:u w:val="none"/>
                <w:lang w:val="en-US" w:eastAsia="zh-CN" w:bidi="ar-SA"/>
              </w:rPr>
              <w:t>提供</w:t>
            </w:r>
            <w:r>
              <w:rPr>
                <w:rFonts w:hint="eastAsia" w:cs="Times New Roman"/>
                <w:strike w:val="0"/>
                <w:kern w:val="2"/>
                <w:sz w:val="21"/>
                <w:szCs w:val="21"/>
                <w:u w:val="none"/>
                <w:lang w:val="en-US" w:eastAsia="zh-CN" w:bidi="ar-SA"/>
              </w:rPr>
              <w:t>2021年1月1日以来，</w:t>
            </w:r>
            <w:r>
              <w:rPr>
                <w:rFonts w:hint="eastAsia" w:ascii="Times New Roman" w:hAnsi="Times New Roman" w:eastAsia="仿宋_GB2312" w:cs="Times New Roman"/>
                <w:strike w:val="0"/>
                <w:kern w:val="2"/>
                <w:sz w:val="21"/>
                <w:szCs w:val="21"/>
                <w:u w:val="none"/>
                <w:lang w:val="en-US" w:eastAsia="zh-CN" w:bidi="ar-SA"/>
              </w:rPr>
              <w:t>客户使用</w:t>
            </w:r>
            <w:r>
              <w:rPr>
                <w:rFonts w:hint="eastAsia" w:cs="Times New Roman"/>
                <w:strike w:val="0"/>
                <w:kern w:val="2"/>
                <w:sz w:val="21"/>
                <w:szCs w:val="21"/>
                <w:u w:val="none"/>
                <w:lang w:val="en-US" w:eastAsia="zh-CN" w:bidi="ar-SA"/>
              </w:rPr>
              <w:t>其</w:t>
            </w:r>
            <w:r>
              <w:rPr>
                <w:rFonts w:hint="eastAsia" w:ascii="Times New Roman" w:hAnsi="Times New Roman" w:eastAsia="仿宋_GB2312" w:cs="Times New Roman"/>
                <w:strike w:val="0"/>
                <w:kern w:val="2"/>
                <w:sz w:val="21"/>
                <w:szCs w:val="21"/>
                <w:u w:val="none"/>
                <w:lang w:val="en-US" w:eastAsia="zh-CN" w:bidi="ar-SA"/>
              </w:rPr>
              <w:t>基因编辑动物模型并在指定高水平学术期刊上正式发表的研究论文。每提供1篇符合下述全部要求的论文得1分，本项最高得</w:t>
            </w:r>
            <w:r>
              <w:rPr>
                <w:rFonts w:hint="eastAsia" w:cs="Times New Roman"/>
                <w:strike w:val="0"/>
                <w:kern w:val="2"/>
                <w:sz w:val="21"/>
                <w:szCs w:val="21"/>
                <w:u w:val="none"/>
                <w:lang w:val="en-US" w:eastAsia="zh-CN" w:bidi="ar-SA"/>
              </w:rPr>
              <w:t>12</w:t>
            </w:r>
            <w:r>
              <w:rPr>
                <w:rFonts w:hint="eastAsia" w:ascii="Times New Roman" w:hAnsi="Times New Roman" w:eastAsia="仿宋_GB2312" w:cs="Times New Roman"/>
                <w:strike w:val="0"/>
                <w:kern w:val="2"/>
                <w:sz w:val="21"/>
                <w:szCs w:val="21"/>
                <w:u w:val="none"/>
                <w:lang w:val="en-US" w:eastAsia="zh-CN" w:bidi="ar-SA"/>
              </w:rPr>
              <w:t>分。</w:t>
            </w:r>
          </w:p>
          <w:p w14:paraId="3864FD31">
            <w:pPr>
              <w:contextualSpacing/>
              <w:rPr>
                <w:rFonts w:hint="default" w:ascii="Times New Roman" w:hAnsi="Times New Roman" w:eastAsia="仿宋_GB2312" w:cs="Times New Roman"/>
                <w:strike w:val="0"/>
                <w:kern w:val="2"/>
                <w:sz w:val="21"/>
                <w:szCs w:val="21"/>
                <w:u w:val="none"/>
                <w:lang w:val="en-US" w:eastAsia="zh-CN" w:bidi="ar-SA"/>
              </w:rPr>
            </w:pPr>
            <w:r>
              <w:rPr>
                <w:rFonts w:hint="eastAsia" w:ascii="Times New Roman" w:hAnsi="Times New Roman" w:eastAsia="仿宋_GB2312" w:cs="Times New Roman"/>
                <w:strike w:val="0"/>
                <w:kern w:val="2"/>
                <w:sz w:val="21"/>
                <w:szCs w:val="21"/>
                <w:u w:val="none"/>
                <w:lang w:val="en-US" w:eastAsia="zh-CN" w:bidi="ar-SA"/>
              </w:rPr>
              <w:t>注：所有证明材料须同时满足以下</w:t>
            </w:r>
            <w:r>
              <w:rPr>
                <w:rFonts w:hint="eastAsia" w:cs="Times New Roman"/>
                <w:strike w:val="0"/>
                <w:kern w:val="2"/>
                <w:sz w:val="21"/>
                <w:szCs w:val="21"/>
                <w:u w:val="none"/>
                <w:lang w:val="en-US" w:eastAsia="zh-CN" w:bidi="ar-SA"/>
              </w:rPr>
              <w:t>全部</w:t>
            </w:r>
            <w:r>
              <w:rPr>
                <w:rFonts w:hint="eastAsia" w:ascii="Times New Roman" w:hAnsi="Times New Roman" w:eastAsia="仿宋_GB2312" w:cs="Times New Roman"/>
                <w:strike w:val="0"/>
                <w:kern w:val="2"/>
                <w:sz w:val="21"/>
                <w:szCs w:val="21"/>
                <w:u w:val="none"/>
                <w:lang w:val="en-US" w:eastAsia="zh-CN" w:bidi="ar-SA"/>
              </w:rPr>
              <w:t>要求</w:t>
            </w:r>
            <w:r>
              <w:rPr>
                <w:rFonts w:hint="eastAsia" w:ascii="Times New Roman" w:hAnsi="Times New Roman" w:cs="Times New Roman"/>
                <w:strike w:val="0"/>
                <w:kern w:val="2"/>
                <w:sz w:val="21"/>
                <w:szCs w:val="21"/>
                <w:u w:val="none"/>
                <w:lang w:val="en-US" w:eastAsia="zh-CN" w:bidi="ar-SA"/>
              </w:rPr>
              <w:t>，否则不予计分。</w:t>
            </w:r>
          </w:p>
          <w:p w14:paraId="27D45094">
            <w:pPr>
              <w:numPr>
                <w:ilvl w:val="0"/>
                <w:numId w:val="6"/>
              </w:numPr>
              <w:contextualSpacing/>
              <w:rPr>
                <w:rFonts w:hint="eastAsia" w:cs="Times New Roman"/>
                <w:strike w:val="0"/>
                <w:kern w:val="2"/>
                <w:sz w:val="21"/>
                <w:szCs w:val="21"/>
                <w:u w:val="none"/>
                <w:lang w:val="en-US" w:eastAsia="zh-CN" w:bidi="ar-SA"/>
              </w:rPr>
            </w:pPr>
            <w:r>
              <w:rPr>
                <w:rFonts w:hint="eastAsia" w:cs="Times New Roman"/>
                <w:strike w:val="0"/>
                <w:kern w:val="2"/>
                <w:sz w:val="21"/>
                <w:szCs w:val="21"/>
                <w:u w:val="none"/>
                <w:lang w:val="en-US" w:eastAsia="zh-CN" w:bidi="ar-SA"/>
              </w:rPr>
              <w:t>论文须在指定期刊，包括Nature、Science、Cell、PNAS及其子刊上正式发表，需提供</w:t>
            </w:r>
            <w:r>
              <w:rPr>
                <w:rFonts w:hint="eastAsia"/>
                <w:sz w:val="21"/>
                <w:szCs w:val="21"/>
              </w:rPr>
              <w:t>在</w:t>
            </w:r>
            <w:r>
              <w:rPr>
                <w:rFonts w:hint="eastAsia" w:cs="Times New Roman"/>
                <w:strike w:val="0"/>
                <w:kern w:val="2"/>
                <w:sz w:val="21"/>
                <w:szCs w:val="21"/>
                <w:u w:val="none"/>
                <w:lang w:val="en-US" w:eastAsia="zh-CN" w:bidi="ar-SA"/>
              </w:rPr>
              <w:t>Nature、Science、Cell或PNAS</w:t>
            </w:r>
            <w:r>
              <w:rPr>
                <w:rFonts w:hint="eastAsia"/>
                <w:sz w:val="21"/>
                <w:szCs w:val="21"/>
              </w:rPr>
              <w:t>官网查询的截图</w:t>
            </w:r>
            <w:r>
              <w:rPr>
                <w:rFonts w:hint="eastAsia" w:cs="Times New Roman"/>
                <w:strike w:val="0"/>
                <w:kern w:val="2"/>
                <w:sz w:val="21"/>
                <w:szCs w:val="21"/>
                <w:u w:val="none"/>
                <w:lang w:val="en-US" w:eastAsia="zh-CN" w:bidi="ar-SA"/>
              </w:rPr>
              <w:t>；</w:t>
            </w:r>
          </w:p>
          <w:p w14:paraId="07FAD71F">
            <w:pPr>
              <w:numPr>
                <w:ilvl w:val="0"/>
                <w:numId w:val="6"/>
              </w:numPr>
              <w:ind w:left="0" w:leftChars="0" w:firstLine="0" w:firstLineChars="0"/>
              <w:contextualSpacing/>
              <w:rPr>
                <w:rFonts w:hint="eastAsia" w:ascii="Times New Roman" w:hAnsi="Times New Roman" w:cs="Times New Roman"/>
                <w:strike w:val="0"/>
                <w:kern w:val="2"/>
                <w:sz w:val="21"/>
                <w:szCs w:val="21"/>
                <w:u w:val="none"/>
                <w:lang w:val="en-US" w:eastAsia="zh-CN" w:bidi="ar-SA"/>
              </w:rPr>
            </w:pPr>
            <w:r>
              <w:rPr>
                <w:rFonts w:hint="eastAsia" w:cs="Times New Roman"/>
                <w:strike w:val="0"/>
                <w:kern w:val="2"/>
                <w:sz w:val="21"/>
                <w:szCs w:val="21"/>
                <w:u w:val="none"/>
                <w:lang w:val="en-US" w:eastAsia="zh-CN" w:bidi="ar-SA"/>
              </w:rPr>
              <w:t>论文须在“致谢”或“方法学”部分明确声明，研究中使用的基因编辑动物模型由投标人提供，并在文中明显标注出来（</w:t>
            </w:r>
            <w:r>
              <w:rPr>
                <w:rFonts w:hint="eastAsia" w:ascii="Times New Roman" w:hAnsi="Times New Roman" w:cs="Times New Roman"/>
                <w:strike w:val="0"/>
                <w:kern w:val="2"/>
                <w:sz w:val="21"/>
                <w:szCs w:val="21"/>
                <w:u w:val="none"/>
                <w:lang w:val="en-US" w:eastAsia="zh-CN" w:bidi="ar-SA"/>
              </w:rPr>
              <w:t>标注不清或未标注的视为无效）；</w:t>
            </w:r>
          </w:p>
          <w:p w14:paraId="4800AAC8">
            <w:pPr>
              <w:numPr>
                <w:ilvl w:val="0"/>
                <w:numId w:val="6"/>
              </w:numPr>
              <w:contextualSpacing/>
              <w:rPr>
                <w:rFonts w:hint="eastAsia" w:ascii="Times New Roman" w:hAnsi="Times New Roman" w:eastAsia="仿宋_GB2312" w:cs="Times New Roman"/>
                <w:strike w:val="0"/>
                <w:kern w:val="2"/>
                <w:sz w:val="21"/>
                <w:szCs w:val="21"/>
                <w:u w:val="none"/>
                <w:lang w:val="en-US" w:eastAsia="zh-CN" w:bidi="ar-SA"/>
              </w:rPr>
            </w:pPr>
            <w:r>
              <w:rPr>
                <w:rFonts w:hint="eastAsia" w:ascii="Times New Roman" w:hAnsi="Times New Roman" w:eastAsia="仿宋_GB2312" w:cs="Times New Roman"/>
                <w:strike w:val="0"/>
                <w:kern w:val="2"/>
                <w:sz w:val="21"/>
                <w:szCs w:val="21"/>
                <w:u w:val="none"/>
                <w:lang w:val="en-US" w:eastAsia="zh-CN" w:bidi="ar-SA"/>
              </w:rPr>
              <w:t>须提供论文全文</w:t>
            </w:r>
            <w:r>
              <w:rPr>
                <w:rFonts w:hint="eastAsia" w:cs="Times New Roman"/>
                <w:strike w:val="0"/>
                <w:kern w:val="2"/>
                <w:sz w:val="21"/>
                <w:szCs w:val="21"/>
                <w:u w:val="none"/>
                <w:lang w:val="en-US" w:eastAsia="zh-CN" w:bidi="ar-SA"/>
              </w:rPr>
              <w:t>的纸质版，并同时提供一份《论文信息清单》，以表格形式清晰列出每篇论文的标题、期刊名称、发表时间（年月）、影响因子及模型中标的声明位置（如“方法学部分第X节”）等关键信息。</w:t>
            </w:r>
          </w:p>
        </w:tc>
      </w:tr>
      <w:tr w14:paraId="7D11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921" w:type="dxa"/>
            <w:vMerge w:val="restart"/>
            <w:tcBorders>
              <w:top w:val="single" w:color="auto" w:sz="4" w:space="0"/>
              <w:bottom w:val="single" w:color="auto" w:sz="4" w:space="0"/>
            </w:tcBorders>
          </w:tcPr>
          <w:p w14:paraId="5CA85E66">
            <w:pPr>
              <w:jc w:val="center"/>
              <w:rPr>
                <w:sz w:val="21"/>
                <w:szCs w:val="21"/>
              </w:rPr>
            </w:pPr>
            <w:r>
              <w:rPr>
                <w:b/>
                <w:bCs/>
                <w:sz w:val="21"/>
                <w:szCs w:val="21"/>
              </w:rPr>
              <w:t>商务部分</w:t>
            </w:r>
          </w:p>
        </w:tc>
        <w:tc>
          <w:tcPr>
            <w:tcW w:w="2465" w:type="dxa"/>
            <w:vAlign w:val="center"/>
          </w:tcPr>
          <w:p w14:paraId="1DE97047">
            <w:pPr>
              <w:widowControl/>
              <w:spacing w:line="276" w:lineRule="auto"/>
              <w:jc w:val="center"/>
              <w:rPr>
                <w:rFonts w:hint="eastAsia" w:ascii="宋体" w:hAnsi="宋体"/>
                <w:b/>
                <w:bCs/>
                <w:color w:val="0C0C0C"/>
                <w:sz w:val="21"/>
                <w:szCs w:val="21"/>
              </w:rPr>
            </w:pPr>
            <w:r>
              <w:rPr>
                <w:rFonts w:hint="eastAsia" w:ascii="宋体" w:hAnsi="宋体"/>
                <w:b/>
                <w:bCs/>
                <w:color w:val="0C0C0C"/>
                <w:sz w:val="21"/>
                <w:szCs w:val="21"/>
              </w:rPr>
              <w:t>业绩</w:t>
            </w:r>
          </w:p>
          <w:p w14:paraId="1E176995">
            <w:pPr>
              <w:widowControl/>
              <w:spacing w:line="276" w:lineRule="auto"/>
              <w:jc w:val="center"/>
              <w:rPr>
                <w:sz w:val="21"/>
                <w:szCs w:val="21"/>
              </w:rPr>
            </w:pPr>
            <w:r>
              <w:rPr>
                <w:rFonts w:hint="eastAsia" w:ascii="宋体" w:hAnsi="宋体"/>
                <w:b/>
                <w:bCs/>
                <w:color w:val="0C0C0C"/>
                <w:sz w:val="21"/>
                <w:szCs w:val="21"/>
              </w:rPr>
              <w:t>（</w:t>
            </w:r>
            <w:r>
              <w:rPr>
                <w:rFonts w:hint="eastAsia"/>
                <w:b/>
                <w:bCs/>
                <w:sz w:val="21"/>
                <w:szCs w:val="21"/>
                <w:lang w:val="en-US" w:eastAsia="zh-CN"/>
              </w:rPr>
              <w:t>15.0</w:t>
            </w:r>
            <w:r>
              <w:rPr>
                <w:rFonts w:hint="eastAsia" w:ascii="宋体" w:hAnsi="宋体"/>
                <w:b/>
                <w:bCs/>
                <w:color w:val="0C0C0C"/>
                <w:sz w:val="21"/>
                <w:szCs w:val="21"/>
              </w:rPr>
              <w:t>）</w:t>
            </w:r>
          </w:p>
        </w:tc>
        <w:tc>
          <w:tcPr>
            <w:tcW w:w="4910" w:type="dxa"/>
            <w:vAlign w:val="center"/>
          </w:tcPr>
          <w:p w14:paraId="68BC4D24">
            <w:pPr>
              <w:contextualSpacing/>
              <w:rPr>
                <w:rFonts w:hint="eastAsia"/>
                <w:sz w:val="21"/>
                <w:szCs w:val="21"/>
              </w:rPr>
            </w:pPr>
            <w:r>
              <w:rPr>
                <w:rFonts w:hint="eastAsia"/>
                <w:sz w:val="21"/>
                <w:szCs w:val="21"/>
              </w:rPr>
              <w:t>投标人自202</w:t>
            </w:r>
            <w:r>
              <w:rPr>
                <w:rFonts w:hint="eastAsia"/>
                <w:sz w:val="21"/>
                <w:szCs w:val="21"/>
                <w:lang w:val="en-US" w:eastAsia="zh-CN"/>
              </w:rPr>
              <w:t>1</w:t>
            </w:r>
            <w:r>
              <w:rPr>
                <w:rFonts w:hint="eastAsia"/>
                <w:sz w:val="21"/>
                <w:szCs w:val="21"/>
              </w:rPr>
              <w:t>年</w:t>
            </w:r>
            <w:r>
              <w:rPr>
                <w:rFonts w:hint="eastAsia"/>
                <w:sz w:val="21"/>
                <w:szCs w:val="21"/>
                <w:lang w:val="en-US" w:eastAsia="zh-CN"/>
              </w:rPr>
              <w:t>1</w:t>
            </w:r>
            <w:r>
              <w:rPr>
                <w:rFonts w:hint="eastAsia"/>
                <w:sz w:val="21"/>
                <w:szCs w:val="21"/>
              </w:rPr>
              <w:t>月1日以来（以合同签订时间为准）</w:t>
            </w:r>
            <w:r>
              <w:rPr>
                <w:rFonts w:hint="eastAsia"/>
                <w:sz w:val="21"/>
                <w:szCs w:val="21"/>
                <w:lang w:val="en-US" w:eastAsia="zh-CN"/>
              </w:rPr>
              <w:t>基因敲除小鼠</w:t>
            </w:r>
            <w:r>
              <w:rPr>
                <w:rFonts w:hint="eastAsia"/>
                <w:sz w:val="21"/>
                <w:szCs w:val="21"/>
              </w:rPr>
              <w:t>项目业绩，每</w:t>
            </w:r>
            <w:r>
              <w:rPr>
                <w:rFonts w:hint="eastAsia"/>
                <w:sz w:val="21"/>
                <w:szCs w:val="21"/>
                <w:lang w:val="en-US" w:eastAsia="zh-CN"/>
              </w:rPr>
              <w:t>提供</w:t>
            </w:r>
            <w:r>
              <w:rPr>
                <w:rFonts w:hint="eastAsia"/>
                <w:sz w:val="21"/>
                <w:szCs w:val="21"/>
              </w:rPr>
              <w:t>一个</w:t>
            </w:r>
            <w:r>
              <w:rPr>
                <w:rFonts w:hint="eastAsia"/>
                <w:sz w:val="21"/>
                <w:szCs w:val="21"/>
                <w:lang w:val="en-US" w:eastAsia="zh-CN"/>
              </w:rPr>
              <w:t>符合要求</w:t>
            </w:r>
            <w:r>
              <w:rPr>
                <w:rFonts w:hint="eastAsia"/>
                <w:sz w:val="21"/>
                <w:szCs w:val="21"/>
              </w:rPr>
              <w:t>的业绩合同得1分，本项最多得1</w:t>
            </w:r>
            <w:r>
              <w:rPr>
                <w:rFonts w:hint="eastAsia"/>
                <w:sz w:val="21"/>
                <w:szCs w:val="21"/>
                <w:lang w:val="en-US" w:eastAsia="zh-CN"/>
              </w:rPr>
              <w:t>5</w:t>
            </w:r>
            <w:r>
              <w:rPr>
                <w:rFonts w:hint="eastAsia"/>
                <w:sz w:val="21"/>
                <w:szCs w:val="21"/>
              </w:rPr>
              <w:t>分。</w:t>
            </w:r>
          </w:p>
          <w:p w14:paraId="2D9828C7">
            <w:pPr>
              <w:contextualSpacing/>
              <w:rPr>
                <w:rFonts w:hint="eastAsia"/>
                <w:sz w:val="21"/>
                <w:szCs w:val="21"/>
              </w:rPr>
            </w:pPr>
            <w:r>
              <w:rPr>
                <w:rFonts w:hint="eastAsia"/>
                <w:sz w:val="21"/>
                <w:szCs w:val="21"/>
              </w:rPr>
              <w:t>注：1.</w:t>
            </w:r>
            <w:r>
              <w:rPr>
                <w:rFonts w:hint="eastAsia"/>
                <w:sz w:val="21"/>
                <w:szCs w:val="21"/>
                <w:lang w:val="en-US" w:eastAsia="zh-CN"/>
              </w:rPr>
              <w:t>须提交一份《业绩清单》，</w:t>
            </w:r>
            <w:r>
              <w:rPr>
                <w:rFonts w:hint="eastAsia" w:cs="Times New Roman"/>
                <w:strike w:val="0"/>
                <w:kern w:val="2"/>
                <w:sz w:val="21"/>
                <w:szCs w:val="21"/>
                <w:u w:val="none"/>
                <w:lang w:val="en-US" w:eastAsia="zh-CN" w:bidi="ar-SA"/>
              </w:rPr>
              <w:t>以表格形式清晰汇总所有业绩的合同项目名称、甲方、合同内容以及签订日期，并附上</w:t>
            </w:r>
            <w:r>
              <w:rPr>
                <w:rFonts w:hint="eastAsia"/>
                <w:sz w:val="21"/>
                <w:szCs w:val="21"/>
              </w:rPr>
              <w:t>合同首页、服务标的（内容）页、合同双方盖章页等关键页复印件并加盖本单位公章，否则不予认可。</w:t>
            </w:r>
          </w:p>
          <w:p w14:paraId="16E44D6D">
            <w:pPr>
              <w:numPr>
                <w:ilvl w:val="0"/>
                <w:numId w:val="7"/>
              </w:numPr>
              <w:contextualSpacing/>
              <w:rPr>
                <w:rFonts w:hint="default"/>
                <w:sz w:val="21"/>
                <w:szCs w:val="21"/>
                <w:lang w:val="en-US" w:eastAsia="zh-CN"/>
              </w:rPr>
            </w:pPr>
            <w:r>
              <w:rPr>
                <w:rFonts w:hint="eastAsia"/>
                <w:sz w:val="21"/>
                <w:szCs w:val="21"/>
              </w:rPr>
              <w:t>业绩合同日期以合同签署日期为准，未标明合同签署日期的，不予</w:t>
            </w:r>
            <w:r>
              <w:rPr>
                <w:rFonts w:hint="eastAsia"/>
                <w:sz w:val="21"/>
                <w:szCs w:val="21"/>
                <w:lang w:val="en-US" w:eastAsia="zh-CN"/>
              </w:rPr>
              <w:t>计分</w:t>
            </w:r>
            <w:r>
              <w:rPr>
                <w:rFonts w:hint="eastAsia"/>
                <w:sz w:val="21"/>
                <w:szCs w:val="21"/>
              </w:rPr>
              <w:t>。</w:t>
            </w:r>
          </w:p>
        </w:tc>
      </w:tr>
      <w:tr w14:paraId="6BD8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top w:val="single" w:color="auto" w:sz="4" w:space="0"/>
              <w:bottom w:val="single" w:color="auto" w:sz="4" w:space="0"/>
            </w:tcBorders>
          </w:tcPr>
          <w:p w14:paraId="401A7D5A">
            <w:pPr>
              <w:jc w:val="center"/>
              <w:rPr>
                <w:sz w:val="21"/>
                <w:szCs w:val="21"/>
              </w:rPr>
            </w:pPr>
          </w:p>
        </w:tc>
        <w:tc>
          <w:tcPr>
            <w:tcW w:w="2465" w:type="dxa"/>
            <w:vAlign w:val="center"/>
          </w:tcPr>
          <w:p w14:paraId="3BCFFBC8">
            <w:pPr>
              <w:widowControl/>
              <w:spacing w:line="276" w:lineRule="auto"/>
              <w:jc w:val="center"/>
              <w:rPr>
                <w:rFonts w:hint="eastAsia" w:ascii="宋体" w:hAnsi="宋体"/>
                <w:b/>
                <w:bCs/>
                <w:strike w:val="0"/>
                <w:color w:val="0C0C0C"/>
                <w:sz w:val="21"/>
                <w:szCs w:val="21"/>
              </w:rPr>
            </w:pPr>
            <w:r>
              <w:rPr>
                <w:rFonts w:hint="eastAsia" w:ascii="宋体" w:hAnsi="宋体"/>
                <w:b/>
                <w:bCs/>
                <w:strike w:val="0"/>
                <w:color w:val="0C0C0C"/>
                <w:sz w:val="21"/>
                <w:szCs w:val="21"/>
              </w:rPr>
              <w:t>投标人认证</w:t>
            </w:r>
          </w:p>
          <w:p w14:paraId="155B476D">
            <w:pPr>
              <w:widowControl/>
              <w:spacing w:line="276" w:lineRule="auto"/>
              <w:jc w:val="center"/>
              <w:rPr>
                <w:strike w:val="0"/>
                <w:color w:val="0000FF"/>
                <w:sz w:val="21"/>
                <w:szCs w:val="21"/>
              </w:rPr>
            </w:pPr>
            <w:r>
              <w:rPr>
                <w:rFonts w:hint="eastAsia" w:ascii="宋体" w:hAnsi="宋体"/>
                <w:b/>
                <w:bCs/>
                <w:strike w:val="0"/>
                <w:color w:val="0C0C0C"/>
                <w:sz w:val="21"/>
                <w:szCs w:val="21"/>
              </w:rPr>
              <w:t xml:space="preserve"> (</w:t>
            </w:r>
            <w:r>
              <w:rPr>
                <w:rFonts w:hint="eastAsia"/>
                <w:b/>
                <w:bCs/>
                <w:sz w:val="21"/>
                <w:szCs w:val="21"/>
                <w:lang w:val="en-US" w:eastAsia="zh-CN"/>
              </w:rPr>
              <w:t>10.0分</w:t>
            </w:r>
            <w:r>
              <w:rPr>
                <w:rFonts w:ascii="宋体" w:hAnsi="宋体"/>
                <w:b/>
                <w:bCs/>
                <w:strike w:val="0"/>
                <w:color w:val="0C0C0C"/>
                <w:sz w:val="21"/>
                <w:szCs w:val="21"/>
              </w:rPr>
              <w:t>)</w:t>
            </w:r>
          </w:p>
        </w:tc>
        <w:tc>
          <w:tcPr>
            <w:tcW w:w="4910" w:type="dxa"/>
            <w:vAlign w:val="center"/>
          </w:tcPr>
          <w:p w14:paraId="46E02406">
            <w:pPr>
              <w:numPr>
                <w:ilvl w:val="0"/>
                <w:numId w:val="0"/>
              </w:numPr>
              <w:ind w:leftChars="0"/>
              <w:contextualSpacing/>
              <w:rPr>
                <w:rFonts w:hint="default"/>
                <w:strike w:val="0"/>
                <w:sz w:val="21"/>
                <w:szCs w:val="21"/>
                <w:lang w:val="en-US" w:eastAsia="zh-CN"/>
              </w:rPr>
            </w:pPr>
            <w:r>
              <w:rPr>
                <w:rFonts w:hint="default"/>
                <w:strike w:val="0"/>
                <w:sz w:val="21"/>
                <w:szCs w:val="21"/>
              </w:rPr>
              <w:t>投标人自身持有</w:t>
            </w:r>
            <w:r>
              <w:rPr>
                <w:rFonts w:hint="eastAsia"/>
                <w:strike w:val="0"/>
                <w:sz w:val="21"/>
                <w:szCs w:val="21"/>
                <w:lang w:val="en-US" w:eastAsia="zh-CN"/>
              </w:rPr>
              <w:t>的</w:t>
            </w:r>
            <w:r>
              <w:rPr>
                <w:rFonts w:hint="default"/>
                <w:strike w:val="0"/>
                <w:sz w:val="21"/>
                <w:szCs w:val="21"/>
              </w:rPr>
              <w:t>有效的 ISO9001质量管理体系认证，得</w:t>
            </w:r>
            <w:r>
              <w:rPr>
                <w:rFonts w:hint="eastAsia"/>
                <w:strike w:val="0"/>
                <w:sz w:val="21"/>
                <w:szCs w:val="21"/>
                <w:lang w:val="en-US" w:eastAsia="zh-CN"/>
              </w:rPr>
              <w:t>10</w:t>
            </w:r>
            <w:r>
              <w:rPr>
                <w:rFonts w:hint="default"/>
                <w:strike w:val="0"/>
                <w:sz w:val="21"/>
                <w:szCs w:val="21"/>
              </w:rPr>
              <w:t>分</w:t>
            </w:r>
            <w:r>
              <w:rPr>
                <w:rFonts w:hint="eastAsia"/>
                <w:strike w:val="0"/>
                <w:sz w:val="21"/>
                <w:szCs w:val="21"/>
                <w:lang w:eastAsia="zh-CN"/>
              </w:rPr>
              <w:t>。</w:t>
            </w:r>
          </w:p>
          <w:p w14:paraId="3C3375A4">
            <w:pPr>
              <w:contextualSpacing/>
              <w:rPr>
                <w:rFonts w:hint="eastAsia" w:eastAsia="仿宋_GB2312"/>
                <w:strike w:val="0"/>
                <w:sz w:val="21"/>
                <w:szCs w:val="21"/>
                <w:lang w:eastAsia="zh-CN"/>
              </w:rPr>
            </w:pPr>
            <w:r>
              <w:rPr>
                <w:rFonts w:hint="eastAsia"/>
                <w:strike w:val="0"/>
                <w:sz w:val="21"/>
                <w:szCs w:val="21"/>
              </w:rPr>
              <w:t>注：</w:t>
            </w:r>
            <w:r>
              <w:rPr>
                <w:rFonts w:hint="eastAsia"/>
                <w:strike w:val="0"/>
                <w:sz w:val="21"/>
                <w:szCs w:val="21"/>
                <w:lang w:val="en-US" w:eastAsia="zh-CN"/>
              </w:rPr>
              <w:t>a</w:t>
            </w:r>
            <w:r>
              <w:rPr>
                <w:rFonts w:hint="eastAsia"/>
                <w:strike w:val="0"/>
                <w:sz w:val="21"/>
                <w:szCs w:val="21"/>
              </w:rPr>
              <w:t xml:space="preserve">. </w:t>
            </w:r>
            <w:r>
              <w:rPr>
                <w:rFonts w:hint="default"/>
                <w:strike w:val="0"/>
                <w:sz w:val="21"/>
                <w:szCs w:val="21"/>
              </w:rPr>
              <w:t>须提供各项认证证书的清晰扫描件作为证明材料</w:t>
            </w:r>
            <w:r>
              <w:rPr>
                <w:rFonts w:hint="eastAsia"/>
                <w:strike w:val="0"/>
                <w:sz w:val="21"/>
                <w:szCs w:val="21"/>
                <w:lang w:val="en-US" w:eastAsia="zh-CN"/>
              </w:rPr>
              <w:t>;b.</w:t>
            </w:r>
            <w:r>
              <w:rPr>
                <w:rFonts w:hint="default"/>
                <w:strike w:val="0"/>
                <w:sz w:val="21"/>
                <w:szCs w:val="21"/>
              </w:rPr>
              <w:t>本项评分所要求的认证证书，必须为投标人自身名义持有；投标人的子公司、分公司、母公司或合作单位等关联方所持有的认证证书均不予计分。</w:t>
            </w:r>
          </w:p>
        </w:tc>
      </w:tr>
      <w:tr w14:paraId="6DB7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top w:val="single" w:color="auto" w:sz="4" w:space="0"/>
              <w:bottom w:val="single" w:color="auto" w:sz="4" w:space="0"/>
            </w:tcBorders>
          </w:tcPr>
          <w:p w14:paraId="572E918B">
            <w:pPr>
              <w:rPr>
                <w:sz w:val="21"/>
                <w:szCs w:val="21"/>
              </w:rPr>
            </w:pPr>
          </w:p>
        </w:tc>
        <w:tc>
          <w:tcPr>
            <w:tcW w:w="2465" w:type="dxa"/>
            <w:shd w:val="clear" w:color="auto" w:fill="auto"/>
            <w:vAlign w:val="center"/>
          </w:tcPr>
          <w:p w14:paraId="04B7192C">
            <w:pPr>
              <w:widowControl/>
              <w:contextualSpacing/>
              <w:jc w:val="center"/>
              <w:rPr>
                <w:b/>
                <w:bCs/>
                <w:sz w:val="21"/>
                <w:szCs w:val="21"/>
              </w:rPr>
            </w:pPr>
            <w:r>
              <w:rPr>
                <w:b/>
                <w:bCs/>
                <w:sz w:val="21"/>
                <w:szCs w:val="21"/>
              </w:rPr>
              <w:t>售后服务方案</w:t>
            </w:r>
          </w:p>
          <w:p w14:paraId="41C7C46A">
            <w:pPr>
              <w:widowControl/>
              <w:contextualSpacing/>
              <w:jc w:val="center"/>
              <w:rPr>
                <w:rFonts w:hint="default" w:ascii="Times New Roman" w:hAnsi="Times New Roman" w:eastAsia="仿宋_GB2312" w:cs="Times New Roman"/>
                <w:kern w:val="2"/>
                <w:sz w:val="21"/>
                <w:szCs w:val="21"/>
                <w:lang w:val="en-US" w:eastAsia="zh-CN" w:bidi="ar-SA"/>
              </w:rPr>
            </w:pPr>
            <w:r>
              <w:rPr>
                <w:b/>
                <w:bCs/>
                <w:sz w:val="21"/>
                <w:szCs w:val="21"/>
              </w:rPr>
              <w:t xml:space="preserve"> (</w:t>
            </w:r>
            <w:r>
              <w:rPr>
                <w:rFonts w:hint="eastAsia"/>
                <w:b/>
                <w:bCs/>
                <w:sz w:val="21"/>
                <w:szCs w:val="21"/>
                <w:lang w:val="en-US" w:eastAsia="zh-CN"/>
              </w:rPr>
              <w:t>5</w:t>
            </w:r>
            <w:r>
              <w:rPr>
                <w:b/>
                <w:bCs/>
                <w:sz w:val="21"/>
                <w:szCs w:val="21"/>
              </w:rPr>
              <w:t>.0分)</w:t>
            </w:r>
          </w:p>
        </w:tc>
        <w:tc>
          <w:tcPr>
            <w:tcW w:w="4910" w:type="dxa"/>
            <w:shd w:val="clear" w:color="auto" w:fill="auto"/>
            <w:vAlign w:val="top"/>
          </w:tcPr>
          <w:p w14:paraId="7CA40E9C">
            <w:pPr>
              <w:contextualSpacing/>
              <w:rPr>
                <w:sz w:val="21"/>
                <w:szCs w:val="21"/>
              </w:rPr>
            </w:pPr>
            <w:r>
              <w:rPr>
                <w:rFonts w:hint="eastAsia"/>
                <w:sz w:val="21"/>
                <w:szCs w:val="21"/>
              </w:rPr>
              <w:t>根据</w:t>
            </w:r>
            <w:r>
              <w:rPr>
                <w:rFonts w:hint="eastAsia"/>
                <w:sz w:val="21"/>
                <w:szCs w:val="21"/>
                <w:lang w:eastAsia="zh-CN"/>
              </w:rPr>
              <w:t>招标文件</w:t>
            </w:r>
            <w:r>
              <w:rPr>
                <w:rFonts w:hint="eastAsia"/>
                <w:sz w:val="21"/>
                <w:szCs w:val="21"/>
              </w:rPr>
              <w:t>“第二部分技术服务内容、技术指标要求等:</w:t>
            </w:r>
            <w:r>
              <w:rPr>
                <w:rFonts w:hint="eastAsia"/>
                <w:sz w:val="21"/>
                <w:szCs w:val="21"/>
                <w:lang w:val="en-US" w:eastAsia="zh-CN"/>
              </w:rPr>
              <w:t>三</w:t>
            </w:r>
            <w:r>
              <w:rPr>
                <w:rFonts w:hint="eastAsia"/>
                <w:sz w:val="21"/>
                <w:szCs w:val="21"/>
              </w:rPr>
              <w:t>、质量要求、技术标准</w:t>
            </w:r>
            <w:r>
              <w:rPr>
                <w:rFonts w:hint="eastAsia"/>
                <w:b w:val="0"/>
                <w:bCs w:val="0"/>
                <w:sz w:val="21"/>
                <w:szCs w:val="21"/>
                <w:lang w:eastAsia="zh-CN"/>
              </w:rPr>
              <w:t>”</w:t>
            </w:r>
            <w:r>
              <w:rPr>
                <w:sz w:val="21"/>
                <w:szCs w:val="21"/>
              </w:rPr>
              <w:t>，对投标人提供的售后服务方案进行评分：</w:t>
            </w:r>
          </w:p>
          <w:p w14:paraId="00C81859">
            <w:pPr>
              <w:contextualSpacing/>
              <w:rPr>
                <w:sz w:val="21"/>
                <w:szCs w:val="21"/>
              </w:rPr>
            </w:pPr>
            <w:r>
              <w:rPr>
                <w:rFonts w:hint="eastAsia"/>
                <w:sz w:val="21"/>
                <w:szCs w:val="21"/>
              </w:rPr>
              <w:t>（</w:t>
            </w:r>
            <w:r>
              <w:rPr>
                <w:sz w:val="21"/>
                <w:szCs w:val="21"/>
              </w:rPr>
              <w:t>1</w:t>
            </w:r>
            <w:r>
              <w:rPr>
                <w:rFonts w:hint="eastAsia"/>
                <w:sz w:val="21"/>
                <w:szCs w:val="21"/>
              </w:rPr>
              <w:t>）</w:t>
            </w:r>
            <w:r>
              <w:rPr>
                <w:rFonts w:hint="eastAsia"/>
                <w:sz w:val="21"/>
                <w:szCs w:val="21"/>
                <w:lang w:val="en-US" w:eastAsia="zh-CN"/>
              </w:rPr>
              <w:t>售后</w:t>
            </w:r>
            <w:r>
              <w:rPr>
                <w:rFonts w:hint="eastAsia"/>
                <w:sz w:val="21"/>
                <w:szCs w:val="21"/>
              </w:rPr>
              <w:t>方案完整详细、针对性强、可行性高，完全符合项目要求，得</w:t>
            </w:r>
            <w:r>
              <w:rPr>
                <w:rFonts w:hint="eastAsia"/>
                <w:sz w:val="21"/>
                <w:szCs w:val="21"/>
                <w:lang w:val="en-US" w:eastAsia="zh-CN"/>
              </w:rPr>
              <w:t>5</w:t>
            </w:r>
            <w:r>
              <w:rPr>
                <w:rFonts w:hint="eastAsia"/>
                <w:sz w:val="21"/>
                <w:szCs w:val="21"/>
              </w:rPr>
              <w:t>分；</w:t>
            </w:r>
          </w:p>
          <w:p w14:paraId="0E8B61E8">
            <w:pPr>
              <w:contextualSpacing/>
              <w:rPr>
                <w:sz w:val="21"/>
                <w:szCs w:val="21"/>
              </w:rPr>
            </w:pPr>
            <w:r>
              <w:rPr>
                <w:rFonts w:hint="eastAsia"/>
                <w:sz w:val="21"/>
                <w:szCs w:val="21"/>
              </w:rPr>
              <w:t>（</w:t>
            </w:r>
            <w:r>
              <w:rPr>
                <w:sz w:val="21"/>
                <w:szCs w:val="21"/>
              </w:rPr>
              <w:t>2</w:t>
            </w:r>
            <w:r>
              <w:rPr>
                <w:rFonts w:hint="eastAsia"/>
                <w:sz w:val="21"/>
                <w:szCs w:val="21"/>
              </w:rPr>
              <w:t>）</w:t>
            </w:r>
            <w:r>
              <w:rPr>
                <w:rFonts w:hint="eastAsia"/>
                <w:sz w:val="21"/>
                <w:szCs w:val="21"/>
                <w:lang w:val="en-US" w:eastAsia="zh-CN"/>
              </w:rPr>
              <w:t>售后</w:t>
            </w:r>
            <w:r>
              <w:rPr>
                <w:rFonts w:hint="eastAsia"/>
                <w:sz w:val="21"/>
                <w:szCs w:val="21"/>
              </w:rPr>
              <w:t>方案较</w:t>
            </w:r>
            <w:r>
              <w:rPr>
                <w:rFonts w:hint="eastAsia"/>
                <w:sz w:val="21"/>
                <w:szCs w:val="21"/>
                <w:lang w:val="en-US" w:eastAsia="zh-CN"/>
              </w:rPr>
              <w:t>为完整</w:t>
            </w:r>
            <w:r>
              <w:rPr>
                <w:rFonts w:hint="eastAsia"/>
                <w:sz w:val="21"/>
                <w:szCs w:val="21"/>
              </w:rPr>
              <w:t>、</w:t>
            </w:r>
            <w:r>
              <w:rPr>
                <w:rFonts w:hint="eastAsia"/>
                <w:sz w:val="21"/>
                <w:szCs w:val="21"/>
                <w:lang w:val="en-US" w:eastAsia="zh-CN"/>
              </w:rPr>
              <w:t>具有一定的</w:t>
            </w:r>
            <w:r>
              <w:rPr>
                <w:rFonts w:hint="eastAsia"/>
                <w:sz w:val="21"/>
                <w:szCs w:val="21"/>
              </w:rPr>
              <w:t>针对性</w:t>
            </w:r>
            <w:r>
              <w:rPr>
                <w:rFonts w:hint="eastAsia"/>
                <w:sz w:val="21"/>
                <w:szCs w:val="21"/>
                <w:lang w:val="en-US" w:eastAsia="zh-CN"/>
              </w:rPr>
              <w:t>和</w:t>
            </w:r>
            <w:r>
              <w:rPr>
                <w:rFonts w:hint="eastAsia"/>
                <w:sz w:val="21"/>
                <w:szCs w:val="21"/>
              </w:rPr>
              <w:t>可行性，</w:t>
            </w:r>
            <w:r>
              <w:rPr>
                <w:rFonts w:hint="eastAsia"/>
                <w:sz w:val="21"/>
                <w:szCs w:val="21"/>
                <w:lang w:val="en-US" w:eastAsia="zh-CN"/>
              </w:rPr>
              <w:t>整体较为</w:t>
            </w:r>
            <w:r>
              <w:rPr>
                <w:rFonts w:hint="eastAsia"/>
                <w:sz w:val="21"/>
                <w:szCs w:val="21"/>
              </w:rPr>
              <w:t>符合项目要求，得</w:t>
            </w:r>
            <w:r>
              <w:rPr>
                <w:rFonts w:hint="eastAsia"/>
                <w:sz w:val="21"/>
                <w:szCs w:val="21"/>
                <w:lang w:val="en-US" w:eastAsia="zh-CN"/>
              </w:rPr>
              <w:t>3</w:t>
            </w:r>
            <w:r>
              <w:rPr>
                <w:rFonts w:hint="eastAsia"/>
                <w:sz w:val="21"/>
                <w:szCs w:val="21"/>
              </w:rPr>
              <w:t>分；</w:t>
            </w:r>
          </w:p>
          <w:p w14:paraId="087E894B">
            <w:pPr>
              <w:contextualSpacing/>
              <w:rPr>
                <w:rFonts w:hint="eastAsia" w:ascii="Times New Roman" w:hAnsi="Times New Roman" w:eastAsia="仿宋_GB2312" w:cs="Times New Roman"/>
                <w:kern w:val="2"/>
                <w:sz w:val="21"/>
                <w:szCs w:val="21"/>
                <w:lang w:val="en-US" w:eastAsia="zh-CN" w:bidi="ar-SA"/>
              </w:rPr>
            </w:pPr>
            <w:r>
              <w:rPr>
                <w:rFonts w:hint="eastAsia"/>
                <w:sz w:val="21"/>
                <w:szCs w:val="21"/>
              </w:rPr>
              <w:t>（</w:t>
            </w:r>
            <w:r>
              <w:rPr>
                <w:rFonts w:hint="eastAsia"/>
                <w:sz w:val="21"/>
                <w:szCs w:val="21"/>
                <w:lang w:val="en-US" w:eastAsia="zh-CN"/>
              </w:rPr>
              <w:t>3</w:t>
            </w:r>
            <w:r>
              <w:rPr>
                <w:rFonts w:hint="eastAsia"/>
                <w:sz w:val="21"/>
                <w:szCs w:val="21"/>
              </w:rPr>
              <w:t>）未提供</w:t>
            </w:r>
            <w:r>
              <w:rPr>
                <w:rFonts w:hint="eastAsia"/>
                <w:sz w:val="21"/>
                <w:szCs w:val="21"/>
                <w:lang w:val="en-US" w:eastAsia="zh-CN"/>
              </w:rPr>
              <w:t>售后</w:t>
            </w:r>
            <w:r>
              <w:rPr>
                <w:rFonts w:hint="eastAsia"/>
                <w:sz w:val="21"/>
                <w:szCs w:val="21"/>
              </w:rPr>
              <w:t>方案，得</w:t>
            </w:r>
            <w:r>
              <w:rPr>
                <w:rFonts w:hint="eastAsia"/>
                <w:sz w:val="21"/>
                <w:szCs w:val="21"/>
                <w:lang w:val="en-US" w:eastAsia="zh-CN"/>
              </w:rPr>
              <w:t>0</w:t>
            </w:r>
            <w:r>
              <w:rPr>
                <w:rFonts w:hint="eastAsia"/>
                <w:sz w:val="21"/>
                <w:szCs w:val="21"/>
              </w:rPr>
              <w:t>分。</w:t>
            </w:r>
          </w:p>
        </w:tc>
      </w:tr>
      <w:tr w14:paraId="462F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top w:val="single" w:color="auto" w:sz="4" w:space="0"/>
              <w:bottom w:val="single" w:color="auto" w:sz="4" w:space="0"/>
            </w:tcBorders>
          </w:tcPr>
          <w:p w14:paraId="415F497B">
            <w:pPr>
              <w:rPr>
                <w:sz w:val="21"/>
                <w:szCs w:val="21"/>
              </w:rPr>
            </w:pPr>
          </w:p>
        </w:tc>
        <w:tc>
          <w:tcPr>
            <w:tcW w:w="2465" w:type="dxa"/>
            <w:vAlign w:val="center"/>
          </w:tcPr>
          <w:p w14:paraId="298C7C7D">
            <w:pPr>
              <w:widowControl/>
              <w:spacing w:line="276" w:lineRule="auto"/>
              <w:jc w:val="center"/>
              <w:rPr>
                <w:rFonts w:hint="eastAsia" w:ascii="宋体" w:hAnsi="宋体"/>
                <w:b/>
                <w:bCs/>
                <w:color w:val="0C0C0C"/>
                <w:sz w:val="21"/>
                <w:szCs w:val="21"/>
                <w:lang w:val="en-US" w:eastAsia="zh-CN"/>
              </w:rPr>
            </w:pPr>
            <w:r>
              <w:rPr>
                <w:rFonts w:hint="eastAsia" w:ascii="宋体" w:hAnsi="宋体"/>
                <w:b/>
                <w:bCs/>
                <w:color w:val="0C0C0C"/>
                <w:sz w:val="21"/>
                <w:szCs w:val="21"/>
                <w:lang w:val="en-US" w:eastAsia="zh-CN"/>
              </w:rPr>
              <w:t>项目服务承诺</w:t>
            </w:r>
          </w:p>
          <w:p w14:paraId="1FD0F043">
            <w:pPr>
              <w:widowControl/>
              <w:spacing w:line="276" w:lineRule="auto"/>
              <w:jc w:val="center"/>
              <w:rPr>
                <w:sz w:val="21"/>
                <w:szCs w:val="21"/>
              </w:rPr>
            </w:pPr>
            <w:r>
              <w:rPr>
                <w:rFonts w:hint="eastAsia" w:ascii="宋体" w:hAnsi="宋体"/>
                <w:b/>
                <w:bCs/>
                <w:color w:val="0C0C0C"/>
                <w:sz w:val="21"/>
                <w:szCs w:val="21"/>
              </w:rPr>
              <w:t xml:space="preserve"> (</w:t>
            </w:r>
            <w:r>
              <w:rPr>
                <w:rFonts w:hint="eastAsia"/>
                <w:b/>
                <w:bCs/>
                <w:sz w:val="21"/>
                <w:szCs w:val="21"/>
                <w:lang w:val="en-US" w:eastAsia="zh-CN"/>
              </w:rPr>
              <w:t>10</w:t>
            </w:r>
            <w:r>
              <w:rPr>
                <w:b/>
                <w:bCs/>
                <w:sz w:val="21"/>
                <w:szCs w:val="21"/>
              </w:rPr>
              <w:t>.0</w:t>
            </w:r>
            <w:r>
              <w:rPr>
                <w:rFonts w:hint="eastAsia" w:ascii="宋体" w:hAnsi="宋体"/>
                <w:b/>
                <w:bCs/>
                <w:color w:val="0C0C0C"/>
                <w:sz w:val="21"/>
                <w:szCs w:val="21"/>
              </w:rPr>
              <w:t>分</w:t>
            </w:r>
            <w:r>
              <w:rPr>
                <w:rFonts w:ascii="宋体" w:hAnsi="宋体"/>
                <w:b/>
                <w:bCs/>
                <w:color w:val="0C0C0C"/>
                <w:sz w:val="21"/>
                <w:szCs w:val="21"/>
              </w:rPr>
              <w:t>)</w:t>
            </w:r>
          </w:p>
        </w:tc>
        <w:tc>
          <w:tcPr>
            <w:tcW w:w="4910" w:type="dxa"/>
            <w:vAlign w:val="center"/>
          </w:tcPr>
          <w:p w14:paraId="582E07A3">
            <w:pPr>
              <w:contextualSpacing/>
              <w:rPr>
                <w:rFonts w:hint="eastAsia"/>
                <w:sz w:val="21"/>
                <w:szCs w:val="21"/>
              </w:rPr>
            </w:pPr>
            <w:r>
              <w:rPr>
                <w:rFonts w:hint="eastAsia" w:ascii="Times New Roman" w:hAnsi="Times New Roman" w:eastAsia="仿宋_GB2312" w:cs="Times New Roman"/>
                <w:strike w:val="0"/>
                <w:kern w:val="2"/>
                <w:sz w:val="21"/>
                <w:szCs w:val="21"/>
                <w:u w:val="none"/>
                <w:lang w:val="en-US" w:eastAsia="zh-CN" w:bidi="ar-SA"/>
              </w:rPr>
              <w:t>投标人须提供加盖公章的承诺函，明确承诺具备独立完成本项目全流程（从载体构建至最终交付数据和小鼠）的技术能力，并保证不将载体构建、显微注射等任何核心环节外包。提供符合要求的承诺函即得</w:t>
            </w:r>
            <w:r>
              <w:rPr>
                <w:rFonts w:hint="eastAsia" w:cs="Times New Roman"/>
                <w:strike w:val="0"/>
                <w:kern w:val="2"/>
                <w:sz w:val="21"/>
                <w:szCs w:val="21"/>
                <w:u w:val="none"/>
                <w:lang w:val="en-US" w:eastAsia="zh-CN" w:bidi="ar-SA"/>
              </w:rPr>
              <w:t>10</w:t>
            </w:r>
            <w:r>
              <w:rPr>
                <w:rFonts w:hint="eastAsia" w:ascii="Times New Roman" w:hAnsi="Times New Roman" w:eastAsia="仿宋_GB2312" w:cs="Times New Roman"/>
                <w:strike w:val="0"/>
                <w:kern w:val="2"/>
                <w:sz w:val="21"/>
                <w:szCs w:val="21"/>
                <w:u w:val="none"/>
                <w:lang w:val="en-US" w:eastAsia="zh-CN" w:bidi="ar-SA"/>
              </w:rPr>
              <w:t>分，否则不得分。</w:t>
            </w:r>
          </w:p>
        </w:tc>
      </w:tr>
      <w:tr w14:paraId="63FE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tcBorders>
          </w:tcPr>
          <w:p w14:paraId="3938F0C9">
            <w:pPr>
              <w:jc w:val="center"/>
              <w:rPr>
                <w:sz w:val="21"/>
                <w:szCs w:val="21"/>
              </w:rPr>
            </w:pPr>
            <w:r>
              <w:rPr>
                <w:b/>
                <w:bCs/>
                <w:sz w:val="21"/>
                <w:szCs w:val="21"/>
              </w:rPr>
              <w:t>投标报价</w:t>
            </w:r>
          </w:p>
        </w:tc>
        <w:tc>
          <w:tcPr>
            <w:tcW w:w="2465" w:type="dxa"/>
            <w:vAlign w:val="center"/>
          </w:tcPr>
          <w:p w14:paraId="694FF452">
            <w:pPr>
              <w:jc w:val="center"/>
              <w:rPr>
                <w:sz w:val="21"/>
                <w:szCs w:val="21"/>
              </w:rPr>
            </w:pPr>
            <w:r>
              <w:rPr>
                <w:b/>
                <w:bCs/>
                <w:sz w:val="21"/>
                <w:szCs w:val="21"/>
              </w:rPr>
              <w:t>投标报价得分 (</w:t>
            </w:r>
            <w:r>
              <w:rPr>
                <w:rFonts w:hint="eastAsia"/>
                <w:b/>
                <w:bCs/>
                <w:sz w:val="21"/>
                <w:szCs w:val="21"/>
                <w:lang w:val="en-US" w:eastAsia="zh-CN"/>
              </w:rPr>
              <w:t>20.0</w:t>
            </w:r>
            <w:r>
              <w:rPr>
                <w:b/>
                <w:bCs/>
                <w:sz w:val="21"/>
                <w:szCs w:val="21"/>
              </w:rPr>
              <w:t>分)</w:t>
            </w:r>
          </w:p>
        </w:tc>
        <w:tc>
          <w:tcPr>
            <w:tcW w:w="4910" w:type="dxa"/>
          </w:tcPr>
          <w:p w14:paraId="3051833E">
            <w:pPr>
              <w:contextualSpacing/>
              <w:rPr>
                <w:rFonts w:hint="eastAsia"/>
                <w:sz w:val="21"/>
                <w:szCs w:val="21"/>
              </w:rPr>
            </w:pPr>
            <w:r>
              <w:rPr>
                <w:rFonts w:hint="eastAsia"/>
                <w:sz w:val="21"/>
                <w:szCs w:val="21"/>
              </w:rPr>
              <w:t>投标报价得分＝（评标基准价/投标报价）×价格分值【注：满足招标文件要求且投标价格最低的投标报价为评标基准价。】最低报价不是中标的唯一依据。</w:t>
            </w:r>
          </w:p>
        </w:tc>
      </w:tr>
    </w:tbl>
    <w:p w14:paraId="35E58C13">
      <w:pPr>
        <w:kinsoku w:val="0"/>
        <w:wordWrap w:val="0"/>
        <w:topLinePunct/>
        <w:rPr>
          <w:rFonts w:hint="eastAsia" w:ascii="仿宋" w:hAnsi="仿宋" w:eastAsia="仿宋" w:cs="仿宋"/>
          <w:b/>
          <w:sz w:val="21"/>
        </w:rPr>
      </w:pPr>
    </w:p>
    <w:p w14:paraId="5F978B80">
      <w:pPr>
        <w:kinsoku w:val="0"/>
        <w:wordWrap w:val="0"/>
        <w:topLinePunct/>
        <w:rPr>
          <w:rFonts w:hint="eastAsia" w:ascii="仿宋" w:hAnsi="仿宋" w:eastAsia="仿宋" w:cs="仿宋"/>
          <w:b/>
          <w:sz w:val="21"/>
        </w:rPr>
      </w:pPr>
      <w:r>
        <w:rPr>
          <w:rFonts w:hint="eastAsia" w:ascii="仿宋" w:hAnsi="仿宋" w:eastAsia="仿宋" w:cs="仿宋"/>
          <w:b/>
          <w:sz w:val="21"/>
        </w:rPr>
        <w:t>六、开标、评标、定标</w:t>
      </w:r>
    </w:p>
    <w:p w14:paraId="7681CB3B">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招标人将组织公开开标,必要时通知投标人现场答辩。</w:t>
      </w:r>
    </w:p>
    <w:p w14:paraId="56A1CFC9">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招标人将仅对确认为符合招标文件要求的投标进行评价和比较。</w:t>
      </w:r>
    </w:p>
    <w:p w14:paraId="78E7FAE7">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合同将授予符合招标文件条件并对买方最为有利的投标人，招标人没有义务必须接受最低报价的投标。</w:t>
      </w:r>
    </w:p>
    <w:p w14:paraId="6926616C">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招标人有权在定标以前拒绝任何或全部投标，对由此造成对投标人的影响不负任何责任，同时对此不做任何解释。</w:t>
      </w:r>
    </w:p>
    <w:p w14:paraId="1CF326FD">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招标人可以接受投标货物中的任何一项、几项或全部，并有权在授予合同时改变订货的数量。</w:t>
      </w:r>
    </w:p>
    <w:p w14:paraId="0082FE2F">
      <w:pPr>
        <w:kinsoku w:val="0"/>
        <w:wordWrap w:val="0"/>
        <w:topLinePunct/>
        <w:ind w:left="851" w:hanging="851"/>
        <w:rPr>
          <w:rFonts w:hint="eastAsia" w:ascii="仿宋" w:hAnsi="仿宋" w:eastAsia="仿宋" w:cs="仿宋"/>
          <w:b/>
          <w:sz w:val="21"/>
        </w:rPr>
      </w:pPr>
      <w:r>
        <w:rPr>
          <w:rFonts w:hint="eastAsia" w:ascii="仿宋" w:hAnsi="仿宋" w:eastAsia="仿宋" w:cs="仿宋"/>
          <w:b/>
          <w:sz w:val="21"/>
        </w:rPr>
        <w:t>七、评标过程的保密性</w:t>
      </w:r>
    </w:p>
    <w:p w14:paraId="5C5A082B">
      <w:pPr>
        <w:numPr>
          <w:ilvl w:val="0"/>
          <w:numId w:val="9"/>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公开开标后，直至向中标的投标人授予合同时止，凡与审查、澄清、评价和比较投标有关的资料以及授标意见等，均不得向投标人及与评标无关的其他人透露。</w:t>
      </w:r>
    </w:p>
    <w:p w14:paraId="31C6F88B">
      <w:pPr>
        <w:numPr>
          <w:ilvl w:val="0"/>
          <w:numId w:val="9"/>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在评标过程中，如果投标人试图在投标文件审查、澄清、比较及授予合同方面向买方施加任何影响，其投标将被拒绝。</w:t>
      </w:r>
    </w:p>
    <w:p w14:paraId="3C5E95C1">
      <w:pPr>
        <w:kinsoku w:val="0"/>
        <w:wordWrap w:val="0"/>
        <w:topLinePunct/>
        <w:jc w:val="center"/>
        <w:rPr>
          <w:rFonts w:hint="eastAsia" w:ascii="仿宋" w:hAnsi="仿宋" w:eastAsia="仿宋" w:cs="仿宋"/>
          <w:b/>
          <w:sz w:val="32"/>
        </w:rPr>
      </w:pPr>
      <w:r>
        <w:rPr>
          <w:rFonts w:hint="eastAsia" w:ascii="仿宋" w:hAnsi="仿宋" w:eastAsia="仿宋" w:cs="仿宋"/>
          <w:b/>
          <w:sz w:val="32"/>
        </w:rPr>
        <w:t>第二部分  技术服务内容、技术指标要求等</w:t>
      </w:r>
    </w:p>
    <w:p w14:paraId="53519E95">
      <w:pPr>
        <w:spacing w:line="360" w:lineRule="auto"/>
        <w:jc w:val="both"/>
        <w:rPr>
          <w:rFonts w:hint="eastAsia" w:ascii="仿宋" w:hAnsi="仿宋" w:eastAsia="仿宋" w:cs="仿宋"/>
          <w:bCs/>
          <w:sz w:val="21"/>
          <w:szCs w:val="21"/>
        </w:rPr>
      </w:pPr>
      <w:r>
        <w:rPr>
          <w:rFonts w:hint="eastAsia" w:ascii="仿宋" w:hAnsi="仿宋" w:eastAsia="仿宋" w:cs="仿宋"/>
          <w:bCs/>
          <w:sz w:val="21"/>
          <w:szCs w:val="21"/>
        </w:rPr>
        <w:t>一．项目名称：汕头大学医学院血管再狭窄机制研究及特异性基因敲除小鼠模型构建与造模服务招标项目</w:t>
      </w:r>
    </w:p>
    <w:p w14:paraId="23B42587">
      <w:pPr>
        <w:kinsoku w:val="0"/>
        <w:topLinePunct/>
        <w:ind w:firstLine="524" w:firstLineChars="200"/>
        <w:rPr>
          <w:rFonts w:hint="eastAsia" w:ascii="仿宋" w:hAnsi="仿宋" w:eastAsia="仿宋" w:cs="仿宋"/>
          <w:bCs/>
          <w:sz w:val="21"/>
          <w:szCs w:val="21"/>
        </w:rPr>
      </w:pPr>
      <w:r>
        <w:rPr>
          <w:rFonts w:hint="eastAsia" w:ascii="仿宋" w:hAnsi="仿宋" w:eastAsia="仿宋" w:cs="仿宋"/>
          <w:bCs/>
          <w:sz w:val="21"/>
          <w:szCs w:val="21"/>
        </w:rPr>
        <w:t>总预算：</w:t>
      </w:r>
      <w:r>
        <w:rPr>
          <w:rFonts w:hint="eastAsia" w:ascii="仿宋" w:hAnsi="仿宋" w:eastAsia="仿宋" w:cs="仿宋"/>
          <w:bCs/>
          <w:sz w:val="21"/>
          <w:szCs w:val="21"/>
          <w:lang w:val="en-US" w:eastAsia="zh-CN"/>
        </w:rPr>
        <w:t>163400</w:t>
      </w:r>
      <w:r>
        <w:rPr>
          <w:rFonts w:hint="eastAsia" w:ascii="仿宋" w:hAnsi="仿宋" w:eastAsia="仿宋" w:cs="仿宋"/>
          <w:bCs/>
          <w:sz w:val="21"/>
          <w:szCs w:val="21"/>
        </w:rPr>
        <w:t>元</w:t>
      </w:r>
    </w:p>
    <w:p w14:paraId="72445DE3">
      <w:pPr>
        <w:kinsoku w:val="0"/>
        <w:topLinePunct/>
        <w:ind w:firstLine="524" w:firstLineChars="200"/>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本招标书中所提甲方特指需方（汕头大学医学院），乙方特指供方（潜在的中标单位）</w:t>
      </w:r>
    </w:p>
    <w:p w14:paraId="2B8C3B5A">
      <w:pPr>
        <w:numPr>
          <w:ilvl w:val="0"/>
          <w:numId w:val="10"/>
        </w:numPr>
        <w:spacing w:line="360" w:lineRule="auto"/>
        <w:outlineLvl w:val="1"/>
        <w:rPr>
          <w:rFonts w:hint="eastAsia"/>
          <w:b/>
          <w:bCs/>
          <w:sz w:val="21"/>
          <w:szCs w:val="21"/>
        </w:rPr>
      </w:pPr>
      <w:r>
        <w:rPr>
          <w:rFonts w:hint="eastAsia"/>
          <w:b/>
          <w:bCs/>
          <w:sz w:val="21"/>
          <w:szCs w:val="21"/>
        </w:rPr>
        <w:t>服务内容：</w:t>
      </w:r>
    </w:p>
    <w:p w14:paraId="5A29AE33">
      <w:pPr>
        <w:spacing w:line="360" w:lineRule="auto"/>
        <w:ind w:firstLine="524" w:firstLineChars="200"/>
        <w:rPr>
          <w:sz w:val="21"/>
          <w:szCs w:val="21"/>
        </w:rPr>
      </w:pPr>
      <w:r>
        <w:rPr>
          <w:rFonts w:hint="eastAsia"/>
          <w:sz w:val="21"/>
          <w:szCs w:val="21"/>
        </w:rPr>
        <w:t>1、提供内皮条件性基因敲除小鼠模型：根据实验进展，需要在12个月内完成，交付6对SPF级内皮诱导型条件性敲除纯合子小鼠以及6对对照小鼠，用于后续小鼠手术造模服务。同时提供条件性基因敲除小鼠模型鉴定报告和质量合格证。</w:t>
      </w:r>
    </w:p>
    <w:p w14:paraId="401D8E05">
      <w:pPr>
        <w:spacing w:line="360" w:lineRule="auto"/>
        <w:ind w:firstLine="524" w:firstLineChars="200"/>
        <w:rPr>
          <w:sz w:val="21"/>
          <w:szCs w:val="21"/>
        </w:rPr>
      </w:pPr>
      <w:r>
        <w:rPr>
          <w:rFonts w:hint="eastAsia"/>
          <w:sz w:val="21"/>
          <w:szCs w:val="21"/>
        </w:rPr>
        <w:t>2、提供平滑肌条件性基因敲除小鼠模型：根据实验进展，需要在12个月内完成，交付6对SPF级平滑肌诱导型条件性敲除纯合子小鼠以及6对对照小鼠，用于后续小鼠手术造模服务。同时提供条件性基因敲除小鼠模型鉴定报告和质量合格证。</w:t>
      </w:r>
    </w:p>
    <w:p w14:paraId="0C0CC60E">
      <w:pPr>
        <w:spacing w:line="360" w:lineRule="auto"/>
        <w:ind w:firstLine="524" w:firstLineChars="200"/>
        <w:rPr>
          <w:sz w:val="21"/>
          <w:szCs w:val="21"/>
        </w:rPr>
      </w:pPr>
      <w:r>
        <w:rPr>
          <w:rFonts w:hint="eastAsia"/>
          <w:sz w:val="21"/>
          <w:szCs w:val="21"/>
        </w:rPr>
        <w:t>3、提供小鼠手术造模服务：体内</w:t>
      </w:r>
      <w:r>
        <w:rPr>
          <w:sz w:val="21"/>
          <w:szCs w:val="21"/>
        </w:rPr>
        <w:t>tamoxifen</w:t>
      </w:r>
      <w:r>
        <w:rPr>
          <w:rFonts w:hint="eastAsia"/>
          <w:sz w:val="21"/>
          <w:szCs w:val="21"/>
        </w:rPr>
        <w:t>诱导，采用金属导丝内皮刮伤方式行股动脉损伤狭窄造模，事后采血、取肺、主动脉、股动脉石蜡包埋交付。</w:t>
      </w:r>
    </w:p>
    <w:p w14:paraId="6116AD4C">
      <w:pPr>
        <w:spacing w:line="360" w:lineRule="auto"/>
        <w:ind w:firstLine="524" w:firstLineChars="200"/>
        <w:rPr>
          <w:sz w:val="21"/>
          <w:szCs w:val="21"/>
        </w:rPr>
      </w:pPr>
      <w:r>
        <w:rPr>
          <w:rFonts w:hint="eastAsia"/>
          <w:sz w:val="21"/>
          <w:szCs w:val="21"/>
          <w:lang w:val="en-US" w:eastAsia="zh-CN"/>
        </w:rPr>
        <w:t>4</w:t>
      </w:r>
      <w:r>
        <w:rPr>
          <w:rFonts w:hint="eastAsia"/>
          <w:sz w:val="21"/>
          <w:szCs w:val="21"/>
        </w:rPr>
        <w:t>、服务流程</w:t>
      </w:r>
    </w:p>
    <w:p w14:paraId="3E032EE0">
      <w:pPr>
        <w:spacing w:line="360" w:lineRule="auto"/>
        <w:ind w:firstLine="524" w:firstLineChars="200"/>
        <w:rPr>
          <w:sz w:val="21"/>
          <w:szCs w:val="21"/>
        </w:rPr>
      </w:pPr>
      <w:r>
        <w:rPr>
          <w:rFonts w:hint="eastAsia"/>
          <w:sz w:val="21"/>
          <w:szCs w:val="21"/>
        </w:rPr>
        <w:t>（1）确认靶基因信息：根据采购人提供的基因信息及实验要求，选择在目的基因蛋白功能保守区定点插入 FloxP 位点，为此设计gRNA序列并验证体外活性；</w:t>
      </w:r>
    </w:p>
    <w:p w14:paraId="1B2A214B">
      <w:pPr>
        <w:spacing w:line="360" w:lineRule="auto"/>
        <w:ind w:firstLine="524" w:firstLineChars="200"/>
        <w:rPr>
          <w:sz w:val="21"/>
          <w:szCs w:val="21"/>
        </w:rPr>
      </w:pPr>
      <w:r>
        <w:rPr>
          <w:rFonts w:hint="eastAsia"/>
          <w:sz w:val="21"/>
          <w:szCs w:val="21"/>
        </w:rPr>
        <w:t>（2）同源重组模板（Donor 质粒）的构建：根据有高活性的 gRNA 靶点位置设计并构建 Donor DNA。</w:t>
      </w:r>
    </w:p>
    <w:p w14:paraId="3A4BEC86">
      <w:pPr>
        <w:spacing w:line="360" w:lineRule="auto"/>
        <w:ind w:firstLine="524" w:firstLineChars="200"/>
        <w:rPr>
          <w:sz w:val="21"/>
          <w:szCs w:val="21"/>
        </w:rPr>
      </w:pPr>
      <w:r>
        <w:rPr>
          <w:rFonts w:hint="eastAsia"/>
          <w:sz w:val="21"/>
          <w:szCs w:val="21"/>
        </w:rPr>
        <w:t>（3）显微注射、</w:t>
      </w:r>
      <w:r>
        <w:rPr>
          <w:sz w:val="21"/>
          <w:szCs w:val="21"/>
        </w:rPr>
        <w:t>FloxP</w:t>
      </w:r>
      <w:r>
        <w:rPr>
          <w:rFonts w:hint="eastAsia"/>
          <w:sz w:val="21"/>
          <w:szCs w:val="21"/>
        </w:rPr>
        <w:t xml:space="preserve"> 鼠F0代鉴定：将Donor、gRNA和Cas9蛋白共同注射到受精卵，显微注射后的受精卵送回到代孕鼠输卵管中；小鼠出生后3周龄进行PCR和测序鉴定，获得阳性F0鼠。</w:t>
      </w:r>
    </w:p>
    <w:p w14:paraId="0DBDA5F4">
      <w:pPr>
        <w:spacing w:line="360" w:lineRule="auto"/>
        <w:ind w:firstLine="524" w:firstLineChars="200"/>
        <w:rPr>
          <w:sz w:val="21"/>
          <w:szCs w:val="21"/>
        </w:rPr>
      </w:pPr>
      <w:r>
        <w:rPr>
          <w:rFonts w:hint="eastAsia"/>
          <w:sz w:val="21"/>
          <w:szCs w:val="21"/>
        </w:rPr>
        <w:t>（4）</w:t>
      </w:r>
      <w:r>
        <w:rPr>
          <w:sz w:val="21"/>
          <w:szCs w:val="21"/>
        </w:rPr>
        <w:t>FloxP</w:t>
      </w:r>
      <w:r>
        <w:rPr>
          <w:rFonts w:hint="eastAsia"/>
          <w:sz w:val="21"/>
          <w:szCs w:val="21"/>
        </w:rPr>
        <w:t xml:space="preserve"> 鼠F1代繁殖：阳性F0鼠性成熟后分别与野生型鼠配繁1代，通过PCR鉴定确认F1阳性小鼠。</w:t>
      </w:r>
    </w:p>
    <w:p w14:paraId="232D7625">
      <w:pPr>
        <w:spacing w:line="360" w:lineRule="auto"/>
        <w:ind w:firstLine="524" w:firstLineChars="200"/>
        <w:rPr>
          <w:sz w:val="21"/>
          <w:szCs w:val="21"/>
        </w:rPr>
      </w:pPr>
      <w:r>
        <w:rPr>
          <w:rFonts w:hint="eastAsia"/>
          <w:sz w:val="21"/>
          <w:szCs w:val="21"/>
        </w:rPr>
        <w:t>（5）繁育内皮诱导型敲除纯合子：F1阳性鼠和Cdh5-creERT2小鼠配繁获得内皮诱导型敲除纯合子，提供6对SPF级敲除纯合子小鼠以及6对对照小鼠。</w:t>
      </w:r>
    </w:p>
    <w:p w14:paraId="37A8CDF9">
      <w:pPr>
        <w:spacing w:line="360" w:lineRule="auto"/>
        <w:ind w:firstLine="524" w:firstLineChars="200"/>
        <w:rPr>
          <w:sz w:val="21"/>
          <w:szCs w:val="21"/>
        </w:rPr>
      </w:pPr>
      <w:r>
        <w:rPr>
          <w:rFonts w:hint="eastAsia"/>
          <w:sz w:val="21"/>
          <w:szCs w:val="21"/>
        </w:rPr>
        <w:t>（6）繁育血管平滑肌诱导型敲除纯合子：F1阳性鼠和SM22a-creERT2小鼠配繁获得血管平滑肌诱导型敲除纯合子，提供6对SPF级敲除纯合子小鼠以及6对对照小鼠。</w:t>
      </w:r>
    </w:p>
    <w:p w14:paraId="55D82137">
      <w:pPr>
        <w:spacing w:line="360" w:lineRule="auto"/>
        <w:ind w:firstLine="524" w:firstLineChars="200"/>
        <w:rPr>
          <w:rFonts w:hint="eastAsia" w:ascii="Times New Roman" w:hAnsi="Times New Roman" w:cs="Times New Roman"/>
          <w:sz w:val="21"/>
          <w:szCs w:val="21"/>
          <w:lang w:val="en-US" w:eastAsia="zh-CN"/>
        </w:rPr>
      </w:pPr>
      <w:r>
        <w:rPr>
          <w:rFonts w:hint="eastAsia"/>
          <w:sz w:val="21"/>
          <w:szCs w:val="21"/>
        </w:rPr>
        <w:t>（7）股动脉损伤狭窄手术造模：将得到的纯合子小鼠在6 周龄接受为期 1周的 Tamoxifen 注射诱导，1周后行股动脉损伤狭窄手术造模，造模周期：14-28天。最后取血、股动脉、主动脉、肺，做石蜡包埋交付。</w:t>
      </w:r>
    </w:p>
    <w:p w14:paraId="07B196D4">
      <w:pPr>
        <w:spacing w:line="360" w:lineRule="auto"/>
        <w:outlineLvl w:val="1"/>
        <w:rPr>
          <w:rFonts w:hint="eastAsia"/>
          <w:b/>
          <w:bCs/>
          <w:sz w:val="21"/>
          <w:szCs w:val="21"/>
        </w:rPr>
      </w:pPr>
      <w:r>
        <w:rPr>
          <w:rFonts w:hint="eastAsia"/>
          <w:b/>
          <w:bCs/>
          <w:sz w:val="21"/>
          <w:szCs w:val="21"/>
        </w:rPr>
        <w:t>三．质量要求、技术标准：</w:t>
      </w:r>
    </w:p>
    <w:p w14:paraId="14D8ADC7">
      <w:pPr>
        <w:spacing w:line="360" w:lineRule="auto"/>
        <w:ind w:firstLine="524" w:firstLineChars="200"/>
        <w:outlineLvl w:val="1"/>
        <w:rPr>
          <w:rFonts w:hint="eastAsia"/>
          <w:sz w:val="21"/>
          <w:szCs w:val="21"/>
        </w:rPr>
      </w:pPr>
      <w:r>
        <w:rPr>
          <w:rFonts w:hint="eastAsia"/>
          <w:sz w:val="21"/>
          <w:szCs w:val="21"/>
        </w:rPr>
        <w:t>1、免疫学研究的开展需要严格的无特定病原体（SPF）级的小鼠饲养与繁育。</w:t>
      </w:r>
    </w:p>
    <w:p w14:paraId="5762D733">
      <w:pPr>
        <w:spacing w:line="360" w:lineRule="auto"/>
        <w:ind w:firstLine="524" w:firstLineChars="200"/>
        <w:outlineLvl w:val="1"/>
        <w:rPr>
          <w:rFonts w:hint="eastAsia"/>
          <w:sz w:val="21"/>
          <w:szCs w:val="21"/>
        </w:rPr>
      </w:pPr>
      <w:r>
        <w:rPr>
          <w:rFonts w:hint="eastAsia"/>
          <w:sz w:val="21"/>
          <w:szCs w:val="21"/>
        </w:rPr>
        <w:t>2、每个小鼠品种和品系都有各自的遗传特点，在实验小鼠生产、繁殖和应用过程中，必须保证符合规定的标准遗传组成。</w:t>
      </w:r>
    </w:p>
    <w:p w14:paraId="2C850B86">
      <w:pPr>
        <w:spacing w:line="360" w:lineRule="auto"/>
        <w:ind w:firstLine="524" w:firstLineChars="200"/>
        <w:outlineLvl w:val="1"/>
        <w:rPr>
          <w:rFonts w:hint="eastAsia"/>
          <w:sz w:val="21"/>
          <w:szCs w:val="21"/>
        </w:rPr>
      </w:pPr>
      <w:r>
        <w:rPr>
          <w:rFonts w:hint="eastAsia"/>
          <w:sz w:val="21"/>
          <w:szCs w:val="21"/>
        </w:rPr>
        <w:t>3、必须有完善的培训体系和质量管理体系，对技术人员的操作严格要求，以保障动物的质量和屏障洁净达到要求。</w:t>
      </w:r>
    </w:p>
    <w:p w14:paraId="1A0DC24D">
      <w:pPr>
        <w:spacing w:line="360" w:lineRule="auto"/>
        <w:ind w:firstLine="524" w:firstLineChars="200"/>
        <w:outlineLvl w:val="1"/>
        <w:rPr>
          <w:rFonts w:hint="eastAsia"/>
          <w:sz w:val="21"/>
          <w:szCs w:val="21"/>
          <w:lang w:val="en-US" w:eastAsia="zh-CN"/>
        </w:rPr>
      </w:pPr>
      <w:r>
        <w:rPr>
          <w:rFonts w:hint="eastAsia"/>
          <w:sz w:val="21"/>
          <w:szCs w:val="21"/>
        </w:rPr>
        <w:t>4、专业的技术支持，辅助设计实验方案，提供及时的项目进展汇报。</w:t>
      </w:r>
      <w:r>
        <w:rPr>
          <w:rFonts w:hint="eastAsia"/>
          <w:sz w:val="21"/>
          <w:szCs w:val="21"/>
          <w:lang w:val="en-US" w:eastAsia="zh-CN"/>
        </w:rPr>
        <w:t xml:space="preserve"> </w:t>
      </w:r>
    </w:p>
    <w:p w14:paraId="04995E59">
      <w:pPr>
        <w:spacing w:line="360" w:lineRule="auto"/>
        <w:ind w:firstLine="524" w:firstLineChars="200"/>
        <w:outlineLvl w:val="1"/>
        <w:rPr>
          <w:rFonts w:hint="eastAsia" w:eastAsia="仿宋_GB2312"/>
          <w:sz w:val="21"/>
          <w:szCs w:val="21"/>
          <w:lang w:val="en-US" w:eastAsia="zh-CN"/>
        </w:rPr>
      </w:pPr>
      <w:r>
        <w:rPr>
          <w:rFonts w:hint="eastAsia"/>
          <w:sz w:val="21"/>
          <w:szCs w:val="21"/>
        </w:rPr>
        <w:t>5、课题交付验收后可免费提供工作时间的售后服务和技术支持，免费进行疑难问题解答，并通过技术人员上门、往来信函、电话、传真、电子邮件等，解答客户遇到的各种技术问题。</w:t>
      </w:r>
    </w:p>
    <w:p w14:paraId="569A02B6">
      <w:pPr>
        <w:spacing w:line="360" w:lineRule="auto"/>
        <w:ind w:left="-664" w:leftChars="-200" w:firstLine="786" w:firstLineChars="300"/>
        <w:outlineLvl w:val="1"/>
        <w:rPr>
          <w:b/>
          <w:bCs/>
          <w:sz w:val="21"/>
          <w:szCs w:val="21"/>
        </w:rPr>
      </w:pPr>
      <w:r>
        <w:rPr>
          <w:rFonts w:hint="eastAsia"/>
          <w:b/>
          <w:bCs/>
          <w:sz w:val="21"/>
          <w:szCs w:val="21"/>
        </w:rPr>
        <w:t>四．验收方式、标准及提出异议期限：</w:t>
      </w:r>
    </w:p>
    <w:p w14:paraId="2BBB4258">
      <w:pPr>
        <w:spacing w:line="360" w:lineRule="auto"/>
        <w:ind w:firstLine="524" w:firstLineChars="200"/>
        <w:rPr>
          <w:sz w:val="21"/>
          <w:szCs w:val="21"/>
        </w:rPr>
      </w:pPr>
      <w:r>
        <w:rPr>
          <w:rFonts w:hint="eastAsia"/>
          <w:sz w:val="21"/>
          <w:szCs w:val="21"/>
        </w:rPr>
        <w:t>验收方式：专业运输车上门送达，免费运输。运输实验动物使用的转运工具和笼具，符合所运实验动物的微生物和环境质量控制标准，运输车及运输盒符合要求、温湿度达标、实时监控。同时提供项目基因型鉴定报告，实验记录数据。甲方在收到产品后如有异议，需在14个工作日内向乙方提出书面异议。</w:t>
      </w:r>
    </w:p>
    <w:p w14:paraId="1AC78723">
      <w:pPr>
        <w:numPr>
          <w:ilvl w:val="0"/>
          <w:numId w:val="11"/>
        </w:numPr>
        <w:spacing w:line="360" w:lineRule="auto"/>
        <w:ind w:left="524" w:leftChars="0" w:hanging="524" w:firstLineChars="0"/>
        <w:rPr>
          <w:rFonts w:hint="eastAsia"/>
          <w:b/>
          <w:bCs/>
          <w:sz w:val="21"/>
          <w:szCs w:val="21"/>
        </w:rPr>
      </w:pPr>
      <w:r>
        <w:rPr>
          <w:rFonts w:hint="eastAsia"/>
          <w:b/>
          <w:bCs/>
          <w:sz w:val="21"/>
          <w:szCs w:val="21"/>
        </w:rPr>
        <w:t>结算方式：</w:t>
      </w:r>
    </w:p>
    <w:p w14:paraId="6408B344">
      <w:pPr>
        <w:spacing w:line="360" w:lineRule="auto"/>
        <w:ind w:firstLine="524" w:firstLineChars="200"/>
        <w:rPr>
          <w:sz w:val="21"/>
          <w:szCs w:val="21"/>
        </w:rPr>
      </w:pPr>
      <w:r>
        <w:rPr>
          <w:rFonts w:hint="eastAsia"/>
          <w:sz w:val="21"/>
          <w:szCs w:val="21"/>
        </w:rPr>
        <w:t>在合同生效后</w:t>
      </w:r>
      <w:r>
        <w:rPr>
          <w:rFonts w:hint="eastAsia"/>
          <w:sz w:val="21"/>
          <w:szCs w:val="21"/>
          <w:lang w:val="en-US" w:eastAsia="zh-CN"/>
        </w:rPr>
        <w:t>30</w:t>
      </w:r>
      <w:r>
        <w:rPr>
          <w:rFonts w:hint="eastAsia"/>
          <w:sz w:val="21"/>
          <w:szCs w:val="21"/>
        </w:rPr>
        <w:t>个工作日内，甲方凭乙方开具的增值税专用发票向乙方支付合同总额</w:t>
      </w:r>
      <w:r>
        <w:rPr>
          <w:rFonts w:hint="eastAsia"/>
          <w:sz w:val="21"/>
          <w:szCs w:val="21"/>
          <w:lang w:val="en-US" w:eastAsia="zh-CN"/>
        </w:rPr>
        <w:t>30</w:t>
      </w:r>
      <w:r>
        <w:rPr>
          <w:rFonts w:hint="eastAsia"/>
          <w:sz w:val="21"/>
          <w:szCs w:val="21"/>
        </w:rPr>
        <w:t>%的款项，乙方完成信息分析工作后，向甲方提供结题报告，提交全部数据和分析报告。甲方确定无误后，凭乙方开具的增值税专用发票向乙方支付合同总额</w:t>
      </w:r>
      <w:r>
        <w:rPr>
          <w:rFonts w:hint="eastAsia"/>
          <w:sz w:val="21"/>
          <w:szCs w:val="21"/>
          <w:lang w:val="en-US" w:eastAsia="zh-CN"/>
        </w:rPr>
        <w:t>7</w:t>
      </w:r>
      <w:r>
        <w:rPr>
          <w:rFonts w:hint="eastAsia"/>
          <w:sz w:val="21"/>
          <w:szCs w:val="21"/>
        </w:rPr>
        <w:t>0%的剩余款项。</w:t>
      </w:r>
    </w:p>
    <w:p w14:paraId="2A824B89">
      <w:pPr>
        <w:spacing w:line="360" w:lineRule="auto"/>
        <w:rPr>
          <w:b/>
          <w:bCs/>
          <w:sz w:val="21"/>
          <w:szCs w:val="21"/>
        </w:rPr>
      </w:pPr>
      <w:r>
        <w:rPr>
          <w:rFonts w:hint="eastAsia"/>
          <w:b/>
          <w:bCs/>
          <w:sz w:val="21"/>
          <w:szCs w:val="21"/>
        </w:rPr>
        <w:t>六、违约责任：</w:t>
      </w:r>
    </w:p>
    <w:p w14:paraId="2EC66430">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1、如“FloxP 鼠F1代”阶段乙方无法获得阳性鼠 ，乙方承诺退还甲方已付的全部款项。</w:t>
      </w:r>
    </w:p>
    <w:p w14:paraId="0BFE52B1">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2、乙方如无正当理由提前终止合同 ，所收取费用及剩余实验材料应当全部退还给甲方。</w:t>
      </w:r>
    </w:p>
    <w:p w14:paraId="36B70E31">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3、如因乙方过错导致项目超出服务期限，乙方应及时与甲方沟通，协商处理方式，并每日按合同总额1‰偿付违约金。</w:t>
      </w:r>
    </w:p>
    <w:p w14:paraId="27A848FE">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4、如因乙方过错提供的项目成果不符合合同规定时，甲方有权拒收并要求乙方应重新免费提供服务。</w:t>
      </w:r>
    </w:p>
    <w:p w14:paraId="7E04EDEB">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5、若由于甲方单方面要求终止项目 ，则甲方应支付乙方已完成项目阶段的费用 ，乙方可将已完成阶段的项目成果交付给甲方。</w:t>
      </w:r>
    </w:p>
    <w:p w14:paraId="6F66111D">
      <w:pPr>
        <w:spacing w:line="360" w:lineRule="auto"/>
        <w:rPr>
          <w:b/>
          <w:bCs/>
          <w:sz w:val="21"/>
          <w:szCs w:val="21"/>
        </w:rPr>
      </w:pPr>
      <w:r>
        <w:rPr>
          <w:rFonts w:hint="eastAsia"/>
          <w:b/>
          <w:bCs/>
          <w:sz w:val="21"/>
          <w:szCs w:val="21"/>
        </w:rPr>
        <w:t>七、知识产权：</w:t>
      </w:r>
    </w:p>
    <w:p w14:paraId="6ACC2E35">
      <w:pPr>
        <w:spacing w:line="360" w:lineRule="auto"/>
        <w:ind w:firstLine="524" w:firstLineChars="200"/>
        <w:rPr>
          <w:sz w:val="21"/>
          <w:szCs w:val="21"/>
        </w:rPr>
      </w:pPr>
      <w:r>
        <w:rPr>
          <w:rFonts w:hint="eastAsia"/>
          <w:sz w:val="21"/>
          <w:szCs w:val="21"/>
        </w:rPr>
        <w:t>1、本委托项目下产生的技术服务成果为甲方所有，甲方拥有本委托项目下专利技术服务成果的专利申请权。</w:t>
      </w:r>
    </w:p>
    <w:p w14:paraId="0149CB9B">
      <w:pPr>
        <w:spacing w:line="360" w:lineRule="auto"/>
        <w:ind w:firstLine="524" w:firstLineChars="200"/>
        <w:rPr>
          <w:sz w:val="21"/>
          <w:szCs w:val="21"/>
        </w:rPr>
      </w:pPr>
      <w:r>
        <w:rPr>
          <w:rFonts w:hint="eastAsia"/>
          <w:sz w:val="21"/>
          <w:szCs w:val="21"/>
        </w:rPr>
        <w:t>2、本委托项目中所使用的属于甲方的知识产权，仍为甲方所有，甲方对这类知识产权的使用承担全部法律责任。甲方保证“甲方知识产权”不会侵犯任何第三方的知识产权。</w:t>
      </w:r>
    </w:p>
    <w:p w14:paraId="63FA84CB">
      <w:pPr>
        <w:spacing w:line="360" w:lineRule="auto"/>
        <w:ind w:firstLine="524" w:firstLineChars="200"/>
        <w:rPr>
          <w:sz w:val="21"/>
          <w:szCs w:val="21"/>
        </w:rPr>
      </w:pPr>
      <w:r>
        <w:rPr>
          <w:rFonts w:hint="eastAsia"/>
          <w:sz w:val="21"/>
          <w:szCs w:val="21"/>
        </w:rPr>
        <w:t>3、本委托项目中所使用的属于乙方的知识产权(包括不限于乙方独立开发的工具、方法、技术服务过程或数据、技术诀窍、工艺、软件、模版、程序、操作指南或其他知识产权)仍为乙方所有，乙方对这类知识产权的使用承担全部法律责任，乙方对乙方知识产权的任何改进、优化等仍归属乙方所有。乙方在此给予甲方一个有限许可，使甲方为科研目的、为实现本合同项目成果以不可转让、不可分许可之形式使用“乙方知识产权”。乙方保证“乙方知识产权”不会侵犯任何第三方的知识产权。</w:t>
      </w:r>
    </w:p>
    <w:p w14:paraId="04E60AE2">
      <w:pPr>
        <w:ind w:left="438" w:leftChars="132"/>
        <w:rPr>
          <w:rFonts w:hint="eastAsia" w:ascii="仿宋" w:hAnsi="仿宋" w:eastAsia="仿宋" w:cs="仿宋"/>
          <w:b/>
          <w:sz w:val="21"/>
          <w:szCs w:val="21"/>
        </w:rPr>
      </w:pPr>
      <w:r>
        <w:rPr>
          <w:rFonts w:hint="eastAsia" w:ascii="仿宋" w:hAnsi="仿宋" w:eastAsia="仿宋" w:cs="仿宋"/>
          <w:sz w:val="21"/>
          <w:szCs w:val="21"/>
        </w:rPr>
        <w:t xml:space="preserve">     </w:t>
      </w:r>
    </w:p>
    <w:p w14:paraId="0FF0D6CD">
      <w:pPr>
        <w:framePr w:hSpace="180" w:wrap="around" w:vAnchor="text" w:hAnchor="margin" w:y="605"/>
        <w:rPr>
          <w:rFonts w:hint="eastAsia" w:ascii="仿宋" w:hAnsi="仿宋" w:eastAsia="仿宋" w:cs="仿宋"/>
        </w:rPr>
      </w:pPr>
      <w:r>
        <w:rPr>
          <w:rFonts w:hint="eastAsia" w:ascii="仿宋" w:hAnsi="仿宋" w:eastAsia="仿宋" w:cs="仿宋"/>
          <w:sz w:val="24"/>
        </w:rPr>
        <w:t xml:space="preserve">   </w:t>
      </w:r>
    </w:p>
    <w:p w14:paraId="09B9E855">
      <w:pPr>
        <w:ind w:left="438" w:leftChars="132"/>
        <w:rPr>
          <w:rFonts w:hint="eastAsia" w:ascii="仿宋" w:hAnsi="仿宋" w:eastAsia="仿宋" w:cs="仿宋"/>
          <w:b/>
          <w:sz w:val="21"/>
          <w:szCs w:val="21"/>
        </w:rPr>
      </w:pPr>
      <w:r>
        <w:rPr>
          <w:rFonts w:hint="eastAsia" w:ascii="仿宋" w:hAnsi="仿宋" w:eastAsia="仿宋" w:cs="仿宋"/>
          <w:szCs w:val="28"/>
        </w:rPr>
        <w:t xml:space="preserve">    </w:t>
      </w:r>
      <w:r>
        <w:rPr>
          <w:rFonts w:hint="eastAsia" w:ascii="仿宋" w:hAnsi="仿宋" w:eastAsia="仿宋" w:cs="仿宋"/>
          <w:sz w:val="21"/>
          <w:szCs w:val="21"/>
        </w:rPr>
        <w:t xml:space="preserve"> </w:t>
      </w:r>
    </w:p>
    <w:p w14:paraId="01D59D6E">
      <w:pPr>
        <w:framePr w:hSpace="180" w:wrap="around" w:vAnchor="text" w:hAnchor="margin" w:y="605"/>
        <w:rPr>
          <w:rFonts w:hint="eastAsia" w:ascii="仿宋" w:hAnsi="仿宋" w:eastAsia="仿宋" w:cs="仿宋"/>
        </w:rPr>
      </w:pPr>
      <w:r>
        <w:rPr>
          <w:rFonts w:hint="eastAsia" w:ascii="仿宋" w:hAnsi="仿宋" w:eastAsia="仿宋" w:cs="仿宋"/>
          <w:sz w:val="24"/>
        </w:rPr>
        <w:t xml:space="preserve">   </w:t>
      </w:r>
    </w:p>
    <w:p w14:paraId="4E979F98">
      <w:pPr>
        <w:kinsoku w:val="0"/>
        <w:wordWrap w:val="0"/>
        <w:topLinePunct/>
        <w:spacing w:line="340" w:lineRule="exact"/>
        <w:jc w:val="center"/>
        <w:rPr>
          <w:rFonts w:hint="eastAsia" w:ascii="仿宋" w:hAnsi="仿宋" w:eastAsia="仿宋" w:cs="仿宋"/>
          <w:b/>
          <w:sz w:val="32"/>
        </w:rPr>
      </w:pPr>
      <w:r>
        <w:rPr>
          <w:rFonts w:hint="eastAsia" w:ascii="仿宋" w:hAnsi="仿宋" w:eastAsia="仿宋" w:cs="仿宋"/>
          <w:b/>
          <w:sz w:val="32"/>
        </w:rPr>
        <w:t xml:space="preserve">第三部分  </w:t>
      </w:r>
      <w:r>
        <w:rPr>
          <w:rFonts w:hint="eastAsia" w:ascii="仿宋" w:hAnsi="仿宋" w:eastAsia="仿宋" w:cs="仿宋"/>
          <w:b/>
          <w:sz w:val="32"/>
          <w:u w:val="single"/>
        </w:rPr>
        <w:t xml:space="preserve">       </w:t>
      </w:r>
      <w:r>
        <w:rPr>
          <w:rFonts w:hint="eastAsia" w:ascii="仿宋" w:hAnsi="仿宋" w:eastAsia="仿宋" w:cs="仿宋"/>
          <w:b/>
          <w:sz w:val="32"/>
        </w:rPr>
        <w:t>合同（参考样本）</w:t>
      </w:r>
    </w:p>
    <w:p w14:paraId="27A3C0EF">
      <w:pPr>
        <w:kinsoku w:val="0"/>
        <w:wordWrap w:val="0"/>
        <w:topLinePunct/>
        <w:spacing w:line="340" w:lineRule="exact"/>
        <w:jc w:val="right"/>
        <w:rPr>
          <w:rFonts w:hint="eastAsia" w:ascii="仿宋" w:hAnsi="仿宋" w:eastAsia="仿宋" w:cs="仿宋"/>
          <w:sz w:val="24"/>
        </w:rPr>
      </w:pPr>
      <w:r>
        <w:rPr>
          <w:rFonts w:hint="eastAsia" w:ascii="仿宋" w:hAnsi="仿宋" w:eastAsia="仿宋" w:cs="仿宋"/>
          <w:sz w:val="24"/>
        </w:rPr>
        <w:t xml:space="preserve">                                     合同编号：</w:t>
      </w:r>
      <w:r>
        <w:rPr>
          <w:rFonts w:hint="eastAsia" w:ascii="仿宋" w:hAnsi="仿宋" w:eastAsia="仿宋" w:cs="仿宋"/>
          <w:sz w:val="24"/>
          <w:u w:val="single"/>
        </w:rPr>
        <w:t xml:space="preserve">         </w:t>
      </w:r>
      <w:r>
        <w:rPr>
          <w:rFonts w:hint="eastAsia" w:ascii="仿宋" w:hAnsi="仿宋" w:eastAsia="仿宋" w:cs="仿宋"/>
          <w:sz w:val="24"/>
        </w:rPr>
        <w:t>.</w:t>
      </w:r>
    </w:p>
    <w:p w14:paraId="0B2EF420">
      <w:pPr>
        <w:kinsoku w:val="0"/>
        <w:wordWrap w:val="0"/>
        <w:topLinePunct/>
        <w:spacing w:line="340" w:lineRule="exact"/>
        <w:rPr>
          <w:rFonts w:hint="eastAsia" w:ascii="仿宋" w:hAnsi="仿宋" w:eastAsia="仿宋" w:cs="仿宋"/>
          <w:sz w:val="24"/>
        </w:rPr>
      </w:pPr>
    </w:p>
    <w:p w14:paraId="4C2ED1EE">
      <w:pPr>
        <w:kinsoku w:val="0"/>
        <w:wordWrap w:val="0"/>
        <w:topLinePunct/>
        <w:spacing w:line="340" w:lineRule="exact"/>
        <w:rPr>
          <w:rFonts w:hint="eastAsia" w:ascii="仿宋" w:hAnsi="仿宋" w:eastAsia="仿宋" w:cs="仿宋"/>
          <w:sz w:val="24"/>
        </w:rPr>
      </w:pPr>
      <w:r>
        <w:rPr>
          <w:rFonts w:hint="eastAsia" w:ascii="仿宋" w:hAnsi="仿宋" w:eastAsia="仿宋" w:cs="仿宋"/>
          <w:sz w:val="24"/>
        </w:rPr>
        <w:t>需  方（甲方）：                        签订地点：汕头大学医学院</w:t>
      </w:r>
    </w:p>
    <w:p w14:paraId="41FCBD41">
      <w:pPr>
        <w:kinsoku w:val="0"/>
        <w:wordWrap w:val="0"/>
        <w:topLinePunct/>
        <w:spacing w:line="340" w:lineRule="exact"/>
        <w:rPr>
          <w:rFonts w:hint="eastAsia" w:ascii="仿宋" w:hAnsi="仿宋" w:eastAsia="仿宋" w:cs="仿宋"/>
          <w:sz w:val="24"/>
        </w:rPr>
      </w:pPr>
      <w:r>
        <w:rPr>
          <w:rFonts w:hint="eastAsia" w:ascii="仿宋" w:hAnsi="仿宋" w:eastAsia="仿宋" w:cs="仿宋"/>
          <w:sz w:val="24"/>
        </w:rPr>
        <w:t xml:space="preserve">供  方（乙方）：                      </w:t>
      </w:r>
    </w:p>
    <w:p w14:paraId="7E569215">
      <w:pPr>
        <w:kinsoku w:val="0"/>
        <w:wordWrap w:val="0"/>
        <w:topLinePunct/>
        <w:spacing w:line="340" w:lineRule="exact"/>
        <w:rPr>
          <w:rFonts w:hint="eastAsia" w:ascii="仿宋" w:hAnsi="仿宋" w:eastAsia="仿宋" w:cs="仿宋"/>
          <w:sz w:val="24"/>
        </w:rPr>
      </w:pPr>
    </w:p>
    <w:p w14:paraId="4DA11E6B">
      <w:pPr>
        <w:kinsoku w:val="0"/>
        <w:wordWrap w:val="0"/>
        <w:topLinePunct/>
        <w:spacing w:line="340" w:lineRule="exact"/>
        <w:rPr>
          <w:rFonts w:hint="eastAsia" w:ascii="仿宋" w:hAnsi="仿宋" w:eastAsia="仿宋" w:cs="仿宋"/>
          <w:sz w:val="21"/>
        </w:rPr>
      </w:pPr>
      <w:r>
        <w:rPr>
          <w:rFonts w:hint="eastAsia" w:ascii="仿宋" w:hAnsi="仿宋" w:eastAsia="仿宋" w:cs="仿宋"/>
          <w:sz w:val="24"/>
        </w:rPr>
        <w:t xml:space="preserve">    </w:t>
      </w:r>
      <w:r>
        <w:rPr>
          <w:rFonts w:hint="eastAsia" w:ascii="仿宋" w:hAnsi="仿宋" w:eastAsia="仿宋" w:cs="仿宋"/>
          <w:sz w:val="21"/>
        </w:rPr>
        <w:t>根据《中华人民共和国民法典》及</w:t>
      </w:r>
      <w:r>
        <w:rPr>
          <w:rFonts w:hint="eastAsia" w:ascii="仿宋" w:hAnsi="仿宋" w:eastAsia="仿宋" w:cs="仿宋"/>
          <w:sz w:val="21"/>
        </w:rPr>
        <w:softHyphen/>
      </w:r>
      <w:r>
        <w:rPr>
          <w:rFonts w:hint="eastAsia" w:ascii="仿宋" w:hAnsi="仿宋" w:eastAsia="仿宋" w:cs="仿宋"/>
          <w:sz w:val="21"/>
        </w:rPr>
        <w:softHyphen/>
      </w:r>
      <w:r>
        <w:rPr>
          <w:rFonts w:hint="eastAsia" w:ascii="仿宋" w:hAnsi="仿宋" w:eastAsia="仿宋" w:cs="仿宋"/>
          <w:sz w:val="21"/>
        </w:rPr>
        <w:softHyphen/>
      </w:r>
      <w:r>
        <w:rPr>
          <w:rFonts w:hint="eastAsia" w:ascii="仿宋" w:hAnsi="仿宋" w:eastAsia="仿宋" w:cs="仿宋"/>
          <w:sz w:val="21"/>
        </w:rPr>
        <w:softHyphen/>
      </w:r>
      <w:r>
        <w:rPr>
          <w:rFonts w:hint="eastAsia" w:ascii="仿宋" w:hAnsi="仿宋" w:eastAsia="仿宋" w:cs="仿宋"/>
          <w:sz w:val="21"/>
        </w:rPr>
        <w:t>______年__月__日汕头大学医学院“</w:t>
      </w:r>
      <w:r>
        <w:rPr>
          <w:rFonts w:hint="eastAsia" w:ascii="仿宋" w:hAnsi="仿宋" w:eastAsia="仿宋" w:cs="仿宋"/>
          <w:sz w:val="21"/>
          <w:lang w:eastAsia="zh-CN"/>
        </w:rPr>
        <w:t>汕医招</w:t>
      </w:r>
      <w:r>
        <w:rPr>
          <w:rFonts w:hint="eastAsia" w:ascii="仿宋" w:hAnsi="仿宋" w:eastAsia="仿宋" w:cs="仿宋"/>
          <w:sz w:val="21"/>
          <w:lang w:val="en-US" w:eastAsia="zh-CN"/>
        </w:rPr>
        <w:t>2025-11-1</w:t>
      </w:r>
      <w:r>
        <w:rPr>
          <w:rFonts w:hint="eastAsia" w:ascii="仿宋" w:hAnsi="仿宋" w:eastAsia="仿宋" w:cs="仿宋"/>
          <w:sz w:val="21"/>
        </w:rPr>
        <w:t>”招标文件和依据此文件产生的中标结果，经甲、乙双方平等协商，签订本合同。</w:t>
      </w:r>
    </w:p>
    <w:p w14:paraId="1DFC735E">
      <w:pPr>
        <w:kinsoku w:val="0"/>
        <w:wordWrap w:val="0"/>
        <w:topLinePunct/>
        <w:spacing w:line="340" w:lineRule="exact"/>
        <w:rPr>
          <w:rFonts w:hint="eastAsia" w:ascii="仿宋" w:hAnsi="仿宋" w:eastAsia="仿宋" w:cs="仿宋"/>
          <w:sz w:val="21"/>
        </w:rPr>
      </w:pPr>
    </w:p>
    <w:p w14:paraId="2EDE64F5">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一．下列合同文件是构成本合同不可分割的部分：</w:t>
      </w:r>
    </w:p>
    <w:p w14:paraId="135B7B82">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1. 合同条款</w:t>
      </w:r>
    </w:p>
    <w:p w14:paraId="26A739CD">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2.中标公告</w:t>
      </w:r>
    </w:p>
    <w:p w14:paraId="00BD5B51">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3. 其他文件或材料</w:t>
      </w:r>
    </w:p>
    <w:p w14:paraId="49739FBD">
      <w:pPr>
        <w:kinsoku w:val="0"/>
        <w:wordWrap w:val="0"/>
        <w:topLinePunct/>
        <w:spacing w:line="340" w:lineRule="exact"/>
        <w:rPr>
          <w:rFonts w:hint="eastAsia" w:ascii="仿宋" w:hAnsi="仿宋" w:eastAsia="仿宋" w:cs="仿宋"/>
          <w:b/>
          <w:sz w:val="21"/>
        </w:rPr>
      </w:pPr>
      <w:r>
        <w:rPr>
          <w:rFonts w:hint="eastAsia" w:ascii="仿宋" w:hAnsi="仿宋" w:eastAsia="仿宋" w:cs="仿宋"/>
          <w:b/>
          <w:sz w:val="21"/>
        </w:rPr>
        <w:t>二．服务费用报价</w:t>
      </w:r>
    </w:p>
    <w:tbl>
      <w:tblPr>
        <w:tblStyle w:val="22"/>
        <w:tblW w:w="0" w:type="auto"/>
        <w:tblInd w:w="6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5"/>
        <w:gridCol w:w="870"/>
        <w:gridCol w:w="932"/>
        <w:gridCol w:w="1819"/>
        <w:gridCol w:w="1280"/>
        <w:gridCol w:w="1720"/>
      </w:tblGrid>
      <w:tr w14:paraId="1F5B1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45" w:type="dxa"/>
            <w:tcBorders>
              <w:tl2br w:val="nil"/>
              <w:tr2bl w:val="nil"/>
            </w:tcBorders>
          </w:tcPr>
          <w:p w14:paraId="4D7F1310">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服务名称</w:t>
            </w:r>
          </w:p>
          <w:p w14:paraId="3789D643">
            <w:pPr>
              <w:kinsoku w:val="0"/>
              <w:wordWrap w:val="0"/>
              <w:topLinePunct/>
              <w:spacing w:line="340" w:lineRule="exact"/>
              <w:rPr>
                <w:rFonts w:hint="eastAsia" w:ascii="仿宋" w:hAnsi="仿宋" w:eastAsia="仿宋" w:cs="仿宋"/>
                <w:sz w:val="21"/>
                <w:szCs w:val="21"/>
              </w:rPr>
            </w:pPr>
          </w:p>
        </w:tc>
        <w:tc>
          <w:tcPr>
            <w:tcW w:w="870" w:type="dxa"/>
            <w:tcBorders>
              <w:tl2br w:val="nil"/>
              <w:tr2bl w:val="nil"/>
            </w:tcBorders>
          </w:tcPr>
          <w:p w14:paraId="58DD48DF">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数量</w:t>
            </w:r>
          </w:p>
        </w:tc>
        <w:tc>
          <w:tcPr>
            <w:tcW w:w="932" w:type="dxa"/>
            <w:tcBorders>
              <w:tl2br w:val="nil"/>
              <w:tr2bl w:val="nil"/>
            </w:tcBorders>
          </w:tcPr>
          <w:p w14:paraId="2AAF51FA">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单位</w:t>
            </w:r>
          </w:p>
        </w:tc>
        <w:tc>
          <w:tcPr>
            <w:tcW w:w="1819" w:type="dxa"/>
            <w:tcBorders>
              <w:tl2br w:val="nil"/>
              <w:tr2bl w:val="nil"/>
            </w:tcBorders>
          </w:tcPr>
          <w:p w14:paraId="66838CDC">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提供服务期限</w:t>
            </w:r>
          </w:p>
        </w:tc>
        <w:tc>
          <w:tcPr>
            <w:tcW w:w="1280" w:type="dxa"/>
            <w:tcBorders>
              <w:tl2br w:val="nil"/>
              <w:tr2bl w:val="nil"/>
            </w:tcBorders>
          </w:tcPr>
          <w:p w14:paraId="3183F4CA">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单价(元)</w:t>
            </w:r>
          </w:p>
        </w:tc>
        <w:tc>
          <w:tcPr>
            <w:tcW w:w="1720" w:type="dxa"/>
            <w:tcBorders>
              <w:tl2br w:val="nil"/>
              <w:tr2bl w:val="nil"/>
            </w:tcBorders>
          </w:tcPr>
          <w:p w14:paraId="2748772A">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总价(元)</w:t>
            </w:r>
          </w:p>
        </w:tc>
      </w:tr>
      <w:tr w14:paraId="78D65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1845" w:type="dxa"/>
            <w:tcBorders>
              <w:tl2br w:val="nil"/>
              <w:tr2bl w:val="nil"/>
            </w:tcBorders>
          </w:tcPr>
          <w:p w14:paraId="338CF470">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bCs/>
                <w:sz w:val="21"/>
                <w:szCs w:val="21"/>
              </w:rPr>
              <w:t>血管再狭窄机制研究及特异性基因敲除小鼠模型构建与造模</w:t>
            </w:r>
            <w:r>
              <w:rPr>
                <w:rFonts w:hint="default" w:ascii="仿宋" w:hAnsi="仿宋" w:eastAsia="仿宋" w:cs="仿宋"/>
                <w:sz w:val="21"/>
                <w:szCs w:val="21"/>
                <w:lang w:val="en-US" w:eastAsia="zh-CN"/>
              </w:rPr>
              <w:t>服务</w:t>
            </w:r>
          </w:p>
        </w:tc>
        <w:tc>
          <w:tcPr>
            <w:tcW w:w="870" w:type="dxa"/>
            <w:tcBorders>
              <w:tl2br w:val="nil"/>
              <w:tr2bl w:val="nil"/>
            </w:tcBorders>
          </w:tcPr>
          <w:p w14:paraId="321ED449">
            <w:pPr>
              <w:kinsoku w:val="0"/>
              <w:wordWrap w:val="0"/>
              <w:topLinePunct/>
              <w:spacing w:line="340" w:lineRule="exact"/>
              <w:rPr>
                <w:rFonts w:hint="eastAsia" w:ascii="仿宋" w:hAnsi="仿宋" w:eastAsia="仿宋" w:cs="仿宋"/>
                <w:sz w:val="21"/>
                <w:szCs w:val="21"/>
              </w:rPr>
            </w:pPr>
          </w:p>
        </w:tc>
        <w:tc>
          <w:tcPr>
            <w:tcW w:w="932" w:type="dxa"/>
            <w:tcBorders>
              <w:tl2br w:val="nil"/>
              <w:tr2bl w:val="nil"/>
            </w:tcBorders>
          </w:tcPr>
          <w:p w14:paraId="357D3D59">
            <w:pPr>
              <w:kinsoku w:val="0"/>
              <w:wordWrap w:val="0"/>
              <w:topLinePunct/>
              <w:spacing w:line="340" w:lineRule="exact"/>
              <w:rPr>
                <w:rFonts w:hint="eastAsia" w:ascii="仿宋" w:hAnsi="仿宋" w:eastAsia="仿宋" w:cs="仿宋"/>
                <w:sz w:val="21"/>
                <w:szCs w:val="21"/>
              </w:rPr>
            </w:pPr>
          </w:p>
        </w:tc>
        <w:tc>
          <w:tcPr>
            <w:tcW w:w="1819" w:type="dxa"/>
            <w:tcBorders>
              <w:tl2br w:val="nil"/>
              <w:tr2bl w:val="nil"/>
            </w:tcBorders>
          </w:tcPr>
          <w:p w14:paraId="6133F3DA">
            <w:pPr>
              <w:kinsoku w:val="0"/>
              <w:wordWrap w:val="0"/>
              <w:topLinePunct/>
              <w:spacing w:line="340" w:lineRule="exact"/>
              <w:rPr>
                <w:rFonts w:hint="eastAsia" w:ascii="仿宋" w:hAnsi="仿宋" w:eastAsia="仿宋" w:cs="仿宋"/>
                <w:sz w:val="21"/>
                <w:szCs w:val="21"/>
              </w:rPr>
            </w:pPr>
          </w:p>
        </w:tc>
        <w:tc>
          <w:tcPr>
            <w:tcW w:w="1280" w:type="dxa"/>
            <w:tcBorders>
              <w:tl2br w:val="nil"/>
              <w:tr2bl w:val="nil"/>
            </w:tcBorders>
          </w:tcPr>
          <w:p w14:paraId="5A635B22">
            <w:pPr>
              <w:kinsoku w:val="0"/>
              <w:wordWrap w:val="0"/>
              <w:topLinePunct/>
              <w:spacing w:line="340" w:lineRule="exact"/>
              <w:rPr>
                <w:rFonts w:hint="eastAsia" w:ascii="仿宋" w:hAnsi="仿宋" w:eastAsia="仿宋" w:cs="仿宋"/>
                <w:sz w:val="21"/>
                <w:szCs w:val="21"/>
              </w:rPr>
            </w:pPr>
          </w:p>
        </w:tc>
        <w:tc>
          <w:tcPr>
            <w:tcW w:w="1720" w:type="dxa"/>
            <w:tcBorders>
              <w:tl2br w:val="nil"/>
              <w:tr2bl w:val="nil"/>
            </w:tcBorders>
          </w:tcPr>
          <w:p w14:paraId="50E0A4B6">
            <w:pPr>
              <w:kinsoku w:val="0"/>
              <w:wordWrap w:val="0"/>
              <w:topLinePunct/>
              <w:spacing w:line="340" w:lineRule="exact"/>
              <w:rPr>
                <w:rFonts w:hint="eastAsia" w:ascii="仿宋" w:hAnsi="仿宋" w:eastAsia="仿宋" w:cs="仿宋"/>
                <w:sz w:val="21"/>
                <w:szCs w:val="21"/>
              </w:rPr>
            </w:pPr>
          </w:p>
        </w:tc>
      </w:tr>
      <w:tr w14:paraId="1E4F8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8" w:hRule="atLeast"/>
        </w:trPr>
        <w:tc>
          <w:tcPr>
            <w:tcW w:w="1845" w:type="dxa"/>
            <w:tcBorders>
              <w:tl2br w:val="nil"/>
              <w:tr2bl w:val="nil"/>
            </w:tcBorders>
          </w:tcPr>
          <w:p w14:paraId="19095A0A">
            <w:pPr>
              <w:kinsoku w:val="0"/>
              <w:wordWrap w:val="0"/>
              <w:topLinePunct/>
              <w:spacing w:line="340" w:lineRule="exact"/>
              <w:rPr>
                <w:rFonts w:hint="eastAsia" w:ascii="_x000B__x000C_" w:hAnsi="_x000B__x000C_"/>
                <w:sz w:val="21"/>
                <w:szCs w:val="21"/>
              </w:rPr>
            </w:pPr>
          </w:p>
          <w:p w14:paraId="5B696A6E">
            <w:pPr>
              <w:kinsoku w:val="0"/>
              <w:wordWrap w:val="0"/>
              <w:topLinePunct/>
              <w:spacing w:line="340" w:lineRule="exact"/>
              <w:rPr>
                <w:rFonts w:hint="eastAsia" w:ascii="_x000B__x000C_" w:hAnsi="_x000B__x000C_"/>
                <w:sz w:val="21"/>
                <w:szCs w:val="21"/>
              </w:rPr>
            </w:pPr>
            <w:r>
              <w:rPr>
                <w:rFonts w:hint="eastAsia" w:ascii="_x000B__x000C_" w:hAnsi="_x000B__x000C_"/>
                <w:sz w:val="21"/>
                <w:szCs w:val="21"/>
              </w:rPr>
              <w:t>总报价</w:t>
            </w:r>
          </w:p>
        </w:tc>
        <w:tc>
          <w:tcPr>
            <w:tcW w:w="6621" w:type="dxa"/>
            <w:gridSpan w:val="5"/>
            <w:tcBorders>
              <w:tl2br w:val="nil"/>
              <w:tr2bl w:val="nil"/>
            </w:tcBorders>
          </w:tcPr>
          <w:p w14:paraId="6D3642D0">
            <w:pPr>
              <w:kinsoku w:val="0"/>
              <w:wordWrap w:val="0"/>
              <w:topLinePunct/>
              <w:spacing w:line="340" w:lineRule="exact"/>
              <w:rPr>
                <w:rFonts w:hint="eastAsia" w:ascii="仿宋" w:hAnsi="仿宋" w:eastAsia="仿宋" w:cs="仿宋"/>
                <w:sz w:val="21"/>
                <w:szCs w:val="21"/>
              </w:rPr>
            </w:pPr>
          </w:p>
          <w:p w14:paraId="741EBAC0">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大写：                          小写：</w:t>
            </w:r>
          </w:p>
        </w:tc>
      </w:tr>
    </w:tbl>
    <w:p w14:paraId="78E99A05">
      <w:pPr>
        <w:kinsoku w:val="0"/>
        <w:wordWrap w:val="0"/>
        <w:topLinePunct/>
        <w:spacing w:line="340" w:lineRule="exact"/>
        <w:rPr>
          <w:rFonts w:hint="eastAsia" w:ascii="仿宋" w:hAnsi="仿宋" w:eastAsia="仿宋" w:cs="仿宋"/>
          <w:b/>
          <w:sz w:val="21"/>
        </w:rPr>
      </w:pPr>
      <w:r>
        <w:rPr>
          <w:rFonts w:hint="eastAsia" w:ascii="仿宋" w:hAnsi="仿宋" w:eastAsia="仿宋" w:cs="仿宋"/>
          <w:b/>
          <w:sz w:val="21"/>
        </w:rPr>
        <w:t xml:space="preserve">     </w:t>
      </w:r>
    </w:p>
    <w:p w14:paraId="1C133CC2">
      <w:pPr>
        <w:kinsoku w:val="0"/>
        <w:wordWrap w:val="0"/>
        <w:topLinePunct/>
        <w:spacing w:line="340" w:lineRule="exact"/>
        <w:rPr>
          <w:rFonts w:hint="eastAsia" w:ascii="仿宋" w:hAnsi="仿宋" w:eastAsia="仿宋" w:cs="仿宋"/>
          <w:b/>
          <w:sz w:val="21"/>
        </w:rPr>
      </w:pPr>
    </w:p>
    <w:p w14:paraId="2C294528">
      <w:pPr>
        <w:numPr>
          <w:ilvl w:val="0"/>
          <w:numId w:val="12"/>
        </w:numPr>
        <w:kinsoku w:val="0"/>
        <w:wordWrap w:val="0"/>
        <w:topLinePunct/>
        <w:spacing w:line="340" w:lineRule="exact"/>
        <w:rPr>
          <w:rFonts w:hint="eastAsia" w:ascii="仿宋" w:hAnsi="仿宋" w:eastAsia="仿宋" w:cs="仿宋"/>
          <w:b/>
          <w:sz w:val="21"/>
        </w:rPr>
      </w:pPr>
      <w:r>
        <w:rPr>
          <w:rFonts w:hint="eastAsia" w:ascii="仿宋" w:hAnsi="仿宋" w:eastAsia="仿宋" w:cs="仿宋"/>
          <w:b/>
          <w:sz w:val="21"/>
        </w:rPr>
        <w:t>服务类项目要求及供方对质量负责的条件和期限：</w:t>
      </w:r>
    </w:p>
    <w:p w14:paraId="7DCA53AD">
      <w:pPr>
        <w:spacing w:line="360" w:lineRule="auto"/>
        <w:ind w:firstLine="262" w:firstLineChars="100"/>
        <w:rPr>
          <w:rFonts w:hint="eastAsia" w:ascii="仿宋" w:hAnsi="仿宋" w:eastAsia="仿宋" w:cs="仿宋"/>
          <w:b/>
          <w:sz w:val="21"/>
          <w:szCs w:val="21"/>
        </w:rPr>
      </w:pPr>
      <w:r>
        <w:rPr>
          <w:rFonts w:hint="eastAsia" w:ascii="仿宋" w:hAnsi="仿宋" w:eastAsia="仿宋" w:cs="仿宋"/>
          <w:b/>
          <w:sz w:val="21"/>
          <w:szCs w:val="21"/>
        </w:rPr>
        <w:t xml:space="preserve">（一）  </w:t>
      </w:r>
      <w:r>
        <w:rPr>
          <w:rFonts w:hint="eastAsia" w:ascii="仿宋" w:hAnsi="仿宋" w:eastAsia="仿宋" w:cs="仿宋"/>
          <w:b/>
          <w:bCs/>
          <w:sz w:val="21"/>
          <w:szCs w:val="21"/>
        </w:rPr>
        <w:t>服务内容：</w:t>
      </w:r>
    </w:p>
    <w:p w14:paraId="63B04440">
      <w:pPr>
        <w:spacing w:line="360" w:lineRule="auto"/>
        <w:ind w:firstLine="524" w:firstLineChars="200"/>
        <w:rPr>
          <w:sz w:val="21"/>
          <w:szCs w:val="21"/>
        </w:rPr>
      </w:pPr>
      <w:r>
        <w:rPr>
          <w:rFonts w:hint="eastAsia"/>
          <w:sz w:val="21"/>
          <w:szCs w:val="21"/>
        </w:rPr>
        <w:t>1、提供内皮条件性基因敲除小鼠模型：根据实验进展，需要在12个月内完成，交付6对SPF级内皮诱导型条件性敲除纯合子小鼠以及6对对照小鼠，用于后续小鼠手术造模服务。同时提供条件性基因敲除小鼠模型鉴定报告和质量合格证。</w:t>
      </w:r>
    </w:p>
    <w:p w14:paraId="522C87A3">
      <w:pPr>
        <w:spacing w:line="360" w:lineRule="auto"/>
        <w:ind w:firstLine="524" w:firstLineChars="200"/>
        <w:rPr>
          <w:sz w:val="21"/>
          <w:szCs w:val="21"/>
        </w:rPr>
      </w:pPr>
      <w:r>
        <w:rPr>
          <w:rFonts w:hint="eastAsia"/>
          <w:sz w:val="21"/>
          <w:szCs w:val="21"/>
        </w:rPr>
        <w:t>2、提供平滑肌条件性基因敲除小鼠模型：根据实验进展，需要在12个月内完成，交付6对SPF级平滑肌诱导型条件性敲除纯合子小鼠以及6对对照小鼠，用于后续小鼠手术造模服务。同时提供条件性基因敲除小鼠模型鉴定报告和质量合格证。</w:t>
      </w:r>
    </w:p>
    <w:p w14:paraId="113D0D19">
      <w:pPr>
        <w:spacing w:line="360" w:lineRule="auto"/>
        <w:ind w:firstLine="524" w:firstLineChars="200"/>
        <w:rPr>
          <w:sz w:val="21"/>
          <w:szCs w:val="21"/>
        </w:rPr>
      </w:pPr>
      <w:r>
        <w:rPr>
          <w:rFonts w:hint="eastAsia"/>
          <w:sz w:val="21"/>
          <w:szCs w:val="21"/>
        </w:rPr>
        <w:t>3、提供小鼠手术造模服务：体内</w:t>
      </w:r>
      <w:r>
        <w:rPr>
          <w:sz w:val="21"/>
          <w:szCs w:val="21"/>
        </w:rPr>
        <w:t>tamoxifen</w:t>
      </w:r>
      <w:r>
        <w:rPr>
          <w:rFonts w:hint="eastAsia"/>
          <w:sz w:val="21"/>
          <w:szCs w:val="21"/>
        </w:rPr>
        <w:t>诱导，采用金属导丝内皮刮伤方式行股动脉损伤狭窄造模，事后采血、取肺、主动脉、股动脉石蜡包埋交付。</w:t>
      </w:r>
    </w:p>
    <w:p w14:paraId="5E52B69F">
      <w:pPr>
        <w:spacing w:line="360" w:lineRule="auto"/>
        <w:ind w:firstLine="524" w:firstLineChars="200"/>
        <w:rPr>
          <w:sz w:val="21"/>
          <w:szCs w:val="21"/>
        </w:rPr>
      </w:pPr>
      <w:r>
        <w:rPr>
          <w:rFonts w:hint="eastAsia"/>
          <w:sz w:val="21"/>
          <w:szCs w:val="21"/>
          <w:lang w:val="en-US" w:eastAsia="zh-CN"/>
        </w:rPr>
        <w:t>4</w:t>
      </w:r>
      <w:r>
        <w:rPr>
          <w:rFonts w:hint="eastAsia"/>
          <w:sz w:val="21"/>
          <w:szCs w:val="21"/>
        </w:rPr>
        <w:t>、服务流程</w:t>
      </w:r>
    </w:p>
    <w:p w14:paraId="0F76F12E">
      <w:pPr>
        <w:spacing w:line="360" w:lineRule="auto"/>
        <w:ind w:firstLine="524" w:firstLineChars="200"/>
        <w:rPr>
          <w:sz w:val="21"/>
          <w:szCs w:val="21"/>
        </w:rPr>
      </w:pPr>
      <w:r>
        <w:rPr>
          <w:rFonts w:hint="eastAsia"/>
          <w:sz w:val="21"/>
          <w:szCs w:val="21"/>
        </w:rPr>
        <w:t>（1）确认靶基因信息：根据采购人提供的基因信息及实验要求，选择在目的基因蛋白功能保守区定点插入 FloxP 位点，为此设计gRNA序列并验证体外活性；</w:t>
      </w:r>
    </w:p>
    <w:p w14:paraId="0C1837A6">
      <w:pPr>
        <w:spacing w:line="360" w:lineRule="auto"/>
        <w:ind w:firstLine="524" w:firstLineChars="200"/>
        <w:rPr>
          <w:sz w:val="21"/>
          <w:szCs w:val="21"/>
        </w:rPr>
      </w:pPr>
      <w:r>
        <w:rPr>
          <w:rFonts w:hint="eastAsia"/>
          <w:sz w:val="21"/>
          <w:szCs w:val="21"/>
        </w:rPr>
        <w:t>（2）同源重组模板（Donor 质粒）的构建：根据有高活性的 gRNA 靶点位置设计并构建 Donor DNA。</w:t>
      </w:r>
    </w:p>
    <w:p w14:paraId="4AD6FFE2">
      <w:pPr>
        <w:spacing w:line="360" w:lineRule="auto"/>
        <w:ind w:firstLine="524" w:firstLineChars="200"/>
        <w:rPr>
          <w:sz w:val="21"/>
          <w:szCs w:val="21"/>
        </w:rPr>
      </w:pPr>
      <w:r>
        <w:rPr>
          <w:rFonts w:hint="eastAsia"/>
          <w:sz w:val="21"/>
          <w:szCs w:val="21"/>
        </w:rPr>
        <w:t>（3）显微注射、</w:t>
      </w:r>
      <w:r>
        <w:rPr>
          <w:sz w:val="21"/>
          <w:szCs w:val="21"/>
        </w:rPr>
        <w:t>FloxP</w:t>
      </w:r>
      <w:r>
        <w:rPr>
          <w:rFonts w:hint="eastAsia"/>
          <w:sz w:val="21"/>
          <w:szCs w:val="21"/>
        </w:rPr>
        <w:t xml:space="preserve"> 鼠F0代鉴定：将Donor、gRNA和Cas9蛋白共同注射到受精卵，显微注射后的受精卵送回到代孕鼠输卵管中；小鼠出生后3周龄进行PCR和测序鉴定，获得阳性F0鼠。</w:t>
      </w:r>
    </w:p>
    <w:p w14:paraId="09BB5A69">
      <w:pPr>
        <w:spacing w:line="360" w:lineRule="auto"/>
        <w:ind w:firstLine="524" w:firstLineChars="200"/>
        <w:rPr>
          <w:sz w:val="21"/>
          <w:szCs w:val="21"/>
        </w:rPr>
      </w:pPr>
      <w:r>
        <w:rPr>
          <w:rFonts w:hint="eastAsia"/>
          <w:sz w:val="21"/>
          <w:szCs w:val="21"/>
        </w:rPr>
        <w:t>（4）</w:t>
      </w:r>
      <w:r>
        <w:rPr>
          <w:sz w:val="21"/>
          <w:szCs w:val="21"/>
        </w:rPr>
        <w:t>FloxP</w:t>
      </w:r>
      <w:r>
        <w:rPr>
          <w:rFonts w:hint="eastAsia"/>
          <w:sz w:val="21"/>
          <w:szCs w:val="21"/>
        </w:rPr>
        <w:t xml:space="preserve"> 鼠F1代繁殖：阳性F0鼠性成熟后分别与野生型鼠配繁1代，通过PCR鉴定确认F1阳性小鼠。</w:t>
      </w:r>
    </w:p>
    <w:p w14:paraId="63C3005A">
      <w:pPr>
        <w:spacing w:line="360" w:lineRule="auto"/>
        <w:ind w:firstLine="524" w:firstLineChars="200"/>
        <w:rPr>
          <w:sz w:val="21"/>
          <w:szCs w:val="21"/>
        </w:rPr>
      </w:pPr>
      <w:r>
        <w:rPr>
          <w:rFonts w:hint="eastAsia"/>
          <w:sz w:val="21"/>
          <w:szCs w:val="21"/>
        </w:rPr>
        <w:t>（5）繁育内皮诱导型敲除纯合子：F1阳性鼠和Cdh5-creERT2小鼠配繁获得内皮诱导型敲除纯合子，提供6对SPF级敲除纯合子小鼠以及6对对照小鼠。</w:t>
      </w:r>
    </w:p>
    <w:p w14:paraId="6DC35E56">
      <w:pPr>
        <w:spacing w:line="360" w:lineRule="auto"/>
        <w:ind w:firstLine="524" w:firstLineChars="200"/>
        <w:rPr>
          <w:sz w:val="21"/>
          <w:szCs w:val="21"/>
        </w:rPr>
      </w:pPr>
      <w:r>
        <w:rPr>
          <w:rFonts w:hint="eastAsia"/>
          <w:sz w:val="21"/>
          <w:szCs w:val="21"/>
        </w:rPr>
        <w:t>（6）繁育血管平滑肌诱导型敲除纯合子：F1阳性鼠和SM22a-creERT2小鼠配繁获得血管平滑肌诱导型敲除纯合子，提供6对SPF级敲除纯合子小鼠以及6对对照小鼠。</w:t>
      </w:r>
    </w:p>
    <w:p w14:paraId="3DA31B32">
      <w:pPr>
        <w:spacing w:line="360" w:lineRule="auto"/>
        <w:ind w:firstLine="524" w:firstLineChars="200"/>
        <w:rPr>
          <w:rFonts w:hint="eastAsia" w:ascii="Times New Roman" w:hAnsi="Times New Roman" w:cs="Times New Roman"/>
          <w:sz w:val="21"/>
          <w:szCs w:val="21"/>
          <w:lang w:val="en-US" w:eastAsia="zh-CN"/>
        </w:rPr>
      </w:pPr>
      <w:r>
        <w:rPr>
          <w:rFonts w:hint="eastAsia"/>
          <w:sz w:val="21"/>
          <w:szCs w:val="21"/>
        </w:rPr>
        <w:t>（7）股动脉损伤狭窄手术造模：将得到的纯合子小鼠在6 周龄接受为期 1周的 Tamoxifen 注射诱导，1周后行股动脉损伤狭窄手术造模，造模周期：14-28天。最后取血、股动脉、主动脉、肺，做石蜡包埋交付。</w:t>
      </w:r>
    </w:p>
    <w:p w14:paraId="1B32D7B8">
      <w:pPr>
        <w:spacing w:line="360" w:lineRule="auto"/>
        <w:outlineLvl w:val="1"/>
        <w:rPr>
          <w:rFonts w:hint="eastAsia"/>
          <w:b/>
          <w:bCs/>
          <w:sz w:val="21"/>
          <w:szCs w:val="21"/>
        </w:rPr>
      </w:pPr>
      <w:r>
        <w:rPr>
          <w:rFonts w:hint="eastAsia"/>
          <w:b/>
          <w:bCs/>
          <w:sz w:val="21"/>
          <w:szCs w:val="21"/>
        </w:rPr>
        <w:t>三．质量要求、技术标准：</w:t>
      </w:r>
    </w:p>
    <w:p w14:paraId="5984D679">
      <w:pPr>
        <w:spacing w:line="360" w:lineRule="auto"/>
        <w:ind w:firstLine="524" w:firstLineChars="200"/>
        <w:outlineLvl w:val="1"/>
        <w:rPr>
          <w:rFonts w:hint="eastAsia"/>
          <w:sz w:val="21"/>
          <w:szCs w:val="21"/>
        </w:rPr>
      </w:pPr>
      <w:r>
        <w:rPr>
          <w:rFonts w:hint="eastAsia"/>
          <w:sz w:val="21"/>
          <w:szCs w:val="21"/>
        </w:rPr>
        <w:t>1、免疫学研究的开展需要严格的无特定病原体（SPF）级的小鼠饲养与繁育。</w:t>
      </w:r>
    </w:p>
    <w:p w14:paraId="2754D614">
      <w:pPr>
        <w:spacing w:line="360" w:lineRule="auto"/>
        <w:ind w:firstLine="524" w:firstLineChars="200"/>
        <w:outlineLvl w:val="1"/>
        <w:rPr>
          <w:rFonts w:hint="eastAsia"/>
          <w:sz w:val="21"/>
          <w:szCs w:val="21"/>
        </w:rPr>
      </w:pPr>
      <w:r>
        <w:rPr>
          <w:rFonts w:hint="eastAsia"/>
          <w:sz w:val="21"/>
          <w:szCs w:val="21"/>
        </w:rPr>
        <w:t>2、每个小鼠品种和品系都有各自的遗传特点，在实验小鼠生产、繁殖和应用过程中，必须保证符合规定的标准遗传组成。</w:t>
      </w:r>
    </w:p>
    <w:p w14:paraId="6A00BF11">
      <w:pPr>
        <w:spacing w:line="360" w:lineRule="auto"/>
        <w:ind w:firstLine="524" w:firstLineChars="200"/>
        <w:outlineLvl w:val="1"/>
        <w:rPr>
          <w:rFonts w:hint="eastAsia"/>
          <w:sz w:val="21"/>
          <w:szCs w:val="21"/>
        </w:rPr>
      </w:pPr>
      <w:r>
        <w:rPr>
          <w:rFonts w:hint="eastAsia"/>
          <w:sz w:val="21"/>
          <w:szCs w:val="21"/>
        </w:rPr>
        <w:t>3、必须有完善的培训体系和质量管理体系，对技术人员的操作严格要求，以保障动物的质量和屏障洁净达到要求。</w:t>
      </w:r>
    </w:p>
    <w:p w14:paraId="65497136">
      <w:pPr>
        <w:spacing w:line="360" w:lineRule="auto"/>
        <w:ind w:firstLine="524" w:firstLineChars="200"/>
        <w:outlineLvl w:val="1"/>
        <w:rPr>
          <w:rFonts w:hint="eastAsia"/>
          <w:sz w:val="21"/>
          <w:szCs w:val="21"/>
          <w:lang w:val="en-US" w:eastAsia="zh-CN"/>
        </w:rPr>
      </w:pPr>
      <w:r>
        <w:rPr>
          <w:rFonts w:hint="eastAsia"/>
          <w:sz w:val="21"/>
          <w:szCs w:val="21"/>
        </w:rPr>
        <w:t>4、专业的技术支持，辅助设计实验方案，提供及时的项目进展汇报。</w:t>
      </w:r>
      <w:r>
        <w:rPr>
          <w:rFonts w:hint="eastAsia"/>
          <w:sz w:val="21"/>
          <w:szCs w:val="21"/>
          <w:lang w:val="en-US" w:eastAsia="zh-CN"/>
        </w:rPr>
        <w:t xml:space="preserve"> </w:t>
      </w:r>
    </w:p>
    <w:p w14:paraId="08B84261">
      <w:pPr>
        <w:spacing w:line="360" w:lineRule="auto"/>
        <w:ind w:firstLine="524" w:firstLineChars="200"/>
        <w:outlineLvl w:val="1"/>
        <w:rPr>
          <w:rFonts w:hint="eastAsia" w:ascii="仿宋" w:hAnsi="仿宋" w:eastAsia="仿宋" w:cs="仿宋"/>
          <w:sz w:val="21"/>
          <w:szCs w:val="21"/>
        </w:rPr>
      </w:pPr>
      <w:r>
        <w:rPr>
          <w:rFonts w:hint="eastAsia"/>
          <w:sz w:val="21"/>
          <w:szCs w:val="21"/>
        </w:rPr>
        <w:t>5、课题交付验收后可免费提供工作时间的售后服务和技术支持，免费进行疑难问题解答，并通过技术人员上门、往来信函、电话、传真、电子邮件等，解答客户遇到的各种技术问题。</w:t>
      </w:r>
    </w:p>
    <w:p w14:paraId="3E1436C5">
      <w:pPr>
        <w:spacing w:line="360" w:lineRule="auto"/>
        <w:ind w:left="-664" w:leftChars="-200" w:firstLine="524" w:firstLineChars="200"/>
        <w:rPr>
          <w:rFonts w:hint="eastAsia" w:ascii="仿宋" w:hAnsi="仿宋" w:eastAsia="仿宋" w:cs="仿宋"/>
          <w:b/>
          <w:bCs/>
          <w:sz w:val="21"/>
          <w:szCs w:val="21"/>
        </w:rPr>
      </w:pPr>
      <w:r>
        <w:rPr>
          <w:rFonts w:hint="eastAsia" w:ascii="仿宋" w:hAnsi="仿宋" w:eastAsia="仿宋" w:cs="仿宋"/>
          <w:b/>
          <w:bCs/>
          <w:sz w:val="21"/>
          <w:szCs w:val="21"/>
        </w:rPr>
        <w:t>四．验收方式、标准及提出异议期限：</w:t>
      </w:r>
    </w:p>
    <w:p w14:paraId="4D0C6F0E">
      <w:pPr>
        <w:spacing w:line="360" w:lineRule="auto"/>
        <w:ind w:firstLine="524" w:firstLineChars="200"/>
        <w:rPr>
          <w:sz w:val="21"/>
          <w:szCs w:val="21"/>
        </w:rPr>
      </w:pPr>
      <w:r>
        <w:rPr>
          <w:rFonts w:hint="eastAsia"/>
          <w:sz w:val="21"/>
          <w:szCs w:val="21"/>
        </w:rPr>
        <w:t>验收方式：专业运输车上门送达，免费运输。运输实验动物使用的转运工具和笼具，符合所运实验动物的微生物和环境质量控制标准，运输车及运输盒符合要求、温湿度达标、实时监控。同时提供项目基因型鉴定报告，实验记录数据。甲方在收到产品后如有异议，需在14个工作日内向乙方提出书面异议。</w:t>
      </w:r>
    </w:p>
    <w:p w14:paraId="409B02FE">
      <w:pPr>
        <w:spacing w:line="360" w:lineRule="auto"/>
        <w:ind w:left="526" w:hanging="524" w:hangingChars="200"/>
        <w:rPr>
          <w:rFonts w:hint="eastAsia" w:ascii="仿宋" w:hAnsi="仿宋" w:eastAsia="仿宋" w:cs="仿宋"/>
          <w:b/>
          <w:bCs/>
          <w:sz w:val="21"/>
          <w:szCs w:val="21"/>
        </w:rPr>
      </w:pPr>
      <w:r>
        <w:rPr>
          <w:rFonts w:hint="eastAsia" w:ascii="仿宋" w:hAnsi="仿宋" w:eastAsia="仿宋" w:cs="仿宋"/>
          <w:b/>
          <w:bCs/>
          <w:sz w:val="21"/>
          <w:szCs w:val="21"/>
        </w:rPr>
        <w:t>五、结算方式：</w:t>
      </w:r>
    </w:p>
    <w:p w14:paraId="66D06C41">
      <w:pPr>
        <w:spacing w:line="360" w:lineRule="auto"/>
        <w:ind w:firstLine="524" w:firstLineChars="200"/>
        <w:rPr>
          <w:rFonts w:hint="eastAsia" w:ascii="Times New Roman" w:hAnsi="Times New Roman" w:cs="Times New Roman"/>
          <w:sz w:val="21"/>
          <w:szCs w:val="21"/>
        </w:rPr>
      </w:pPr>
      <w:r>
        <w:rPr>
          <w:rFonts w:hint="eastAsia"/>
          <w:sz w:val="21"/>
          <w:szCs w:val="21"/>
        </w:rPr>
        <w:t>在合同生效后</w:t>
      </w:r>
      <w:r>
        <w:rPr>
          <w:rFonts w:hint="eastAsia"/>
          <w:sz w:val="21"/>
          <w:szCs w:val="21"/>
          <w:lang w:val="en-US" w:eastAsia="zh-CN"/>
        </w:rPr>
        <w:t>30</w:t>
      </w:r>
      <w:r>
        <w:rPr>
          <w:rFonts w:hint="eastAsia"/>
          <w:sz w:val="21"/>
          <w:szCs w:val="21"/>
        </w:rPr>
        <w:t>个工作日内，甲方凭乙方开具的增值税专用发票向乙方支付合同总额</w:t>
      </w:r>
      <w:r>
        <w:rPr>
          <w:rFonts w:hint="eastAsia"/>
          <w:sz w:val="21"/>
          <w:szCs w:val="21"/>
          <w:lang w:val="en-US" w:eastAsia="zh-CN"/>
        </w:rPr>
        <w:t>30</w:t>
      </w:r>
      <w:r>
        <w:rPr>
          <w:rFonts w:hint="eastAsia"/>
          <w:sz w:val="21"/>
          <w:szCs w:val="21"/>
        </w:rPr>
        <w:t>%的款项，乙方完成信息分析工作后，向甲方提供结题报告，提交全部数据和分析报告。甲方</w:t>
      </w:r>
      <w:r>
        <w:rPr>
          <w:rFonts w:hint="eastAsia" w:ascii="Times New Roman" w:hAnsi="Times New Roman" w:cs="Times New Roman"/>
          <w:sz w:val="21"/>
          <w:szCs w:val="21"/>
        </w:rPr>
        <w:t>确定无误后，凭乙方开具的增值税专用发票向乙方支付合同总额</w:t>
      </w:r>
      <w:r>
        <w:rPr>
          <w:rFonts w:hint="eastAsia" w:ascii="Times New Roman" w:hAnsi="Times New Roman" w:cs="Times New Roman"/>
          <w:sz w:val="21"/>
          <w:szCs w:val="21"/>
          <w:lang w:val="en-US" w:eastAsia="zh-CN"/>
        </w:rPr>
        <w:t>7</w:t>
      </w:r>
      <w:r>
        <w:rPr>
          <w:rFonts w:hint="eastAsia" w:ascii="Times New Roman" w:hAnsi="Times New Roman" w:cs="Times New Roman"/>
          <w:sz w:val="21"/>
          <w:szCs w:val="21"/>
        </w:rPr>
        <w:t>0%的剩余款项。</w:t>
      </w:r>
    </w:p>
    <w:p w14:paraId="01807F9B">
      <w:pPr>
        <w:spacing w:line="360" w:lineRule="auto"/>
        <w:ind w:left="526" w:hanging="524" w:hangingChars="200"/>
        <w:rPr>
          <w:rFonts w:hint="eastAsia" w:ascii="仿宋" w:hAnsi="仿宋" w:eastAsia="仿宋" w:cs="仿宋"/>
          <w:b/>
          <w:bCs/>
          <w:sz w:val="21"/>
          <w:szCs w:val="21"/>
        </w:rPr>
      </w:pPr>
      <w:r>
        <w:rPr>
          <w:rFonts w:hint="eastAsia" w:ascii="仿宋" w:hAnsi="仿宋" w:eastAsia="仿宋" w:cs="仿宋"/>
          <w:b/>
          <w:bCs/>
          <w:sz w:val="21"/>
          <w:szCs w:val="21"/>
        </w:rPr>
        <w:t>六、违约责任：</w:t>
      </w:r>
    </w:p>
    <w:p w14:paraId="5F4F7B98">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1、如“FloxP 鼠F1代”阶段乙方无法获得阳性鼠 ，乙方承诺退还甲方已付的全部款项。</w:t>
      </w:r>
    </w:p>
    <w:p w14:paraId="3CB4D19C">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2、乙方如无正当理由提前终止合同 ，所收取费用及剩余实验材料应当全部退还给甲方。</w:t>
      </w:r>
    </w:p>
    <w:p w14:paraId="68DC3126">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3、如因乙方过错导致项目超出服务期限，乙方应及时与甲方沟通，协商处理方式，并每日按合同总额1‰偿付违约金。</w:t>
      </w:r>
    </w:p>
    <w:p w14:paraId="04B14DE7">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4、如因乙方过错提供的项目成果不符合合同规定时，甲方有权拒收并要求乙方应重新免费提供服务。</w:t>
      </w:r>
    </w:p>
    <w:p w14:paraId="5127E800">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5、若由于甲方单方面要求终止项目 ，则甲方应支付乙方已完成项目阶段的费用 ，乙方可将已完成阶段的项目成果交付给甲方。</w:t>
      </w:r>
    </w:p>
    <w:p w14:paraId="226FEDA9">
      <w:pPr>
        <w:spacing w:line="360" w:lineRule="auto"/>
        <w:ind w:left="526" w:hanging="524" w:hangingChars="200"/>
        <w:rPr>
          <w:rFonts w:hint="eastAsia" w:ascii="仿宋" w:hAnsi="仿宋" w:eastAsia="仿宋" w:cs="仿宋"/>
          <w:b/>
          <w:bCs/>
          <w:sz w:val="21"/>
          <w:szCs w:val="21"/>
        </w:rPr>
      </w:pPr>
      <w:r>
        <w:rPr>
          <w:rFonts w:hint="eastAsia" w:ascii="仿宋" w:hAnsi="仿宋" w:eastAsia="仿宋" w:cs="仿宋"/>
          <w:b/>
          <w:bCs/>
          <w:sz w:val="21"/>
          <w:szCs w:val="21"/>
        </w:rPr>
        <w:t>七、知识产权：</w:t>
      </w:r>
    </w:p>
    <w:p w14:paraId="31C4C578">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1、本委托项目下产生的技术服务成果为甲方所有，甲方拥有本委托项目下专利技术服务成果的专利申请权。</w:t>
      </w:r>
    </w:p>
    <w:p w14:paraId="635F281A">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2、本委托项目中所使用的属于甲方的知识产权，仍为甲方所有，甲方对这类知识产权的使用承担全部法律责任。甲方保证“甲方知识产权”不会侵犯任何第三方的知识产权。</w:t>
      </w:r>
    </w:p>
    <w:p w14:paraId="6A470C6E">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3、本委托项目中所使用的属于乙方的知识产权(包括不限于乙方独立开发的工具、方法、技术服务过程或数据、技术诀窍、工艺、软件、模版、程序、操作指南或其他知识产权)仍为乙方所有，乙方对这类知识产权的使用承担全部法律责任，乙方对乙方知识产权的任何改进、优化等仍归属乙方所有。乙方在此给予甲方一个有限许可，使甲方为科研目的、为实现本合同项目成果以不可转让、不可分许可之形式使用“乙方知识产权”。乙方保证“乙方知识产权”不会侵犯任何第三方的知识产权。</w:t>
      </w:r>
    </w:p>
    <w:p w14:paraId="1EF0F715">
      <w:pPr>
        <w:spacing w:line="360" w:lineRule="auto"/>
        <w:ind w:left="526" w:hanging="524" w:hangingChars="200"/>
        <w:rPr>
          <w:rFonts w:hint="eastAsia" w:ascii="仿宋" w:hAnsi="仿宋" w:eastAsia="仿宋" w:cs="仿宋"/>
          <w:b/>
          <w:bCs/>
          <w:sz w:val="21"/>
          <w:szCs w:val="21"/>
        </w:rPr>
      </w:pPr>
      <w:r>
        <w:rPr>
          <w:rFonts w:hint="eastAsia" w:ascii="仿宋" w:hAnsi="仿宋" w:eastAsia="仿宋" w:cs="仿宋"/>
          <w:b/>
          <w:bCs/>
          <w:sz w:val="21"/>
          <w:szCs w:val="21"/>
          <w:lang w:eastAsia="zh-CN"/>
        </w:rPr>
        <w:t>八．</w:t>
      </w:r>
      <w:r>
        <w:rPr>
          <w:rFonts w:hint="eastAsia" w:ascii="仿宋" w:hAnsi="仿宋" w:eastAsia="仿宋" w:cs="仿宋"/>
          <w:b/>
          <w:bCs/>
          <w:sz w:val="21"/>
          <w:szCs w:val="21"/>
        </w:rPr>
        <w:t>售后服务</w:t>
      </w:r>
    </w:p>
    <w:p w14:paraId="5BE48AAC">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课题交付验收后可免费提供工作时间的售后服务和技术支持，免费进行疑难问题解答，并通过技术人员上门、往来信函、电话、传真、电子邮件等，解答客户遇到的各种技术问题。</w:t>
      </w:r>
    </w:p>
    <w:p w14:paraId="59BB52EE">
      <w:pPr>
        <w:spacing w:line="360" w:lineRule="auto"/>
        <w:ind w:left="526" w:hanging="524" w:hangingChars="200"/>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九．技术支持及培训</w:t>
      </w:r>
    </w:p>
    <w:p w14:paraId="0D008A20">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专业的技术支持，辅助设计实验方案，提供及时的项目进展汇报。</w:t>
      </w:r>
    </w:p>
    <w:p w14:paraId="678E57DD">
      <w:pPr>
        <w:spacing w:line="360" w:lineRule="auto"/>
        <w:ind w:left="526" w:hanging="524" w:hangingChars="200"/>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十. 合同的仲裁</w:t>
      </w:r>
    </w:p>
    <w:p w14:paraId="2F567706">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本合同发生争议，由双方协商或调解解决，协商或调解不成时向签订合同所在地人民法院起诉。</w:t>
      </w:r>
    </w:p>
    <w:p w14:paraId="38AAC750">
      <w:pPr>
        <w:spacing w:line="360" w:lineRule="auto"/>
        <w:rPr>
          <w:rFonts w:hint="eastAsia" w:ascii="Times New Roman" w:hAnsi="Times New Roman" w:cs="Times New Roman"/>
          <w:sz w:val="21"/>
          <w:szCs w:val="21"/>
        </w:rPr>
      </w:pPr>
      <w:r>
        <w:rPr>
          <w:rFonts w:hint="eastAsia" w:ascii="仿宋" w:hAnsi="仿宋" w:eastAsia="仿宋" w:cs="仿宋"/>
          <w:b/>
          <w:bCs/>
          <w:sz w:val="21"/>
          <w:szCs w:val="21"/>
          <w:lang w:eastAsia="zh-CN"/>
        </w:rPr>
        <w:t>十</w:t>
      </w:r>
      <w:r>
        <w:rPr>
          <w:rFonts w:hint="eastAsia" w:ascii="仿宋" w:hAnsi="仿宋" w:eastAsia="仿宋" w:cs="仿宋"/>
          <w:b/>
          <w:bCs/>
          <w:sz w:val="21"/>
          <w:szCs w:val="21"/>
          <w:lang w:val="en-US" w:eastAsia="zh-CN"/>
        </w:rPr>
        <w:t>一</w:t>
      </w:r>
      <w:r>
        <w:rPr>
          <w:rFonts w:hint="eastAsia" w:ascii="仿宋" w:hAnsi="仿宋" w:eastAsia="仿宋" w:cs="仿宋"/>
          <w:b/>
          <w:bCs/>
          <w:sz w:val="21"/>
          <w:szCs w:val="21"/>
          <w:lang w:eastAsia="zh-CN"/>
        </w:rPr>
        <w:t xml:space="preserve">．本合同一式     份，双方各持     份，具有同等法律效力。  </w:t>
      </w:r>
      <w:r>
        <w:rPr>
          <w:rFonts w:hint="eastAsia" w:ascii="Times New Roman" w:hAnsi="Times New Roman" w:cs="Times New Roman"/>
          <w:sz w:val="21"/>
          <w:szCs w:val="21"/>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7"/>
        <w:gridCol w:w="4986"/>
      </w:tblGrid>
      <w:tr w14:paraId="5D27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947" w:type="dxa"/>
            <w:vAlign w:val="center"/>
          </w:tcPr>
          <w:p w14:paraId="3F5F14A3">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甲方（盖章）：汕头大学医学院</w:t>
            </w:r>
          </w:p>
        </w:tc>
        <w:tc>
          <w:tcPr>
            <w:tcW w:w="4986" w:type="dxa"/>
            <w:vAlign w:val="center"/>
          </w:tcPr>
          <w:p w14:paraId="67D2A3ED">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乙方（盖章）： </w:t>
            </w:r>
          </w:p>
        </w:tc>
      </w:tr>
      <w:tr w14:paraId="0839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947" w:type="dxa"/>
            <w:vAlign w:val="center"/>
          </w:tcPr>
          <w:p w14:paraId="7013FA98">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地址：汕头市金平区新陵路22号</w:t>
            </w:r>
          </w:p>
        </w:tc>
        <w:tc>
          <w:tcPr>
            <w:tcW w:w="4986" w:type="dxa"/>
            <w:vAlign w:val="center"/>
          </w:tcPr>
          <w:p w14:paraId="637921B6">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地址： </w:t>
            </w:r>
          </w:p>
        </w:tc>
      </w:tr>
      <w:tr w14:paraId="2F5C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4132007A">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法定代表人： 夏欧东</w:t>
            </w:r>
          </w:p>
        </w:tc>
        <w:tc>
          <w:tcPr>
            <w:tcW w:w="4986" w:type="dxa"/>
            <w:vAlign w:val="center"/>
          </w:tcPr>
          <w:p w14:paraId="1EDBDC6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法定代表人：</w:t>
            </w:r>
          </w:p>
        </w:tc>
      </w:tr>
      <w:tr w14:paraId="4385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57EAC7FF">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委托代理人：</w:t>
            </w:r>
          </w:p>
        </w:tc>
        <w:tc>
          <w:tcPr>
            <w:tcW w:w="4986" w:type="dxa"/>
            <w:vAlign w:val="center"/>
          </w:tcPr>
          <w:p w14:paraId="51B926C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委托代理人：</w:t>
            </w:r>
          </w:p>
        </w:tc>
      </w:tr>
      <w:tr w14:paraId="43FF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47" w:type="dxa"/>
            <w:vAlign w:val="center"/>
          </w:tcPr>
          <w:p w14:paraId="603900E0">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电话：0754-88900477</w:t>
            </w:r>
          </w:p>
        </w:tc>
        <w:tc>
          <w:tcPr>
            <w:tcW w:w="4986" w:type="dxa"/>
            <w:vAlign w:val="center"/>
          </w:tcPr>
          <w:p w14:paraId="116489B3">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电话：</w:t>
            </w:r>
          </w:p>
        </w:tc>
      </w:tr>
      <w:tr w14:paraId="2C2E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71855E26">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传真：0754-88900305</w:t>
            </w:r>
          </w:p>
        </w:tc>
        <w:tc>
          <w:tcPr>
            <w:tcW w:w="4986" w:type="dxa"/>
            <w:vAlign w:val="center"/>
          </w:tcPr>
          <w:p w14:paraId="2E2B1DBB">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传真：</w:t>
            </w:r>
          </w:p>
        </w:tc>
      </w:tr>
      <w:tr w14:paraId="6390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78975AA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邮政编码：515041</w:t>
            </w:r>
          </w:p>
        </w:tc>
        <w:tc>
          <w:tcPr>
            <w:tcW w:w="4986" w:type="dxa"/>
            <w:vAlign w:val="center"/>
          </w:tcPr>
          <w:p w14:paraId="639C35C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邮政编码：</w:t>
            </w:r>
          </w:p>
        </w:tc>
      </w:tr>
      <w:tr w14:paraId="7C1C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628C54B9">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开户银行：中行嘉泰支行</w:t>
            </w:r>
          </w:p>
        </w:tc>
        <w:tc>
          <w:tcPr>
            <w:tcW w:w="4986" w:type="dxa"/>
            <w:vAlign w:val="center"/>
          </w:tcPr>
          <w:p w14:paraId="6E1082D0">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开户银行： </w:t>
            </w:r>
          </w:p>
        </w:tc>
      </w:tr>
      <w:tr w14:paraId="799F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3F0D7843">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开户账号：7055 5774 4822</w:t>
            </w:r>
          </w:p>
        </w:tc>
        <w:tc>
          <w:tcPr>
            <w:tcW w:w="4986" w:type="dxa"/>
            <w:vAlign w:val="center"/>
          </w:tcPr>
          <w:p w14:paraId="1A9CC97B">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开户账号：</w:t>
            </w:r>
          </w:p>
        </w:tc>
      </w:tr>
      <w:tr w14:paraId="28F5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50950098">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统一社会信用代码：12440000455861456K</w:t>
            </w:r>
          </w:p>
        </w:tc>
        <w:tc>
          <w:tcPr>
            <w:tcW w:w="4986" w:type="dxa"/>
            <w:vAlign w:val="center"/>
          </w:tcPr>
          <w:p w14:paraId="54DDC87D">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统一社会信用代码：</w:t>
            </w:r>
          </w:p>
        </w:tc>
      </w:tr>
      <w:tr w14:paraId="62E1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35E64762">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签订日期：       年     月     日</w:t>
            </w:r>
          </w:p>
        </w:tc>
        <w:tc>
          <w:tcPr>
            <w:tcW w:w="4986" w:type="dxa"/>
            <w:vAlign w:val="center"/>
          </w:tcPr>
          <w:p w14:paraId="7B29C44D">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签订日期：       年     月     日</w:t>
            </w:r>
          </w:p>
        </w:tc>
      </w:tr>
    </w:tbl>
    <w:p w14:paraId="3E97060C">
      <w:pPr>
        <w:kinsoku w:val="0"/>
        <w:wordWrap w:val="0"/>
        <w:topLinePunct/>
        <w:spacing w:line="360" w:lineRule="atLeast"/>
        <w:rPr>
          <w:rFonts w:hint="eastAsia" w:ascii="仿宋" w:hAnsi="仿宋" w:eastAsia="仿宋" w:cs="仿宋"/>
          <w:b/>
          <w:sz w:val="32"/>
        </w:rPr>
      </w:pPr>
    </w:p>
    <w:p w14:paraId="3773477D">
      <w:pPr>
        <w:kinsoku w:val="0"/>
        <w:wordWrap w:val="0"/>
        <w:topLinePunct/>
        <w:spacing w:line="360" w:lineRule="atLeast"/>
        <w:rPr>
          <w:rFonts w:hint="eastAsia" w:ascii="仿宋" w:hAnsi="仿宋" w:eastAsia="仿宋" w:cs="仿宋"/>
          <w:b/>
          <w:sz w:val="32"/>
        </w:rPr>
      </w:pPr>
      <w:r>
        <w:rPr>
          <w:rFonts w:hint="eastAsia" w:ascii="仿宋" w:hAnsi="仿宋" w:eastAsia="仿宋" w:cs="仿宋"/>
          <w:b/>
          <w:sz w:val="32"/>
        </w:rPr>
        <w:t>第四部分    投  标  书（格式）</w:t>
      </w:r>
    </w:p>
    <w:p w14:paraId="13D7B61B">
      <w:pPr>
        <w:kinsoku w:val="0"/>
        <w:wordWrap w:val="0"/>
        <w:topLinePunct/>
        <w:spacing w:after="120" w:line="360" w:lineRule="atLeast"/>
        <w:rPr>
          <w:rFonts w:hint="eastAsia" w:ascii="仿宋" w:hAnsi="仿宋" w:eastAsia="仿宋" w:cs="仿宋"/>
          <w:sz w:val="24"/>
        </w:rPr>
      </w:pPr>
      <w:r>
        <w:rPr>
          <w:rFonts w:hint="eastAsia" w:ascii="仿宋" w:hAnsi="仿宋" w:eastAsia="仿宋" w:cs="仿宋"/>
          <w:sz w:val="24"/>
        </w:rPr>
        <w:t>致：汕头大学医学院：</w:t>
      </w:r>
    </w:p>
    <w:p w14:paraId="7011AB5A">
      <w:pPr>
        <w:kinsoku w:val="0"/>
        <w:wordWrap w:val="0"/>
        <w:topLinePunct/>
        <w:spacing w:after="120" w:line="240" w:lineRule="atLeast"/>
        <w:ind w:firstLine="585"/>
        <w:rPr>
          <w:rFonts w:hint="eastAsia"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号（招标编号）招标文件要求，</w:t>
      </w:r>
      <w:r>
        <w:rPr>
          <w:rFonts w:hint="eastAsia" w:ascii="仿宋" w:hAnsi="仿宋" w:eastAsia="仿宋" w:cs="仿宋"/>
          <w:sz w:val="24"/>
          <w:u w:val="single"/>
        </w:rPr>
        <w:t xml:space="preserve">                </w:t>
      </w:r>
      <w:r>
        <w:rPr>
          <w:rFonts w:hint="eastAsia" w:ascii="仿宋" w:hAnsi="仿宋" w:eastAsia="仿宋" w:cs="仿宋"/>
          <w:sz w:val="24"/>
        </w:rPr>
        <w:t>（全名及职衔）经正式授权并以投标人</w:t>
      </w:r>
      <w:r>
        <w:rPr>
          <w:rFonts w:hint="eastAsia" w:ascii="仿宋" w:hAnsi="仿宋" w:eastAsia="仿宋" w:cs="仿宋"/>
          <w:sz w:val="24"/>
          <w:u w:val="single"/>
        </w:rPr>
        <w:t xml:space="preserve">                             </w:t>
      </w:r>
      <w:r>
        <w:rPr>
          <w:rFonts w:hint="eastAsia" w:ascii="仿宋" w:hAnsi="仿宋" w:eastAsia="仿宋" w:cs="仿宋"/>
          <w:sz w:val="24"/>
        </w:rPr>
        <w:t>（投标人名称、地址）的名义投标。提交下述文件正本一份和副本一式五份。</w:t>
      </w:r>
    </w:p>
    <w:p w14:paraId="1C674642">
      <w:pPr>
        <w:pStyle w:val="6"/>
        <w:numPr>
          <w:ilvl w:val="3"/>
          <w:numId w:val="13"/>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投标书；</w:t>
      </w:r>
    </w:p>
    <w:p w14:paraId="70F31535">
      <w:pPr>
        <w:pStyle w:val="6"/>
        <w:numPr>
          <w:ilvl w:val="3"/>
          <w:numId w:val="13"/>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开标一览表；</w:t>
      </w:r>
    </w:p>
    <w:p w14:paraId="0AF96C2D">
      <w:pPr>
        <w:pStyle w:val="6"/>
        <w:numPr>
          <w:ilvl w:val="3"/>
          <w:numId w:val="13"/>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设备配置一览表；</w:t>
      </w:r>
    </w:p>
    <w:p w14:paraId="7B88C5C6">
      <w:pPr>
        <w:pStyle w:val="6"/>
        <w:numPr>
          <w:ilvl w:val="3"/>
          <w:numId w:val="13"/>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服务承诺书；</w:t>
      </w:r>
    </w:p>
    <w:p w14:paraId="5FB25675">
      <w:pPr>
        <w:pStyle w:val="6"/>
        <w:kinsoku w:val="0"/>
        <w:wordWrap w:val="0"/>
        <w:topLinePunct/>
        <w:autoSpaceDE/>
        <w:autoSpaceDN/>
        <w:spacing w:line="200" w:lineRule="atLeast"/>
        <w:ind w:left="1328" w:leftChars="0" w:firstLine="0" w:firstLineChars="0"/>
        <w:rPr>
          <w:rFonts w:hint="eastAsia" w:ascii="仿宋" w:hAnsi="仿宋" w:eastAsia="仿宋" w:cs="仿宋"/>
          <w:sz w:val="24"/>
        </w:rPr>
      </w:pPr>
    </w:p>
    <w:p w14:paraId="597D727E">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签字代表在此声明并同意：</w:t>
      </w:r>
    </w:p>
    <w:p w14:paraId="253F74BD">
      <w:pPr>
        <w:kinsoku w:val="0"/>
        <w:wordWrap w:val="0"/>
        <w:topLinePunct/>
        <w:spacing w:line="360" w:lineRule="atLeast"/>
        <w:ind w:left="830" w:hanging="830"/>
        <w:rPr>
          <w:rFonts w:hint="eastAsia" w:ascii="仿宋" w:hAnsi="仿宋" w:eastAsia="仿宋" w:cs="仿宋"/>
          <w:sz w:val="24"/>
        </w:rPr>
      </w:pPr>
      <w:r>
        <w:rPr>
          <w:rFonts w:hint="eastAsia" w:ascii="仿宋" w:hAnsi="仿宋" w:eastAsia="仿宋" w:cs="仿宋"/>
          <w:sz w:val="24"/>
        </w:rPr>
        <w:t xml:space="preserve">   １.我们愿意遵守招标人招标文件中的各项规定，供应符合“技术规范”所要求的设备，投标总报价为：</w:t>
      </w:r>
      <w:r>
        <w:rPr>
          <w:rFonts w:hint="eastAsia" w:ascii="仿宋" w:hAnsi="仿宋" w:eastAsia="仿宋" w:cs="仿宋"/>
          <w:sz w:val="24"/>
          <w:u w:val="single"/>
        </w:rPr>
        <w:t xml:space="preserve">         </w:t>
      </w:r>
      <w:r>
        <w:rPr>
          <w:rFonts w:hint="eastAsia" w:ascii="仿宋" w:hAnsi="仿宋" w:eastAsia="仿宋" w:cs="仿宋"/>
          <w:sz w:val="24"/>
        </w:rPr>
        <w:t>元。</w:t>
      </w:r>
    </w:p>
    <w:p w14:paraId="28D5C94E">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２.我们同意本投标自投标截止日起30天内有效。如果我们的投标被接受，则直至合同生效时止，本投标始终有效。</w:t>
      </w:r>
    </w:p>
    <w:p w14:paraId="67DFAEE6">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３.我们已经详细地阅读了全部招标文件及附件，包括澄清及参考文件（如果有的话），我们完全理解并同意放弃对这方面有不明及误解的权利。</w:t>
      </w:r>
    </w:p>
    <w:p w14:paraId="78BC23E3">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４.我们同意提供招标人要求的有关投标的其他资料。</w:t>
      </w:r>
    </w:p>
    <w:p w14:paraId="0DDB6A1F">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５.我们理解，招标人并无义务必须接受最低报价的投标或其他任何投标。</w:t>
      </w:r>
    </w:p>
    <w:p w14:paraId="790C90BA">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 xml:space="preserve">   ６.所有有关本次投标的函电请寄：</w:t>
      </w:r>
      <w:r>
        <w:rPr>
          <w:rFonts w:hint="eastAsia" w:ascii="仿宋" w:hAnsi="仿宋" w:eastAsia="仿宋" w:cs="仿宋"/>
          <w:sz w:val="24"/>
          <w:u w:val="single"/>
        </w:rPr>
        <w:t xml:space="preserve">                     </w:t>
      </w:r>
    </w:p>
    <w:p w14:paraId="4D9B340B">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授权代表（签名）:</w:t>
      </w:r>
      <w:r>
        <w:rPr>
          <w:rFonts w:hint="eastAsia" w:ascii="仿宋" w:hAnsi="仿宋" w:eastAsia="仿宋" w:cs="仿宋"/>
          <w:sz w:val="24"/>
          <w:u w:val="single"/>
        </w:rPr>
        <w:t xml:space="preserve">                          </w:t>
      </w:r>
    </w:p>
    <w:p w14:paraId="51A3438E">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职      位:</w:t>
      </w:r>
      <w:r>
        <w:rPr>
          <w:rFonts w:hint="eastAsia" w:ascii="仿宋" w:hAnsi="仿宋" w:eastAsia="仿宋" w:cs="仿宋"/>
          <w:sz w:val="24"/>
          <w:u w:val="single"/>
        </w:rPr>
        <w:t xml:space="preserve">                                </w:t>
      </w:r>
    </w:p>
    <w:p w14:paraId="5071750E">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投标方名称:</w:t>
      </w:r>
      <w:r>
        <w:rPr>
          <w:rFonts w:hint="eastAsia" w:ascii="仿宋" w:hAnsi="仿宋" w:eastAsia="仿宋" w:cs="仿宋"/>
          <w:sz w:val="24"/>
          <w:u w:val="single"/>
        </w:rPr>
        <w:t xml:space="preserve">                                </w:t>
      </w:r>
    </w:p>
    <w:p w14:paraId="49E83817">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投标方印章:</w:t>
      </w:r>
      <w:r>
        <w:rPr>
          <w:rFonts w:hint="eastAsia" w:ascii="仿宋" w:hAnsi="仿宋" w:eastAsia="仿宋" w:cs="仿宋"/>
          <w:sz w:val="24"/>
          <w:u w:val="single"/>
        </w:rPr>
        <w:t xml:space="preserve">                                </w:t>
      </w:r>
    </w:p>
    <w:p w14:paraId="51370F54">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 xml:space="preserve">  </w:t>
      </w:r>
    </w:p>
    <w:p w14:paraId="6E7CA4CC">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电  话：           传  真：            E_mail:</w:t>
      </w:r>
    </w:p>
    <w:p w14:paraId="71561063">
      <w:pPr>
        <w:kinsoku w:val="0"/>
        <w:wordWrap w:val="0"/>
        <w:topLinePunct/>
        <w:spacing w:line="360" w:lineRule="exact"/>
        <w:rPr>
          <w:rFonts w:hint="eastAsia" w:ascii="仿宋" w:hAnsi="仿宋" w:eastAsia="仿宋" w:cs="仿宋"/>
          <w:sz w:val="24"/>
        </w:rPr>
      </w:pPr>
    </w:p>
    <w:p w14:paraId="4E817801">
      <w:pPr>
        <w:kinsoku w:val="0"/>
        <w:wordWrap w:val="0"/>
        <w:topLinePunct/>
        <w:spacing w:line="360" w:lineRule="exact"/>
        <w:rPr>
          <w:rFonts w:hint="eastAsia" w:ascii="仿宋" w:hAnsi="仿宋" w:eastAsia="仿宋" w:cs="仿宋"/>
          <w:sz w:val="24"/>
        </w:rPr>
      </w:pPr>
    </w:p>
    <w:p w14:paraId="7F4FB3ED">
      <w:pPr>
        <w:kinsoku w:val="0"/>
        <w:wordWrap w:val="0"/>
        <w:topLinePunct/>
        <w:spacing w:line="360" w:lineRule="exact"/>
        <w:rPr>
          <w:rFonts w:hint="eastAsia" w:ascii="仿宋" w:hAnsi="仿宋" w:eastAsia="仿宋" w:cs="仿宋"/>
          <w:sz w:val="24"/>
        </w:rPr>
      </w:pPr>
    </w:p>
    <w:p w14:paraId="752EB338">
      <w:pPr>
        <w:kinsoku w:val="0"/>
        <w:wordWrap w:val="0"/>
        <w:topLinePunct/>
        <w:spacing w:line="360" w:lineRule="exact"/>
        <w:rPr>
          <w:rFonts w:hint="eastAsia" w:ascii="仿宋" w:hAnsi="仿宋" w:eastAsia="仿宋" w:cs="仿宋"/>
          <w:sz w:val="24"/>
        </w:rPr>
      </w:pPr>
    </w:p>
    <w:p w14:paraId="7E17F069">
      <w:pPr>
        <w:kinsoku w:val="0"/>
        <w:wordWrap w:val="0"/>
        <w:topLinePunct/>
        <w:spacing w:line="360" w:lineRule="exact"/>
        <w:rPr>
          <w:rFonts w:hint="eastAsia" w:ascii="仿宋" w:hAnsi="仿宋" w:eastAsia="仿宋" w:cs="仿宋"/>
          <w:sz w:val="24"/>
        </w:rPr>
      </w:pPr>
    </w:p>
    <w:p w14:paraId="02239245">
      <w:pPr>
        <w:kinsoku w:val="0"/>
        <w:wordWrap w:val="0"/>
        <w:topLinePunct/>
        <w:spacing w:line="360" w:lineRule="exact"/>
        <w:rPr>
          <w:rFonts w:hint="eastAsia" w:ascii="仿宋" w:hAnsi="仿宋" w:eastAsia="仿宋" w:cs="仿宋"/>
          <w:sz w:val="24"/>
        </w:rPr>
      </w:pPr>
    </w:p>
    <w:p w14:paraId="525B89C4">
      <w:pPr>
        <w:kinsoku w:val="0"/>
        <w:wordWrap w:val="0"/>
        <w:topLinePunct/>
        <w:spacing w:line="360" w:lineRule="exact"/>
        <w:rPr>
          <w:rFonts w:hint="eastAsia" w:ascii="仿宋" w:hAnsi="仿宋" w:eastAsia="仿宋" w:cs="仿宋"/>
          <w:sz w:val="24"/>
        </w:rPr>
      </w:pPr>
    </w:p>
    <w:p w14:paraId="1E380E1A">
      <w:pPr>
        <w:kinsoku w:val="0"/>
        <w:wordWrap w:val="0"/>
        <w:topLinePunct/>
        <w:spacing w:line="360" w:lineRule="exact"/>
        <w:rPr>
          <w:rFonts w:hint="eastAsia" w:ascii="仿宋" w:hAnsi="仿宋" w:eastAsia="仿宋" w:cs="仿宋"/>
          <w:sz w:val="24"/>
        </w:rPr>
      </w:pPr>
    </w:p>
    <w:p w14:paraId="73CD19C6">
      <w:pPr>
        <w:kinsoku w:val="0"/>
        <w:wordWrap w:val="0"/>
        <w:topLinePunct/>
        <w:spacing w:line="360" w:lineRule="exact"/>
        <w:rPr>
          <w:rFonts w:hint="eastAsia" w:ascii="仿宋" w:hAnsi="仿宋" w:eastAsia="仿宋" w:cs="仿宋"/>
          <w:sz w:val="24"/>
        </w:rPr>
      </w:pPr>
    </w:p>
    <w:p w14:paraId="1E987EA7">
      <w:pPr>
        <w:kinsoku w:val="0"/>
        <w:wordWrap w:val="0"/>
        <w:topLinePunct/>
        <w:spacing w:line="360" w:lineRule="exact"/>
        <w:rPr>
          <w:rFonts w:hint="eastAsia" w:ascii="仿宋" w:hAnsi="仿宋" w:eastAsia="仿宋" w:cs="仿宋"/>
          <w:sz w:val="24"/>
        </w:rPr>
      </w:pPr>
    </w:p>
    <w:p w14:paraId="2DB29495">
      <w:pPr>
        <w:kinsoku w:val="0"/>
        <w:wordWrap w:val="0"/>
        <w:topLinePunct/>
        <w:spacing w:line="360" w:lineRule="exact"/>
        <w:rPr>
          <w:rFonts w:hint="eastAsia" w:ascii="仿宋" w:hAnsi="仿宋" w:eastAsia="仿宋" w:cs="仿宋"/>
          <w:sz w:val="24"/>
        </w:rPr>
      </w:pPr>
    </w:p>
    <w:p w14:paraId="2E41853F">
      <w:pPr>
        <w:kinsoku w:val="0"/>
        <w:wordWrap w:val="0"/>
        <w:topLinePunct/>
        <w:spacing w:line="360" w:lineRule="exact"/>
        <w:rPr>
          <w:rFonts w:hint="eastAsia" w:ascii="仿宋" w:hAnsi="仿宋" w:eastAsia="仿宋" w:cs="仿宋"/>
          <w:sz w:val="24"/>
        </w:rPr>
      </w:pPr>
    </w:p>
    <w:p w14:paraId="429B5B04">
      <w:pPr>
        <w:kinsoku w:val="0"/>
        <w:wordWrap w:val="0"/>
        <w:topLinePunct/>
        <w:spacing w:line="360" w:lineRule="exact"/>
        <w:rPr>
          <w:rFonts w:hint="eastAsia" w:ascii="仿宋" w:hAnsi="仿宋" w:eastAsia="仿宋" w:cs="仿宋"/>
          <w:sz w:val="24"/>
        </w:rPr>
      </w:pPr>
    </w:p>
    <w:p w14:paraId="1AD574BC">
      <w:pPr>
        <w:kinsoku w:val="0"/>
        <w:wordWrap w:val="0"/>
        <w:topLinePunct/>
        <w:spacing w:line="360" w:lineRule="exact"/>
        <w:rPr>
          <w:rFonts w:hint="eastAsia" w:ascii="仿宋" w:hAnsi="仿宋" w:eastAsia="仿宋" w:cs="仿宋"/>
          <w:sz w:val="24"/>
        </w:rPr>
      </w:pPr>
    </w:p>
    <w:p w14:paraId="587ABA84">
      <w:pPr>
        <w:kinsoku w:val="0"/>
        <w:wordWrap w:val="0"/>
        <w:topLinePunct/>
        <w:spacing w:line="360" w:lineRule="exact"/>
        <w:rPr>
          <w:rFonts w:hint="eastAsia" w:ascii="仿宋" w:hAnsi="仿宋" w:eastAsia="仿宋" w:cs="仿宋"/>
          <w:sz w:val="24"/>
        </w:rPr>
      </w:pPr>
    </w:p>
    <w:p w14:paraId="45240159">
      <w:pPr>
        <w:kinsoku w:val="0"/>
        <w:wordWrap w:val="0"/>
        <w:topLinePunct/>
        <w:spacing w:line="360" w:lineRule="exact"/>
        <w:rPr>
          <w:rFonts w:hint="eastAsia" w:ascii="仿宋" w:hAnsi="仿宋" w:eastAsia="仿宋" w:cs="仿宋"/>
          <w:sz w:val="24"/>
        </w:rPr>
      </w:pPr>
    </w:p>
    <w:p w14:paraId="78E4598D">
      <w:pPr>
        <w:kinsoku w:val="0"/>
        <w:wordWrap w:val="0"/>
        <w:topLinePunct/>
        <w:spacing w:line="360" w:lineRule="exact"/>
        <w:rPr>
          <w:rFonts w:hint="eastAsia" w:ascii="仿宋" w:hAnsi="仿宋" w:eastAsia="仿宋" w:cs="仿宋"/>
          <w:sz w:val="24"/>
        </w:rPr>
      </w:pPr>
    </w:p>
    <w:p w14:paraId="56C71D6C">
      <w:pPr>
        <w:kinsoku w:val="0"/>
        <w:wordWrap w:val="0"/>
        <w:topLinePunct/>
        <w:spacing w:line="360" w:lineRule="exact"/>
        <w:rPr>
          <w:rFonts w:hint="eastAsia" w:ascii="仿宋" w:hAnsi="仿宋" w:eastAsia="仿宋" w:cs="仿宋"/>
          <w:sz w:val="24"/>
        </w:rPr>
      </w:pPr>
    </w:p>
    <w:p w14:paraId="65B59C87">
      <w:pPr>
        <w:kinsoku w:val="0"/>
        <w:wordWrap w:val="0"/>
        <w:topLinePunct/>
        <w:spacing w:line="360" w:lineRule="exact"/>
        <w:rPr>
          <w:rFonts w:hint="eastAsia" w:ascii="仿宋" w:hAnsi="仿宋" w:eastAsia="仿宋" w:cs="仿宋"/>
          <w:sz w:val="24"/>
        </w:rPr>
      </w:pPr>
    </w:p>
    <w:p w14:paraId="30B369BD">
      <w:pPr>
        <w:kinsoku w:val="0"/>
        <w:wordWrap w:val="0"/>
        <w:topLinePunct/>
        <w:spacing w:line="360" w:lineRule="exact"/>
        <w:rPr>
          <w:rFonts w:hint="eastAsia" w:ascii="仿宋" w:hAnsi="仿宋" w:eastAsia="仿宋" w:cs="仿宋"/>
          <w:sz w:val="24"/>
        </w:rPr>
      </w:pPr>
    </w:p>
    <w:p w14:paraId="156307DA">
      <w:pPr>
        <w:kinsoku w:val="0"/>
        <w:wordWrap w:val="0"/>
        <w:topLinePunct/>
        <w:spacing w:line="360" w:lineRule="exact"/>
        <w:rPr>
          <w:rFonts w:hint="eastAsia" w:ascii="仿宋" w:hAnsi="仿宋" w:eastAsia="仿宋" w:cs="仿宋"/>
          <w:sz w:val="24"/>
        </w:rPr>
      </w:pPr>
      <w:r>
        <w:rPr>
          <w:rFonts w:hint="eastAsia" w:ascii="仿宋" w:hAnsi="仿宋" w:eastAsia="仿宋" w:cs="仿宋"/>
          <w:sz w:val="24"/>
        </w:rPr>
        <w:t>投标书附件1：</w:t>
      </w:r>
    </w:p>
    <w:p w14:paraId="1495461F">
      <w:pPr>
        <w:kinsoku w:val="0"/>
        <w:wordWrap w:val="0"/>
        <w:topLinePunct/>
        <w:spacing w:line="360" w:lineRule="exact"/>
        <w:jc w:val="center"/>
        <w:rPr>
          <w:rFonts w:hint="eastAsia" w:ascii="仿宋" w:hAnsi="仿宋" w:eastAsia="仿宋" w:cs="仿宋"/>
          <w:b/>
          <w:sz w:val="32"/>
        </w:rPr>
      </w:pPr>
    </w:p>
    <w:p w14:paraId="6F1C77A8">
      <w:pPr>
        <w:kinsoku w:val="0"/>
        <w:wordWrap w:val="0"/>
        <w:topLinePunct/>
        <w:spacing w:line="360" w:lineRule="exact"/>
        <w:jc w:val="center"/>
        <w:rPr>
          <w:rFonts w:hint="eastAsia" w:ascii="仿宋" w:hAnsi="仿宋" w:eastAsia="仿宋" w:cs="仿宋"/>
          <w:b/>
          <w:sz w:val="32"/>
        </w:rPr>
      </w:pPr>
    </w:p>
    <w:p w14:paraId="18FB4435">
      <w:pPr>
        <w:kinsoku w:val="0"/>
        <w:wordWrap w:val="0"/>
        <w:topLinePunct/>
        <w:spacing w:line="360" w:lineRule="exact"/>
        <w:jc w:val="center"/>
        <w:rPr>
          <w:rFonts w:hint="eastAsia" w:ascii="仿宋" w:hAnsi="仿宋" w:eastAsia="仿宋" w:cs="仿宋"/>
          <w:b/>
          <w:sz w:val="32"/>
        </w:rPr>
      </w:pPr>
      <w:r>
        <w:rPr>
          <w:rFonts w:hint="eastAsia" w:ascii="仿宋" w:hAnsi="仿宋" w:eastAsia="仿宋" w:cs="仿宋"/>
          <w:b/>
          <w:sz w:val="32"/>
        </w:rPr>
        <w:t>开标一览表</w:t>
      </w:r>
    </w:p>
    <w:p w14:paraId="7788F2CD">
      <w:pPr>
        <w:kinsoku w:val="0"/>
        <w:wordWrap w:val="0"/>
        <w:topLinePunct/>
        <w:spacing w:line="360" w:lineRule="exact"/>
        <w:rPr>
          <w:rFonts w:hint="eastAsia" w:ascii="仿宋" w:hAnsi="仿宋" w:eastAsia="仿宋" w:cs="仿宋"/>
          <w:sz w:val="24"/>
        </w:rPr>
      </w:pPr>
    </w:p>
    <w:p w14:paraId="743B8A95">
      <w:pPr>
        <w:kinsoku w:val="0"/>
        <w:wordWrap w:val="0"/>
        <w:topLinePunct/>
        <w:spacing w:line="360" w:lineRule="exact"/>
        <w:rPr>
          <w:rFonts w:hint="eastAsia" w:ascii="仿宋" w:hAnsi="仿宋" w:eastAsia="仿宋" w:cs="仿宋"/>
          <w:sz w:val="24"/>
          <w:u w:val="single"/>
        </w:rPr>
      </w:pPr>
      <w:r>
        <w:rPr>
          <w:rFonts w:hint="eastAsia" w:ascii="仿宋" w:hAnsi="仿宋" w:eastAsia="仿宋" w:cs="仿宋"/>
          <w:sz w:val="24"/>
        </w:rPr>
        <w:t>投标方名称：</w:t>
      </w:r>
      <w:r>
        <w:rPr>
          <w:rFonts w:hint="eastAsia" w:ascii="仿宋" w:hAnsi="仿宋" w:eastAsia="仿宋" w:cs="仿宋"/>
          <w:sz w:val="24"/>
          <w:u w:val="single"/>
        </w:rPr>
        <w:t xml:space="preserve">                     </w:t>
      </w:r>
      <w:r>
        <w:rPr>
          <w:rFonts w:hint="eastAsia" w:ascii="仿宋" w:hAnsi="仿宋" w:eastAsia="仿宋" w:cs="仿宋"/>
          <w:sz w:val="24"/>
        </w:rPr>
        <w:t>，招标编号：</w:t>
      </w:r>
      <w:r>
        <w:rPr>
          <w:rFonts w:hint="eastAsia" w:ascii="仿宋" w:hAnsi="仿宋" w:eastAsia="仿宋" w:cs="仿宋"/>
          <w:sz w:val="24"/>
          <w:u w:val="single"/>
        </w:rPr>
        <w:t xml:space="preserve">         </w:t>
      </w:r>
    </w:p>
    <w:p w14:paraId="18F0DFD0">
      <w:pPr>
        <w:kinsoku w:val="0"/>
        <w:wordWrap w:val="0"/>
        <w:topLinePunct/>
        <w:spacing w:line="360" w:lineRule="exact"/>
        <w:rPr>
          <w:rFonts w:hint="eastAsia" w:ascii="仿宋" w:hAnsi="仿宋" w:eastAsia="仿宋" w:cs="仿宋"/>
          <w:sz w:val="21"/>
        </w:rPr>
      </w:pPr>
      <w:r>
        <w:rPr>
          <w:rFonts w:hint="eastAsia" w:ascii="仿宋" w:hAnsi="仿宋" w:eastAsia="仿宋" w:cs="仿宋"/>
          <w:sz w:val="21"/>
        </w:rPr>
        <w:t xml:space="preserve">                                              金额单位：元  人民币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652"/>
        <w:gridCol w:w="1992"/>
        <w:gridCol w:w="2656"/>
      </w:tblGrid>
      <w:tr w14:paraId="7FCA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59158EA6">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序号</w:t>
            </w:r>
          </w:p>
        </w:tc>
        <w:tc>
          <w:tcPr>
            <w:tcW w:w="3652" w:type="dxa"/>
            <w:vAlign w:val="center"/>
          </w:tcPr>
          <w:p w14:paraId="404AEB42">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项目名称</w:t>
            </w:r>
          </w:p>
        </w:tc>
        <w:tc>
          <w:tcPr>
            <w:tcW w:w="1992" w:type="dxa"/>
            <w:vAlign w:val="center"/>
          </w:tcPr>
          <w:p w14:paraId="51323E6C">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投标总报价</w:t>
            </w:r>
          </w:p>
        </w:tc>
        <w:tc>
          <w:tcPr>
            <w:tcW w:w="2656" w:type="dxa"/>
            <w:vAlign w:val="center"/>
          </w:tcPr>
          <w:p w14:paraId="15DD4327">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备注</w:t>
            </w:r>
          </w:p>
        </w:tc>
      </w:tr>
      <w:tr w14:paraId="6892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33E45BA">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一</w:t>
            </w:r>
          </w:p>
        </w:tc>
        <w:tc>
          <w:tcPr>
            <w:tcW w:w="3652" w:type="dxa"/>
            <w:vAlign w:val="center"/>
          </w:tcPr>
          <w:p w14:paraId="28258E53">
            <w:pPr>
              <w:kinsoku w:val="0"/>
              <w:wordWrap w:val="0"/>
              <w:topLinePunct/>
              <w:spacing w:line="360" w:lineRule="exact"/>
              <w:rPr>
                <w:rFonts w:hint="eastAsia" w:ascii="仿宋" w:hAnsi="仿宋" w:eastAsia="仿宋" w:cs="仿宋"/>
                <w:sz w:val="18"/>
              </w:rPr>
            </w:pPr>
          </w:p>
        </w:tc>
        <w:tc>
          <w:tcPr>
            <w:tcW w:w="1992" w:type="dxa"/>
            <w:vAlign w:val="center"/>
          </w:tcPr>
          <w:p w14:paraId="05569C2C">
            <w:pPr>
              <w:kinsoku w:val="0"/>
              <w:wordWrap w:val="0"/>
              <w:topLinePunct/>
              <w:spacing w:line="360" w:lineRule="exact"/>
              <w:jc w:val="center"/>
              <w:rPr>
                <w:rFonts w:hint="eastAsia" w:ascii="仿宋" w:hAnsi="仿宋" w:eastAsia="仿宋" w:cs="仿宋"/>
                <w:sz w:val="18"/>
              </w:rPr>
            </w:pPr>
          </w:p>
        </w:tc>
        <w:tc>
          <w:tcPr>
            <w:tcW w:w="2656" w:type="dxa"/>
            <w:vAlign w:val="center"/>
          </w:tcPr>
          <w:p w14:paraId="4CD72756">
            <w:pPr>
              <w:kinsoku w:val="0"/>
              <w:wordWrap w:val="0"/>
              <w:topLinePunct/>
              <w:spacing w:line="360" w:lineRule="exact"/>
              <w:jc w:val="center"/>
              <w:rPr>
                <w:rFonts w:hint="eastAsia" w:ascii="仿宋" w:hAnsi="仿宋" w:eastAsia="仿宋" w:cs="仿宋"/>
                <w:sz w:val="18"/>
              </w:rPr>
            </w:pPr>
          </w:p>
        </w:tc>
      </w:tr>
      <w:tr w14:paraId="5CD5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178B514">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二</w:t>
            </w:r>
          </w:p>
        </w:tc>
        <w:tc>
          <w:tcPr>
            <w:tcW w:w="3652" w:type="dxa"/>
            <w:vAlign w:val="center"/>
          </w:tcPr>
          <w:p w14:paraId="72EA3B25">
            <w:pPr>
              <w:kinsoku w:val="0"/>
              <w:wordWrap w:val="0"/>
              <w:topLinePunct/>
              <w:spacing w:line="360" w:lineRule="exact"/>
              <w:rPr>
                <w:rFonts w:hint="eastAsia" w:ascii="仿宋" w:hAnsi="仿宋" w:eastAsia="仿宋" w:cs="仿宋"/>
                <w:sz w:val="18"/>
              </w:rPr>
            </w:pPr>
          </w:p>
        </w:tc>
        <w:tc>
          <w:tcPr>
            <w:tcW w:w="1992" w:type="dxa"/>
            <w:vAlign w:val="center"/>
          </w:tcPr>
          <w:p w14:paraId="7A655CC9">
            <w:pPr>
              <w:kinsoku w:val="0"/>
              <w:wordWrap w:val="0"/>
              <w:topLinePunct/>
              <w:spacing w:line="360" w:lineRule="exact"/>
              <w:jc w:val="center"/>
              <w:rPr>
                <w:rFonts w:hint="eastAsia" w:ascii="仿宋" w:hAnsi="仿宋" w:eastAsia="仿宋" w:cs="仿宋"/>
                <w:sz w:val="18"/>
              </w:rPr>
            </w:pPr>
          </w:p>
        </w:tc>
        <w:tc>
          <w:tcPr>
            <w:tcW w:w="2656" w:type="dxa"/>
            <w:vAlign w:val="center"/>
          </w:tcPr>
          <w:p w14:paraId="06B0AA9F">
            <w:pPr>
              <w:kinsoku w:val="0"/>
              <w:wordWrap w:val="0"/>
              <w:topLinePunct/>
              <w:spacing w:line="360" w:lineRule="exact"/>
              <w:jc w:val="center"/>
              <w:rPr>
                <w:rFonts w:hint="eastAsia" w:ascii="仿宋" w:hAnsi="仿宋" w:eastAsia="仿宋" w:cs="仿宋"/>
                <w:sz w:val="18"/>
              </w:rPr>
            </w:pPr>
          </w:p>
        </w:tc>
      </w:tr>
      <w:tr w14:paraId="323A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4B112FFF">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三</w:t>
            </w:r>
          </w:p>
        </w:tc>
        <w:tc>
          <w:tcPr>
            <w:tcW w:w="3652" w:type="dxa"/>
            <w:vAlign w:val="center"/>
          </w:tcPr>
          <w:p w14:paraId="38DAAA5D">
            <w:pPr>
              <w:kinsoku w:val="0"/>
              <w:wordWrap w:val="0"/>
              <w:topLinePunct/>
              <w:spacing w:line="360" w:lineRule="exact"/>
              <w:rPr>
                <w:rFonts w:hint="eastAsia" w:ascii="仿宋" w:hAnsi="仿宋" w:eastAsia="仿宋" w:cs="仿宋"/>
                <w:sz w:val="18"/>
              </w:rPr>
            </w:pPr>
          </w:p>
        </w:tc>
        <w:tc>
          <w:tcPr>
            <w:tcW w:w="1992" w:type="dxa"/>
            <w:vAlign w:val="center"/>
          </w:tcPr>
          <w:p w14:paraId="49E99958">
            <w:pPr>
              <w:kinsoku w:val="0"/>
              <w:wordWrap w:val="0"/>
              <w:topLinePunct/>
              <w:spacing w:line="360" w:lineRule="exact"/>
              <w:jc w:val="center"/>
              <w:rPr>
                <w:rFonts w:hint="eastAsia" w:ascii="仿宋" w:hAnsi="仿宋" w:eastAsia="仿宋" w:cs="仿宋"/>
                <w:sz w:val="18"/>
              </w:rPr>
            </w:pPr>
          </w:p>
        </w:tc>
        <w:tc>
          <w:tcPr>
            <w:tcW w:w="2656" w:type="dxa"/>
            <w:vAlign w:val="center"/>
          </w:tcPr>
          <w:p w14:paraId="688CE92E">
            <w:pPr>
              <w:kinsoku w:val="0"/>
              <w:wordWrap w:val="0"/>
              <w:topLinePunct/>
              <w:spacing w:line="360" w:lineRule="exact"/>
              <w:jc w:val="center"/>
              <w:rPr>
                <w:rFonts w:hint="eastAsia" w:ascii="仿宋" w:hAnsi="仿宋" w:eastAsia="仿宋" w:cs="仿宋"/>
                <w:sz w:val="18"/>
              </w:rPr>
            </w:pPr>
          </w:p>
        </w:tc>
      </w:tr>
      <w:tr w14:paraId="7AAA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31E05424">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四</w:t>
            </w:r>
          </w:p>
        </w:tc>
        <w:tc>
          <w:tcPr>
            <w:tcW w:w="3652" w:type="dxa"/>
            <w:vAlign w:val="center"/>
          </w:tcPr>
          <w:p w14:paraId="708CAA63">
            <w:pPr>
              <w:kinsoku w:val="0"/>
              <w:wordWrap w:val="0"/>
              <w:topLinePunct/>
              <w:spacing w:line="360" w:lineRule="exact"/>
              <w:rPr>
                <w:rFonts w:hint="eastAsia" w:ascii="仿宋" w:hAnsi="仿宋" w:eastAsia="仿宋" w:cs="仿宋"/>
                <w:sz w:val="18"/>
              </w:rPr>
            </w:pPr>
          </w:p>
        </w:tc>
        <w:tc>
          <w:tcPr>
            <w:tcW w:w="1992" w:type="dxa"/>
            <w:vAlign w:val="center"/>
          </w:tcPr>
          <w:p w14:paraId="5129C2FD">
            <w:pPr>
              <w:kinsoku w:val="0"/>
              <w:wordWrap w:val="0"/>
              <w:topLinePunct/>
              <w:spacing w:line="360" w:lineRule="exact"/>
              <w:jc w:val="center"/>
              <w:rPr>
                <w:rFonts w:hint="eastAsia" w:ascii="仿宋" w:hAnsi="仿宋" w:eastAsia="仿宋" w:cs="仿宋"/>
                <w:sz w:val="18"/>
              </w:rPr>
            </w:pPr>
          </w:p>
        </w:tc>
        <w:tc>
          <w:tcPr>
            <w:tcW w:w="2656" w:type="dxa"/>
            <w:vAlign w:val="center"/>
          </w:tcPr>
          <w:p w14:paraId="05107815">
            <w:pPr>
              <w:kinsoku w:val="0"/>
              <w:wordWrap w:val="0"/>
              <w:topLinePunct/>
              <w:spacing w:line="360" w:lineRule="exact"/>
              <w:jc w:val="center"/>
              <w:rPr>
                <w:rFonts w:hint="eastAsia" w:ascii="仿宋" w:hAnsi="仿宋" w:eastAsia="仿宋" w:cs="仿宋"/>
                <w:sz w:val="18"/>
              </w:rPr>
            </w:pPr>
          </w:p>
        </w:tc>
      </w:tr>
      <w:tr w14:paraId="304B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5DE4A2B1">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五</w:t>
            </w:r>
          </w:p>
        </w:tc>
        <w:tc>
          <w:tcPr>
            <w:tcW w:w="3652" w:type="dxa"/>
            <w:vAlign w:val="center"/>
          </w:tcPr>
          <w:p w14:paraId="32E49E83">
            <w:pPr>
              <w:kinsoku w:val="0"/>
              <w:wordWrap w:val="0"/>
              <w:topLinePunct/>
              <w:spacing w:line="360" w:lineRule="exact"/>
              <w:rPr>
                <w:rFonts w:hint="eastAsia" w:ascii="仿宋" w:hAnsi="仿宋" w:eastAsia="仿宋" w:cs="仿宋"/>
                <w:sz w:val="18"/>
              </w:rPr>
            </w:pPr>
          </w:p>
        </w:tc>
        <w:tc>
          <w:tcPr>
            <w:tcW w:w="1992" w:type="dxa"/>
            <w:vAlign w:val="center"/>
          </w:tcPr>
          <w:p w14:paraId="6D1EC3B1">
            <w:pPr>
              <w:kinsoku w:val="0"/>
              <w:wordWrap w:val="0"/>
              <w:topLinePunct/>
              <w:spacing w:line="360" w:lineRule="exact"/>
              <w:jc w:val="center"/>
              <w:rPr>
                <w:rFonts w:hint="eastAsia" w:ascii="仿宋" w:hAnsi="仿宋" w:eastAsia="仿宋" w:cs="仿宋"/>
                <w:sz w:val="18"/>
              </w:rPr>
            </w:pPr>
          </w:p>
        </w:tc>
        <w:tc>
          <w:tcPr>
            <w:tcW w:w="2656" w:type="dxa"/>
            <w:vAlign w:val="center"/>
          </w:tcPr>
          <w:p w14:paraId="733B096E">
            <w:pPr>
              <w:kinsoku w:val="0"/>
              <w:wordWrap w:val="0"/>
              <w:topLinePunct/>
              <w:spacing w:line="360" w:lineRule="exact"/>
              <w:jc w:val="center"/>
              <w:rPr>
                <w:rFonts w:hint="eastAsia" w:ascii="仿宋" w:hAnsi="仿宋" w:eastAsia="仿宋" w:cs="仿宋"/>
                <w:sz w:val="18"/>
              </w:rPr>
            </w:pPr>
          </w:p>
        </w:tc>
      </w:tr>
      <w:tr w14:paraId="3991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47C6FD9F">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六</w:t>
            </w:r>
          </w:p>
        </w:tc>
        <w:tc>
          <w:tcPr>
            <w:tcW w:w="3652" w:type="dxa"/>
            <w:vAlign w:val="center"/>
          </w:tcPr>
          <w:p w14:paraId="420D90EF">
            <w:pPr>
              <w:kinsoku w:val="0"/>
              <w:wordWrap w:val="0"/>
              <w:topLinePunct/>
              <w:spacing w:line="360" w:lineRule="exact"/>
              <w:rPr>
                <w:rFonts w:hint="eastAsia" w:ascii="仿宋" w:hAnsi="仿宋" w:eastAsia="仿宋" w:cs="仿宋"/>
                <w:sz w:val="18"/>
              </w:rPr>
            </w:pPr>
          </w:p>
        </w:tc>
        <w:tc>
          <w:tcPr>
            <w:tcW w:w="1992" w:type="dxa"/>
            <w:vAlign w:val="center"/>
          </w:tcPr>
          <w:p w14:paraId="4FF4B289">
            <w:pPr>
              <w:kinsoku w:val="0"/>
              <w:wordWrap w:val="0"/>
              <w:topLinePunct/>
              <w:spacing w:line="360" w:lineRule="exact"/>
              <w:jc w:val="center"/>
              <w:rPr>
                <w:rFonts w:hint="eastAsia" w:ascii="仿宋" w:hAnsi="仿宋" w:eastAsia="仿宋" w:cs="仿宋"/>
                <w:sz w:val="18"/>
              </w:rPr>
            </w:pPr>
          </w:p>
        </w:tc>
        <w:tc>
          <w:tcPr>
            <w:tcW w:w="2656" w:type="dxa"/>
            <w:vAlign w:val="center"/>
          </w:tcPr>
          <w:p w14:paraId="66322ABE">
            <w:pPr>
              <w:kinsoku w:val="0"/>
              <w:wordWrap w:val="0"/>
              <w:topLinePunct/>
              <w:spacing w:line="360" w:lineRule="exact"/>
              <w:jc w:val="center"/>
              <w:rPr>
                <w:rFonts w:hint="eastAsia" w:ascii="仿宋" w:hAnsi="仿宋" w:eastAsia="仿宋" w:cs="仿宋"/>
                <w:sz w:val="18"/>
              </w:rPr>
            </w:pPr>
          </w:p>
        </w:tc>
      </w:tr>
      <w:tr w14:paraId="6284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30B69AEA">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七</w:t>
            </w:r>
          </w:p>
        </w:tc>
        <w:tc>
          <w:tcPr>
            <w:tcW w:w="3652" w:type="dxa"/>
            <w:vAlign w:val="center"/>
          </w:tcPr>
          <w:p w14:paraId="0FC84700">
            <w:pPr>
              <w:kinsoku w:val="0"/>
              <w:wordWrap w:val="0"/>
              <w:topLinePunct/>
              <w:spacing w:line="360" w:lineRule="exact"/>
              <w:rPr>
                <w:rFonts w:hint="eastAsia" w:ascii="仿宋" w:hAnsi="仿宋" w:eastAsia="仿宋" w:cs="仿宋"/>
                <w:sz w:val="18"/>
              </w:rPr>
            </w:pPr>
          </w:p>
        </w:tc>
        <w:tc>
          <w:tcPr>
            <w:tcW w:w="1992" w:type="dxa"/>
            <w:vAlign w:val="center"/>
          </w:tcPr>
          <w:p w14:paraId="5C78BF74">
            <w:pPr>
              <w:kinsoku w:val="0"/>
              <w:wordWrap w:val="0"/>
              <w:topLinePunct/>
              <w:spacing w:line="360" w:lineRule="exact"/>
              <w:jc w:val="center"/>
              <w:rPr>
                <w:rFonts w:hint="eastAsia" w:ascii="仿宋" w:hAnsi="仿宋" w:eastAsia="仿宋" w:cs="仿宋"/>
                <w:sz w:val="18"/>
              </w:rPr>
            </w:pPr>
          </w:p>
        </w:tc>
        <w:tc>
          <w:tcPr>
            <w:tcW w:w="2656" w:type="dxa"/>
            <w:vAlign w:val="center"/>
          </w:tcPr>
          <w:p w14:paraId="49004AEC">
            <w:pPr>
              <w:kinsoku w:val="0"/>
              <w:wordWrap w:val="0"/>
              <w:topLinePunct/>
              <w:spacing w:line="360" w:lineRule="exact"/>
              <w:jc w:val="center"/>
              <w:rPr>
                <w:rFonts w:hint="eastAsia" w:ascii="仿宋" w:hAnsi="仿宋" w:eastAsia="仿宋" w:cs="仿宋"/>
                <w:sz w:val="18"/>
              </w:rPr>
            </w:pPr>
          </w:p>
        </w:tc>
      </w:tr>
      <w:tr w14:paraId="509F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1D4293D4">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八</w:t>
            </w:r>
          </w:p>
        </w:tc>
        <w:tc>
          <w:tcPr>
            <w:tcW w:w="3652" w:type="dxa"/>
            <w:vAlign w:val="center"/>
          </w:tcPr>
          <w:p w14:paraId="64524574">
            <w:pPr>
              <w:kinsoku w:val="0"/>
              <w:wordWrap w:val="0"/>
              <w:topLinePunct/>
              <w:spacing w:line="360" w:lineRule="exact"/>
              <w:rPr>
                <w:rFonts w:hint="eastAsia" w:ascii="仿宋" w:hAnsi="仿宋" w:eastAsia="仿宋" w:cs="仿宋"/>
                <w:sz w:val="18"/>
              </w:rPr>
            </w:pPr>
          </w:p>
        </w:tc>
        <w:tc>
          <w:tcPr>
            <w:tcW w:w="1992" w:type="dxa"/>
            <w:vAlign w:val="center"/>
          </w:tcPr>
          <w:p w14:paraId="054FE9EE">
            <w:pPr>
              <w:kinsoku w:val="0"/>
              <w:wordWrap w:val="0"/>
              <w:topLinePunct/>
              <w:spacing w:line="360" w:lineRule="exact"/>
              <w:jc w:val="center"/>
              <w:rPr>
                <w:rFonts w:hint="eastAsia" w:ascii="仿宋" w:hAnsi="仿宋" w:eastAsia="仿宋" w:cs="仿宋"/>
                <w:sz w:val="18"/>
              </w:rPr>
            </w:pPr>
          </w:p>
        </w:tc>
        <w:tc>
          <w:tcPr>
            <w:tcW w:w="2656" w:type="dxa"/>
            <w:vAlign w:val="center"/>
          </w:tcPr>
          <w:p w14:paraId="6D65B96D">
            <w:pPr>
              <w:kinsoku w:val="0"/>
              <w:wordWrap w:val="0"/>
              <w:topLinePunct/>
              <w:spacing w:line="360" w:lineRule="exact"/>
              <w:jc w:val="center"/>
              <w:rPr>
                <w:rFonts w:hint="eastAsia" w:ascii="仿宋" w:hAnsi="仿宋" w:eastAsia="仿宋" w:cs="仿宋"/>
                <w:sz w:val="18"/>
              </w:rPr>
            </w:pPr>
          </w:p>
        </w:tc>
      </w:tr>
    </w:tbl>
    <w:p w14:paraId="77B06D14">
      <w:pPr>
        <w:kinsoku w:val="0"/>
        <w:wordWrap w:val="0"/>
        <w:topLinePunct/>
        <w:spacing w:line="360" w:lineRule="exact"/>
        <w:rPr>
          <w:rFonts w:hint="eastAsia" w:ascii="仿宋" w:hAnsi="仿宋" w:eastAsia="仿宋" w:cs="仿宋"/>
          <w:sz w:val="24"/>
        </w:rPr>
      </w:pPr>
    </w:p>
    <w:p w14:paraId="322F88F0">
      <w:pPr>
        <w:kinsoku w:val="0"/>
        <w:wordWrap w:val="0"/>
        <w:topLinePunct/>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投标书附件2：</w:t>
      </w:r>
    </w:p>
    <w:p w14:paraId="36D1B495">
      <w:pPr>
        <w:kinsoku w:val="0"/>
        <w:wordWrap w:val="0"/>
        <w:topLinePunct/>
        <w:rPr>
          <w:rFonts w:hint="eastAsia" w:ascii="仿宋" w:hAnsi="仿宋" w:eastAsia="仿宋" w:cs="仿宋"/>
        </w:rPr>
      </w:pPr>
    </w:p>
    <w:p w14:paraId="17415121">
      <w:pPr>
        <w:kinsoku w:val="0"/>
        <w:wordWrap w:val="0"/>
        <w:topLinePunct/>
        <w:ind w:left="851" w:hanging="851"/>
        <w:jc w:val="center"/>
        <w:rPr>
          <w:rFonts w:hint="eastAsia" w:ascii="仿宋" w:hAnsi="仿宋" w:eastAsia="仿宋" w:cs="仿宋"/>
          <w:b/>
          <w:sz w:val="32"/>
        </w:rPr>
      </w:pPr>
      <w:r>
        <w:rPr>
          <w:rFonts w:hint="eastAsia" w:ascii="仿宋" w:hAnsi="仿宋" w:eastAsia="仿宋" w:cs="仿宋"/>
          <w:b/>
          <w:sz w:val="32"/>
        </w:rPr>
        <w:t>服务承诺书（格式）</w:t>
      </w:r>
    </w:p>
    <w:p w14:paraId="48A8410C">
      <w:pPr>
        <w:kinsoku w:val="0"/>
        <w:wordWrap w:val="0"/>
        <w:topLinePunct/>
        <w:ind w:left="851" w:hanging="851"/>
        <w:jc w:val="center"/>
        <w:rPr>
          <w:rFonts w:hint="eastAsia" w:ascii="仿宋" w:hAnsi="仿宋" w:eastAsia="仿宋" w:cs="仿宋"/>
        </w:rPr>
      </w:pPr>
    </w:p>
    <w:p w14:paraId="5BBB9617">
      <w:pPr>
        <w:kinsoku w:val="0"/>
        <w:wordWrap w:val="0"/>
        <w:topLinePunct/>
        <w:ind w:left="851" w:hanging="851"/>
        <w:rPr>
          <w:rFonts w:hint="eastAsia" w:ascii="仿宋" w:hAnsi="仿宋" w:eastAsia="仿宋" w:cs="仿宋"/>
          <w:sz w:val="24"/>
        </w:rPr>
      </w:pPr>
      <w:r>
        <w:rPr>
          <w:rFonts w:hint="eastAsia" w:ascii="仿宋" w:hAnsi="仿宋" w:eastAsia="仿宋" w:cs="仿宋"/>
          <w:sz w:val="24"/>
        </w:rPr>
        <w:t>致：汕头大学医学院：</w:t>
      </w:r>
    </w:p>
    <w:p w14:paraId="04709430">
      <w:pPr>
        <w:kinsoku w:val="0"/>
        <w:wordWrap w:val="0"/>
        <w:topLinePunct/>
        <w:ind w:firstLine="664"/>
        <w:rPr>
          <w:rFonts w:hint="eastAsia"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号（招标编号）招标书，我们同意招标文件中有关服务的要求，对所投的技术服务承诺如下服务：</w:t>
      </w:r>
    </w:p>
    <w:p w14:paraId="696708D0">
      <w:pPr>
        <w:kinsoku w:val="0"/>
        <w:wordWrap w:val="0"/>
        <w:topLinePunct/>
        <w:ind w:firstLine="664"/>
        <w:rPr>
          <w:rFonts w:hint="eastAsia" w:ascii="仿宋" w:hAnsi="仿宋" w:eastAsia="仿宋" w:cs="仿宋"/>
          <w:sz w:val="24"/>
        </w:rPr>
      </w:pPr>
    </w:p>
    <w:p w14:paraId="5E50984B">
      <w:pPr>
        <w:kinsoku w:val="0"/>
        <w:wordWrap w:val="0"/>
        <w:topLinePunct/>
        <w:ind w:firstLine="664"/>
        <w:rPr>
          <w:rFonts w:hint="eastAsia" w:ascii="仿宋" w:hAnsi="仿宋" w:eastAsia="仿宋" w:cs="仿宋"/>
          <w:sz w:val="24"/>
        </w:rPr>
      </w:pPr>
    </w:p>
    <w:p w14:paraId="1A1AB71F">
      <w:pPr>
        <w:kinsoku w:val="0"/>
        <w:wordWrap w:val="0"/>
        <w:topLinePunct/>
        <w:ind w:firstLine="664"/>
        <w:rPr>
          <w:rFonts w:hint="eastAsia" w:ascii="仿宋" w:hAnsi="仿宋" w:eastAsia="仿宋" w:cs="仿宋"/>
          <w:sz w:val="24"/>
        </w:rPr>
      </w:pPr>
    </w:p>
    <w:p w14:paraId="3A9D992D">
      <w:pPr>
        <w:kinsoku w:val="0"/>
        <w:wordWrap w:val="0"/>
        <w:topLinePunct/>
        <w:ind w:firstLine="664"/>
        <w:rPr>
          <w:rFonts w:hint="eastAsia" w:ascii="仿宋" w:hAnsi="仿宋" w:eastAsia="仿宋" w:cs="仿宋"/>
          <w:sz w:val="24"/>
        </w:rPr>
      </w:pPr>
    </w:p>
    <w:p w14:paraId="5B79AE75">
      <w:pPr>
        <w:kinsoku w:val="0"/>
        <w:wordWrap w:val="0"/>
        <w:topLinePunct/>
        <w:ind w:firstLine="664"/>
        <w:rPr>
          <w:rFonts w:hint="eastAsia" w:ascii="仿宋" w:hAnsi="仿宋" w:eastAsia="仿宋" w:cs="仿宋"/>
          <w:sz w:val="24"/>
        </w:rPr>
      </w:pPr>
    </w:p>
    <w:p w14:paraId="126EA7BC">
      <w:pPr>
        <w:kinsoku w:val="0"/>
        <w:wordWrap w:val="0"/>
        <w:topLinePunct/>
        <w:ind w:firstLine="664"/>
        <w:rPr>
          <w:rFonts w:hint="eastAsia" w:ascii="仿宋" w:hAnsi="仿宋" w:eastAsia="仿宋" w:cs="仿宋"/>
          <w:sz w:val="24"/>
        </w:rPr>
      </w:pPr>
    </w:p>
    <w:p w14:paraId="7464D7F4">
      <w:pPr>
        <w:kinsoku w:val="0"/>
        <w:wordWrap w:val="0"/>
        <w:topLinePunct/>
        <w:ind w:firstLine="664"/>
        <w:rPr>
          <w:rFonts w:hint="eastAsia" w:ascii="仿宋" w:hAnsi="仿宋" w:eastAsia="仿宋" w:cs="仿宋"/>
          <w:sz w:val="24"/>
        </w:rPr>
      </w:pPr>
    </w:p>
    <w:p w14:paraId="18205017">
      <w:pPr>
        <w:kinsoku w:val="0"/>
        <w:wordWrap w:val="0"/>
        <w:topLinePunct/>
        <w:ind w:firstLine="664"/>
        <w:rPr>
          <w:rFonts w:hint="eastAsia" w:ascii="仿宋" w:hAnsi="仿宋" w:eastAsia="仿宋" w:cs="仿宋"/>
          <w:sz w:val="24"/>
        </w:rPr>
      </w:pPr>
    </w:p>
    <w:p w14:paraId="120D0D06">
      <w:pPr>
        <w:kinsoku w:val="0"/>
        <w:wordWrap w:val="0"/>
        <w:topLinePunct/>
        <w:ind w:firstLine="664"/>
        <w:rPr>
          <w:rFonts w:hint="eastAsia" w:ascii="仿宋" w:hAnsi="仿宋" w:eastAsia="仿宋" w:cs="仿宋"/>
          <w:sz w:val="24"/>
        </w:rPr>
      </w:pPr>
    </w:p>
    <w:p w14:paraId="2EBA59EA">
      <w:pPr>
        <w:kinsoku w:val="0"/>
        <w:wordWrap w:val="0"/>
        <w:topLinePunct/>
        <w:ind w:firstLine="664"/>
        <w:rPr>
          <w:rFonts w:hint="eastAsia" w:ascii="仿宋" w:hAnsi="仿宋" w:eastAsia="仿宋" w:cs="仿宋"/>
          <w:sz w:val="24"/>
        </w:rPr>
      </w:pPr>
      <w:r>
        <w:rPr>
          <w:rFonts w:hint="eastAsia" w:ascii="仿宋" w:hAnsi="仿宋" w:eastAsia="仿宋" w:cs="仿宋"/>
          <w:sz w:val="24"/>
        </w:rPr>
        <w:t>特此承诺！</w:t>
      </w:r>
    </w:p>
    <w:p w14:paraId="731FE559">
      <w:pPr>
        <w:kinsoku w:val="0"/>
        <w:wordWrap w:val="0"/>
        <w:topLinePunct/>
        <w:ind w:firstLine="664"/>
        <w:rPr>
          <w:rFonts w:hint="eastAsia" w:ascii="仿宋" w:hAnsi="仿宋" w:eastAsia="仿宋" w:cs="仿宋"/>
          <w:sz w:val="24"/>
        </w:rPr>
      </w:pPr>
    </w:p>
    <w:p w14:paraId="187BD0F4">
      <w:pPr>
        <w:kinsoku w:val="0"/>
        <w:wordWrap w:val="0"/>
        <w:topLinePunct/>
        <w:rPr>
          <w:rFonts w:hint="eastAsia" w:ascii="仿宋" w:hAnsi="仿宋" w:eastAsia="仿宋" w:cs="仿宋"/>
          <w:sz w:val="24"/>
        </w:rPr>
      </w:pPr>
      <w:r>
        <w:rPr>
          <w:rFonts w:hint="eastAsia" w:ascii="仿宋" w:hAnsi="仿宋" w:eastAsia="仿宋" w:cs="仿宋"/>
          <w:sz w:val="24"/>
        </w:rPr>
        <w:t xml:space="preserve">    承诺方授权代表签字：</w:t>
      </w:r>
      <w:r>
        <w:rPr>
          <w:rFonts w:hint="eastAsia" w:ascii="仿宋" w:hAnsi="仿宋" w:eastAsia="仿宋" w:cs="仿宋"/>
          <w:sz w:val="24"/>
          <w:u w:val="single"/>
        </w:rPr>
        <w:t xml:space="preserve">                    </w:t>
      </w:r>
    </w:p>
    <w:p w14:paraId="49C6762A">
      <w:pPr>
        <w:kinsoku w:val="0"/>
        <w:wordWrap w:val="0"/>
        <w:topLinePunct/>
        <w:rPr>
          <w:rFonts w:hint="eastAsia" w:ascii="仿宋" w:hAnsi="仿宋" w:eastAsia="仿宋" w:cs="仿宋"/>
          <w:sz w:val="24"/>
        </w:rPr>
      </w:pPr>
      <w:r>
        <w:rPr>
          <w:rFonts w:hint="eastAsia" w:ascii="仿宋" w:hAnsi="仿宋" w:eastAsia="仿宋" w:cs="仿宋"/>
          <w:sz w:val="24"/>
        </w:rPr>
        <w:t xml:space="preserve">    职      位:</w:t>
      </w:r>
      <w:r>
        <w:rPr>
          <w:rFonts w:hint="eastAsia" w:ascii="仿宋" w:hAnsi="仿宋" w:eastAsia="仿宋" w:cs="仿宋"/>
          <w:sz w:val="24"/>
          <w:u w:val="single"/>
        </w:rPr>
        <w:t xml:space="preserve">                             </w:t>
      </w:r>
    </w:p>
    <w:p w14:paraId="7927E205">
      <w:pPr>
        <w:kinsoku w:val="0"/>
        <w:wordWrap w:val="0"/>
        <w:topLinePunct/>
        <w:rPr>
          <w:rFonts w:hint="eastAsia" w:ascii="仿宋" w:hAnsi="仿宋" w:eastAsia="仿宋" w:cs="仿宋"/>
          <w:sz w:val="24"/>
        </w:rPr>
      </w:pPr>
      <w:r>
        <w:rPr>
          <w:rFonts w:hint="eastAsia" w:ascii="仿宋" w:hAnsi="仿宋" w:eastAsia="仿宋" w:cs="仿宋"/>
          <w:sz w:val="24"/>
        </w:rPr>
        <w:t xml:space="preserve">    承诺方名称:</w:t>
      </w:r>
      <w:r>
        <w:rPr>
          <w:rFonts w:hint="eastAsia" w:ascii="仿宋" w:hAnsi="仿宋" w:eastAsia="仿宋" w:cs="仿宋"/>
          <w:sz w:val="24"/>
          <w:u w:val="single"/>
        </w:rPr>
        <w:t xml:space="preserve">                             </w:t>
      </w:r>
    </w:p>
    <w:p w14:paraId="2E655B2F">
      <w:pPr>
        <w:kinsoku w:val="0"/>
        <w:wordWrap w:val="0"/>
        <w:topLinePunct/>
        <w:rPr>
          <w:rFonts w:hint="eastAsia" w:ascii="仿宋" w:hAnsi="仿宋" w:eastAsia="仿宋" w:cs="仿宋"/>
          <w:sz w:val="24"/>
        </w:rPr>
      </w:pPr>
      <w:r>
        <w:rPr>
          <w:rFonts w:hint="eastAsia" w:ascii="仿宋" w:hAnsi="仿宋" w:eastAsia="仿宋" w:cs="仿宋"/>
          <w:sz w:val="24"/>
        </w:rPr>
        <w:t xml:space="preserve">    承诺方印章:</w:t>
      </w:r>
      <w:r>
        <w:rPr>
          <w:rFonts w:hint="eastAsia" w:ascii="仿宋" w:hAnsi="仿宋" w:eastAsia="仿宋" w:cs="仿宋"/>
          <w:sz w:val="24"/>
          <w:u w:val="single"/>
        </w:rPr>
        <w:t xml:space="preserve">                             </w:t>
      </w:r>
    </w:p>
    <w:p w14:paraId="41423E26">
      <w:pPr>
        <w:kinsoku w:val="0"/>
        <w:wordWrap w:val="0"/>
        <w:topLinePunct/>
        <w:rPr>
          <w:rFonts w:hint="eastAsia" w:ascii="仿宋" w:hAnsi="仿宋" w:eastAsia="仿宋" w:cs="仿宋"/>
          <w:sz w:val="24"/>
        </w:rPr>
      </w:pPr>
      <w:r>
        <w:rPr>
          <w:rFonts w:hint="eastAsia" w:ascii="仿宋" w:hAnsi="仿宋" w:eastAsia="仿宋" w:cs="仿宋"/>
          <w:sz w:val="24"/>
        </w:rPr>
        <w:t xml:space="preserve">   </w:t>
      </w:r>
    </w:p>
    <w:p w14:paraId="39BEBDC8">
      <w:pPr>
        <w:kinsoku w:val="0"/>
        <w:wordWrap w:val="0"/>
        <w:topLinePunct/>
        <w:ind w:firstLine="735"/>
        <w:rPr>
          <w:rFonts w:hint="eastAsia" w:ascii="仿宋" w:hAnsi="仿宋" w:eastAsia="仿宋" w:cs="仿宋"/>
          <w:sz w:val="24"/>
        </w:rPr>
      </w:pPr>
      <w:r>
        <w:rPr>
          <w:rFonts w:hint="eastAsia" w:ascii="仿宋" w:hAnsi="仿宋" w:eastAsia="仿宋" w:cs="仿宋"/>
          <w:sz w:val="24"/>
        </w:rPr>
        <w:t>地  址：</w:t>
      </w:r>
    </w:p>
    <w:p w14:paraId="3C517A43">
      <w:pPr>
        <w:kinsoku w:val="0"/>
        <w:wordWrap w:val="0"/>
        <w:topLinePunct/>
        <w:ind w:firstLine="735"/>
        <w:rPr>
          <w:rFonts w:hint="eastAsia" w:ascii="仿宋" w:hAnsi="仿宋" w:eastAsia="仿宋" w:cs="仿宋"/>
          <w:sz w:val="24"/>
        </w:rPr>
      </w:pPr>
      <w:r>
        <w:rPr>
          <w:rFonts w:hint="eastAsia" w:ascii="仿宋" w:hAnsi="仿宋" w:eastAsia="仿宋" w:cs="仿宋"/>
          <w:sz w:val="24"/>
        </w:rPr>
        <w:t>邮  编：</w:t>
      </w:r>
    </w:p>
    <w:p w14:paraId="4490B2B2">
      <w:pPr>
        <w:kinsoku w:val="0"/>
        <w:wordWrap w:val="0"/>
        <w:topLinePunct/>
        <w:ind w:firstLine="735"/>
        <w:rPr>
          <w:rFonts w:hint="eastAsia" w:ascii="仿宋" w:hAnsi="仿宋" w:eastAsia="仿宋" w:cs="仿宋"/>
          <w:sz w:val="24"/>
        </w:rPr>
      </w:pPr>
      <w:r>
        <w:rPr>
          <w:rFonts w:hint="eastAsia" w:ascii="仿宋" w:hAnsi="仿宋" w:eastAsia="仿宋" w:cs="仿宋"/>
          <w:sz w:val="24"/>
        </w:rPr>
        <w:t>电  话：</w:t>
      </w:r>
    </w:p>
    <w:p w14:paraId="69FC9FD6">
      <w:pPr>
        <w:kinsoku w:val="0"/>
        <w:wordWrap w:val="0"/>
        <w:topLinePunct/>
        <w:ind w:firstLine="735"/>
        <w:rPr>
          <w:rFonts w:hint="eastAsia" w:ascii="仿宋" w:hAnsi="仿宋" w:eastAsia="仿宋" w:cs="仿宋"/>
          <w:sz w:val="24"/>
        </w:rPr>
      </w:pPr>
      <w:r>
        <w:rPr>
          <w:rFonts w:hint="eastAsia" w:ascii="仿宋" w:hAnsi="仿宋" w:eastAsia="仿宋" w:cs="仿宋"/>
          <w:sz w:val="24"/>
        </w:rPr>
        <w:t>传  真：</w:t>
      </w:r>
    </w:p>
    <w:p w14:paraId="32159130">
      <w:pPr>
        <w:kinsoku w:val="0"/>
        <w:wordWrap w:val="0"/>
        <w:topLinePunct/>
        <w:rPr>
          <w:rFonts w:hint="eastAsia" w:ascii="仿宋" w:hAnsi="仿宋" w:eastAsia="仿宋" w:cs="仿宋"/>
          <w:sz w:val="24"/>
        </w:rPr>
      </w:pPr>
    </w:p>
    <w:p w14:paraId="144BF60B">
      <w:pPr>
        <w:kinsoku w:val="0"/>
        <w:wordWrap w:val="0"/>
        <w:topLinePunct/>
        <w:rPr>
          <w:rFonts w:hint="eastAsia" w:ascii="仿宋" w:hAnsi="仿宋" w:eastAsia="仿宋" w:cs="仿宋"/>
          <w:sz w:val="24"/>
        </w:rPr>
      </w:pPr>
    </w:p>
    <w:p w14:paraId="6A73C538">
      <w:pPr>
        <w:kinsoku w:val="0"/>
        <w:wordWrap w:val="0"/>
        <w:topLinePunct/>
        <w:rPr>
          <w:rFonts w:hint="eastAsia" w:ascii="仿宋" w:hAnsi="仿宋" w:eastAsia="仿宋" w:cs="仿宋"/>
          <w:sz w:val="24"/>
        </w:rPr>
      </w:pPr>
    </w:p>
    <w:p w14:paraId="5E5475FA">
      <w:pPr>
        <w:kinsoku w:val="0"/>
        <w:wordWrap w:val="0"/>
        <w:topLinePunct/>
        <w:rPr>
          <w:rFonts w:hint="eastAsia" w:ascii="仿宋" w:hAnsi="仿宋" w:eastAsia="仿宋" w:cs="仿宋"/>
          <w:sz w:val="24"/>
        </w:rPr>
      </w:pPr>
    </w:p>
    <w:p w14:paraId="7E744A21">
      <w:pPr>
        <w:kinsoku w:val="0"/>
        <w:wordWrap w:val="0"/>
        <w:topLinePunct/>
        <w:ind w:left="851" w:hanging="851"/>
        <w:rPr>
          <w:rFonts w:hint="eastAsia" w:ascii="仿宋" w:hAnsi="仿宋" w:eastAsia="仿宋" w:cs="仿宋"/>
          <w:sz w:val="24"/>
        </w:rPr>
      </w:pPr>
      <w:r>
        <w:rPr>
          <w:rFonts w:hint="eastAsia" w:ascii="仿宋" w:hAnsi="仿宋" w:eastAsia="仿宋" w:cs="仿宋"/>
          <w:sz w:val="24"/>
        </w:rPr>
        <w:t xml:space="preserve"> </w:t>
      </w:r>
    </w:p>
    <w:p w14:paraId="035CEE6C">
      <w:pPr>
        <w:kinsoku w:val="0"/>
        <w:wordWrap w:val="0"/>
        <w:topLinePunct/>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投标书附件3：</w:t>
      </w:r>
    </w:p>
    <w:p w14:paraId="6DC392F4">
      <w:pPr>
        <w:kinsoku w:val="0"/>
        <w:wordWrap w:val="0"/>
        <w:topLinePunct/>
        <w:ind w:left="851" w:hanging="851"/>
        <w:rPr>
          <w:rFonts w:hint="eastAsia" w:ascii="仿宋" w:hAnsi="仿宋" w:eastAsia="仿宋" w:cs="仿宋"/>
          <w:sz w:val="24"/>
        </w:rPr>
      </w:pPr>
    </w:p>
    <w:p w14:paraId="0BE19BE5">
      <w:pPr>
        <w:kinsoku w:val="0"/>
        <w:wordWrap w:val="0"/>
        <w:topLinePunct/>
        <w:ind w:left="851" w:hanging="851"/>
        <w:jc w:val="center"/>
        <w:rPr>
          <w:rFonts w:hint="eastAsia" w:ascii="仿宋" w:hAnsi="仿宋" w:eastAsia="仿宋" w:cs="仿宋"/>
          <w:b/>
          <w:sz w:val="32"/>
        </w:rPr>
      </w:pPr>
      <w:r>
        <w:rPr>
          <w:rFonts w:hint="eastAsia" w:ascii="仿宋" w:hAnsi="仿宋" w:eastAsia="仿宋" w:cs="仿宋"/>
          <w:b/>
          <w:sz w:val="32"/>
        </w:rPr>
        <w:t>关于资格文件声明的函</w:t>
      </w:r>
    </w:p>
    <w:p w14:paraId="639A377C">
      <w:pPr>
        <w:kinsoku w:val="0"/>
        <w:wordWrap w:val="0"/>
        <w:topLinePunct/>
        <w:ind w:left="851" w:hanging="851"/>
        <w:rPr>
          <w:rFonts w:hint="eastAsia" w:ascii="仿宋" w:hAnsi="仿宋" w:eastAsia="仿宋" w:cs="仿宋"/>
          <w:sz w:val="24"/>
        </w:rPr>
      </w:pPr>
    </w:p>
    <w:p w14:paraId="55C94029">
      <w:pPr>
        <w:kinsoku w:val="0"/>
        <w:wordWrap w:val="0"/>
        <w:topLinePunct/>
        <w:spacing w:after="180"/>
        <w:ind w:left="850" w:hanging="266"/>
        <w:rPr>
          <w:rFonts w:hint="eastAsia" w:ascii="仿宋" w:hAnsi="仿宋" w:eastAsia="仿宋" w:cs="仿宋"/>
          <w:sz w:val="24"/>
        </w:rPr>
      </w:pPr>
      <w:r>
        <w:rPr>
          <w:rFonts w:hint="eastAsia" w:ascii="仿宋" w:hAnsi="仿宋" w:eastAsia="仿宋" w:cs="仿宋"/>
          <w:sz w:val="24"/>
        </w:rPr>
        <w:t>致：汕头大学医学院</w:t>
      </w:r>
    </w:p>
    <w:p w14:paraId="30628924">
      <w:pPr>
        <w:kinsoku w:val="0"/>
        <w:wordWrap w:val="0"/>
        <w:topLinePunct/>
        <w:spacing w:after="180"/>
        <w:ind w:firstLine="585"/>
        <w:rPr>
          <w:rFonts w:hint="eastAsia" w:ascii="仿宋" w:hAnsi="仿宋" w:eastAsia="仿宋" w:cs="仿宋"/>
          <w:sz w:val="24"/>
        </w:rPr>
      </w:pPr>
      <w:r>
        <w:rPr>
          <w:rFonts w:hint="eastAsia" w:ascii="仿宋" w:hAnsi="仿宋" w:eastAsia="仿宋" w:cs="仿宋"/>
          <w:sz w:val="24"/>
        </w:rPr>
        <w:t>关于贵方</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日设</w:t>
      </w:r>
      <w:r>
        <w:rPr>
          <w:rFonts w:hint="eastAsia" w:ascii="仿宋" w:hAnsi="仿宋" w:eastAsia="仿宋" w:cs="仿宋"/>
          <w:sz w:val="24"/>
          <w:u w:val="single"/>
        </w:rPr>
        <w:t xml:space="preserve">           </w:t>
      </w:r>
      <w:r>
        <w:rPr>
          <w:rFonts w:hint="eastAsia" w:ascii="仿宋" w:hAnsi="仿宋" w:eastAsia="仿宋" w:cs="仿宋"/>
          <w:sz w:val="24"/>
        </w:rPr>
        <w:t>号招标文件的投标邀请，本签字人愿意参加投标，并证明提交的资格文件和说明是准确的和真实的。</w:t>
      </w:r>
    </w:p>
    <w:p w14:paraId="47A5C3B5">
      <w:pPr>
        <w:kinsoku w:val="0"/>
        <w:wordWrap w:val="0"/>
        <w:topLinePunct/>
        <w:spacing w:after="180"/>
        <w:rPr>
          <w:rFonts w:hint="eastAsia" w:ascii="仿宋" w:hAnsi="仿宋" w:eastAsia="仿宋" w:cs="仿宋"/>
          <w:sz w:val="24"/>
        </w:rPr>
      </w:pPr>
    </w:p>
    <w:p w14:paraId="5F303D98">
      <w:pPr>
        <w:kinsoku w:val="0"/>
        <w:wordWrap w:val="0"/>
        <w:topLinePunct/>
        <w:spacing w:after="180"/>
        <w:rPr>
          <w:rFonts w:hint="eastAsia" w:ascii="仿宋" w:hAnsi="仿宋" w:eastAsia="仿宋" w:cs="仿宋"/>
          <w:sz w:val="24"/>
        </w:rPr>
      </w:pPr>
    </w:p>
    <w:p w14:paraId="45037BA2">
      <w:pPr>
        <w:kinsoku w:val="0"/>
        <w:wordWrap w:val="0"/>
        <w:topLinePunct/>
        <w:spacing w:after="180"/>
        <w:rPr>
          <w:rFonts w:hint="eastAsia" w:ascii="仿宋" w:hAnsi="仿宋" w:eastAsia="仿宋" w:cs="仿宋"/>
          <w:sz w:val="24"/>
        </w:rPr>
      </w:pPr>
      <w:r>
        <w:rPr>
          <w:rFonts w:hint="eastAsia" w:ascii="仿宋" w:hAnsi="仿宋" w:eastAsia="仿宋" w:cs="仿宋"/>
          <w:sz w:val="24"/>
        </w:rPr>
        <w:t>单位名称和地址：              授权签署本资格文件人：</w:t>
      </w:r>
    </w:p>
    <w:p w14:paraId="4AD0AE4B">
      <w:pPr>
        <w:kinsoku w:val="0"/>
        <w:wordWrap w:val="0"/>
        <w:topLinePunct/>
        <w:spacing w:after="180"/>
        <w:rPr>
          <w:rFonts w:hint="eastAsia"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 xml:space="preserve">                 </w:t>
      </w:r>
      <w:r>
        <w:rPr>
          <w:rFonts w:hint="eastAsia" w:ascii="仿宋" w:hAnsi="仿宋" w:eastAsia="仿宋" w:cs="仿宋"/>
          <w:sz w:val="24"/>
        </w:rPr>
        <w:t xml:space="preserve">     签  字：</w:t>
      </w:r>
      <w:r>
        <w:rPr>
          <w:rFonts w:hint="eastAsia" w:ascii="仿宋" w:hAnsi="仿宋" w:eastAsia="仿宋" w:cs="仿宋"/>
          <w:sz w:val="24"/>
          <w:u w:val="single"/>
        </w:rPr>
        <w:t xml:space="preserve">                 </w:t>
      </w:r>
      <w:r>
        <w:rPr>
          <w:rFonts w:hint="eastAsia" w:ascii="仿宋" w:hAnsi="仿宋" w:eastAsia="仿宋" w:cs="仿宋"/>
          <w:sz w:val="24"/>
        </w:rPr>
        <w:t>.</w:t>
      </w:r>
    </w:p>
    <w:p w14:paraId="24DBDD5F">
      <w:pPr>
        <w:kinsoku w:val="0"/>
        <w:wordWrap w:val="0"/>
        <w:topLinePunct/>
        <w:spacing w:after="180"/>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r>
        <w:rPr>
          <w:rFonts w:hint="eastAsia" w:ascii="仿宋" w:hAnsi="仿宋" w:eastAsia="仿宋" w:cs="仿宋"/>
          <w:sz w:val="24"/>
        </w:rPr>
        <w:t xml:space="preserve">     签字人姓名、职务（印刷体）</w:t>
      </w:r>
    </w:p>
    <w:p w14:paraId="604AC611">
      <w:pPr>
        <w:kinsoku w:val="0"/>
        <w:wordWrap w:val="0"/>
        <w:topLinePunct/>
        <w:spacing w:after="180"/>
        <w:rPr>
          <w:rFonts w:hint="eastAsia" w:ascii="仿宋" w:hAnsi="仿宋" w:eastAsia="仿宋" w:cs="仿宋"/>
          <w:sz w:val="24"/>
          <w:u w:val="single"/>
        </w:rPr>
      </w:pPr>
      <w:r>
        <w:rPr>
          <w:rFonts w:hint="eastAsia" w:ascii="仿宋" w:hAnsi="仿宋" w:eastAsia="仿宋" w:cs="仿宋"/>
          <w:sz w:val="24"/>
        </w:rPr>
        <w:t>传  真：</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14:paraId="26F8BF6C">
      <w:pPr>
        <w:kinsoku w:val="0"/>
        <w:wordWrap w:val="0"/>
        <w:topLinePunct/>
        <w:spacing w:after="180"/>
        <w:rPr>
          <w:rFonts w:hint="eastAsia" w:ascii="仿宋" w:hAnsi="仿宋" w:eastAsia="仿宋" w:cs="仿宋"/>
          <w:sz w:val="24"/>
        </w:rPr>
      </w:pPr>
      <w:r>
        <w:rPr>
          <w:rFonts w:hint="eastAsia" w:ascii="仿宋" w:hAnsi="仿宋" w:eastAsia="仿宋" w:cs="仿宋"/>
          <w:sz w:val="24"/>
        </w:rPr>
        <w:t>邮  编：</w:t>
      </w:r>
      <w:r>
        <w:rPr>
          <w:rFonts w:hint="eastAsia" w:ascii="仿宋" w:hAnsi="仿宋" w:eastAsia="仿宋" w:cs="仿宋"/>
          <w:sz w:val="24"/>
          <w:u w:val="single"/>
        </w:rPr>
        <w:t xml:space="preserve">                 </w:t>
      </w:r>
      <w:r>
        <w:rPr>
          <w:rFonts w:hint="eastAsia" w:ascii="仿宋" w:hAnsi="仿宋" w:eastAsia="仿宋" w:cs="仿宋"/>
          <w:sz w:val="24"/>
        </w:rPr>
        <w:t xml:space="preserve">     电  话：</w:t>
      </w:r>
      <w:r>
        <w:rPr>
          <w:rFonts w:hint="eastAsia" w:ascii="仿宋" w:hAnsi="仿宋" w:eastAsia="仿宋" w:cs="仿宋"/>
          <w:sz w:val="24"/>
          <w:u w:val="single"/>
        </w:rPr>
        <w:t xml:space="preserve">                 </w:t>
      </w:r>
      <w:r>
        <w:rPr>
          <w:rFonts w:hint="eastAsia" w:ascii="仿宋" w:hAnsi="仿宋" w:eastAsia="仿宋" w:cs="仿宋"/>
          <w:sz w:val="24"/>
        </w:rPr>
        <w:t>.</w:t>
      </w:r>
    </w:p>
    <w:p w14:paraId="4892D1DA">
      <w:pPr>
        <w:kinsoku w:val="0"/>
        <w:wordWrap w:val="0"/>
        <w:topLinePunct/>
        <w:spacing w:after="180"/>
        <w:rPr>
          <w:rFonts w:hint="eastAsia" w:ascii="仿宋" w:hAnsi="仿宋" w:eastAsia="仿宋" w:cs="仿宋"/>
          <w:sz w:val="24"/>
        </w:rPr>
      </w:pPr>
    </w:p>
    <w:p w14:paraId="08DB0D05">
      <w:pPr>
        <w:kinsoku w:val="0"/>
        <w:wordWrap w:val="0"/>
        <w:topLinePunct/>
        <w:spacing w:after="180"/>
        <w:rPr>
          <w:rFonts w:hint="eastAsia" w:ascii="仿宋" w:hAnsi="仿宋" w:eastAsia="仿宋" w:cs="仿宋"/>
          <w:sz w:val="24"/>
        </w:rPr>
      </w:pPr>
    </w:p>
    <w:p w14:paraId="66746B1C">
      <w:pPr>
        <w:kinsoku w:val="0"/>
        <w:wordWrap w:val="0"/>
        <w:topLinePunct/>
        <w:spacing w:after="180"/>
        <w:rPr>
          <w:rFonts w:hint="eastAsia" w:ascii="仿宋" w:hAnsi="仿宋" w:eastAsia="仿宋" w:cs="仿宋"/>
          <w:sz w:val="24"/>
        </w:rPr>
      </w:pPr>
    </w:p>
    <w:p w14:paraId="245D4229">
      <w:pPr>
        <w:kinsoku w:val="0"/>
        <w:wordWrap w:val="0"/>
        <w:topLinePunct/>
        <w:spacing w:after="180"/>
        <w:rPr>
          <w:rFonts w:hint="eastAsia" w:ascii="仿宋" w:hAnsi="仿宋" w:eastAsia="仿宋" w:cs="仿宋"/>
          <w:sz w:val="24"/>
        </w:rPr>
      </w:pPr>
    </w:p>
    <w:p w14:paraId="7769EE87">
      <w:pPr>
        <w:kinsoku w:val="0"/>
        <w:wordWrap w:val="0"/>
        <w:topLinePunct/>
        <w:spacing w:after="180"/>
        <w:rPr>
          <w:rFonts w:hint="eastAsia" w:ascii="仿宋" w:hAnsi="仿宋" w:eastAsia="仿宋" w:cs="仿宋"/>
          <w:sz w:val="24"/>
        </w:rPr>
      </w:pPr>
    </w:p>
    <w:p w14:paraId="7B32AF97">
      <w:pPr>
        <w:kinsoku w:val="0"/>
        <w:wordWrap w:val="0"/>
        <w:topLinePunct/>
        <w:spacing w:after="180"/>
        <w:rPr>
          <w:rFonts w:hint="eastAsia" w:ascii="仿宋" w:hAnsi="仿宋" w:eastAsia="仿宋" w:cs="仿宋"/>
          <w:sz w:val="24"/>
        </w:rPr>
      </w:pPr>
    </w:p>
    <w:p w14:paraId="041F90C6">
      <w:pPr>
        <w:kinsoku w:val="0"/>
        <w:wordWrap w:val="0"/>
        <w:topLinePunct/>
        <w:spacing w:after="180"/>
        <w:rPr>
          <w:rFonts w:hint="eastAsia" w:ascii="仿宋" w:hAnsi="仿宋" w:eastAsia="仿宋" w:cs="仿宋"/>
          <w:sz w:val="24"/>
        </w:rPr>
      </w:pPr>
    </w:p>
    <w:p w14:paraId="66B83A94">
      <w:pPr>
        <w:kinsoku w:val="0"/>
        <w:wordWrap w:val="0"/>
        <w:topLinePunct/>
        <w:spacing w:after="180"/>
        <w:rPr>
          <w:rFonts w:hint="eastAsia" w:ascii="仿宋" w:hAnsi="仿宋" w:eastAsia="仿宋" w:cs="仿宋"/>
          <w:sz w:val="24"/>
        </w:rPr>
      </w:pPr>
    </w:p>
    <w:p w14:paraId="147E2471">
      <w:pPr>
        <w:kinsoku w:val="0"/>
        <w:wordWrap w:val="0"/>
        <w:topLinePunct/>
        <w:spacing w:after="180"/>
        <w:rPr>
          <w:rFonts w:hint="eastAsia" w:ascii="仿宋" w:hAnsi="仿宋" w:eastAsia="仿宋" w:cs="仿宋"/>
          <w:sz w:val="24"/>
        </w:rPr>
      </w:pPr>
    </w:p>
    <w:p w14:paraId="05AA8F0A">
      <w:pPr>
        <w:kinsoku w:val="0"/>
        <w:wordWrap w:val="0"/>
        <w:topLinePunct/>
        <w:spacing w:after="180"/>
        <w:rPr>
          <w:rFonts w:hint="eastAsia" w:ascii="仿宋" w:hAnsi="仿宋" w:eastAsia="仿宋" w:cs="仿宋"/>
          <w:sz w:val="24"/>
        </w:rPr>
      </w:pPr>
    </w:p>
    <w:p w14:paraId="4C7499F5">
      <w:pPr>
        <w:kinsoku w:val="0"/>
        <w:wordWrap w:val="0"/>
        <w:topLinePunct/>
        <w:spacing w:after="180"/>
        <w:rPr>
          <w:rFonts w:hint="eastAsia" w:ascii="仿宋" w:hAnsi="仿宋" w:eastAsia="仿宋" w:cs="仿宋"/>
          <w:sz w:val="24"/>
        </w:rPr>
      </w:pPr>
    </w:p>
    <w:p w14:paraId="2E3BBB7A">
      <w:pPr>
        <w:kinsoku w:val="0"/>
        <w:wordWrap w:val="0"/>
        <w:topLinePunct/>
        <w:spacing w:after="180"/>
        <w:rPr>
          <w:rFonts w:hint="eastAsia" w:ascii="仿宋" w:hAnsi="仿宋" w:eastAsia="仿宋" w:cs="仿宋"/>
          <w:sz w:val="24"/>
        </w:rPr>
      </w:pPr>
    </w:p>
    <w:p w14:paraId="0F03250B">
      <w:pPr>
        <w:kinsoku w:val="0"/>
        <w:wordWrap w:val="0"/>
        <w:topLinePunct/>
        <w:spacing w:after="180"/>
        <w:rPr>
          <w:rFonts w:hint="eastAsia" w:ascii="仿宋" w:hAnsi="仿宋" w:eastAsia="仿宋" w:cs="仿宋"/>
          <w:sz w:val="24"/>
        </w:rPr>
      </w:pPr>
    </w:p>
    <w:p w14:paraId="64F99BB6">
      <w:pPr>
        <w:kinsoku w:val="0"/>
        <w:wordWrap w:val="0"/>
        <w:topLinePunct/>
        <w:spacing w:after="180"/>
        <w:rPr>
          <w:rFonts w:hint="eastAsia" w:ascii="仿宋" w:hAnsi="仿宋" w:eastAsia="仿宋" w:cs="仿宋"/>
          <w:sz w:val="24"/>
        </w:rPr>
      </w:pPr>
      <w:r>
        <w:rPr>
          <w:rFonts w:hint="eastAsia" w:ascii="仿宋" w:hAnsi="仿宋" w:eastAsia="仿宋" w:cs="仿宋"/>
          <w:sz w:val="24"/>
        </w:rPr>
        <w:t>投标书附件4：</w:t>
      </w:r>
    </w:p>
    <w:p w14:paraId="01863780">
      <w:pPr>
        <w:kinsoku w:val="0"/>
        <w:wordWrap w:val="0"/>
        <w:topLinePunct/>
        <w:spacing w:after="180"/>
        <w:rPr>
          <w:rFonts w:hint="eastAsia" w:ascii="仿宋" w:hAnsi="仿宋" w:eastAsia="仿宋" w:cs="仿宋"/>
          <w:sz w:val="24"/>
        </w:rPr>
      </w:pPr>
    </w:p>
    <w:p w14:paraId="6747F4E2">
      <w:pPr>
        <w:kinsoku w:val="0"/>
        <w:wordWrap w:val="0"/>
        <w:topLinePunct/>
        <w:spacing w:after="180"/>
        <w:jc w:val="center"/>
        <w:rPr>
          <w:rFonts w:hint="eastAsia" w:ascii="仿宋" w:hAnsi="仿宋" w:eastAsia="仿宋" w:cs="仿宋"/>
          <w:b/>
          <w:sz w:val="32"/>
        </w:rPr>
      </w:pPr>
      <w:r>
        <w:rPr>
          <w:rFonts w:hint="eastAsia" w:ascii="仿宋" w:hAnsi="仿宋" w:eastAsia="仿宋" w:cs="仿宋"/>
          <w:b/>
          <w:sz w:val="32"/>
        </w:rPr>
        <w:t>资 格 文 件</w:t>
      </w:r>
    </w:p>
    <w:p w14:paraId="670A6D1F">
      <w:pPr>
        <w:kinsoku w:val="0"/>
        <w:wordWrap w:val="0"/>
        <w:topLinePunct/>
        <w:spacing w:after="180"/>
        <w:rPr>
          <w:rFonts w:hint="eastAsia" w:ascii="仿宋" w:hAnsi="仿宋" w:eastAsia="仿宋" w:cs="仿宋"/>
          <w:sz w:val="24"/>
        </w:rPr>
      </w:pPr>
    </w:p>
    <w:p w14:paraId="5291EB9E">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投标人应按下列要求提交资格文件：</w:t>
      </w:r>
    </w:p>
    <w:p w14:paraId="57EF7556">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1. 投标人全称和注册国。</w:t>
      </w:r>
    </w:p>
    <w:p w14:paraId="1A5F5AEF">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2. 营业执照和工商局签发的销售许可证（复印件）。</w:t>
      </w:r>
    </w:p>
    <w:p w14:paraId="499E148E">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3. 开户银行名称和帐号。</w:t>
      </w:r>
    </w:p>
    <w:p w14:paraId="58FEBB33">
      <w:pPr>
        <w:kinsoku w:val="0"/>
        <w:wordWrap w:val="0"/>
        <w:topLinePunct/>
        <w:spacing w:after="180"/>
        <w:ind w:firstLine="292" w:firstLineChars="100"/>
        <w:rPr>
          <w:rFonts w:hint="eastAsia" w:ascii="仿宋" w:hAnsi="仿宋" w:eastAsia="仿宋" w:cs="仿宋"/>
          <w:sz w:val="24"/>
        </w:rPr>
      </w:pPr>
      <w:r>
        <w:rPr>
          <w:rFonts w:hint="eastAsia" w:ascii="仿宋" w:hAnsi="仿宋" w:eastAsia="仿宋" w:cs="仿宋"/>
          <w:sz w:val="24"/>
        </w:rPr>
        <w:t xml:space="preserve">  4. 参加本项目招标采购活动前三年内，在经营活动中没有重大违法记录书面声明。</w:t>
      </w:r>
    </w:p>
    <w:p w14:paraId="19197A43">
      <w:pPr>
        <w:kinsoku w:val="0"/>
        <w:wordWrap w:val="0"/>
        <w:topLinePunct/>
        <w:spacing w:after="180"/>
        <w:ind w:left="332" w:leftChars="100" w:firstLine="292" w:firstLineChars="100"/>
        <w:rPr>
          <w:rFonts w:hint="eastAsia" w:ascii="仿宋" w:hAnsi="仿宋" w:eastAsia="仿宋" w:cs="仿宋"/>
          <w:sz w:val="24"/>
        </w:rPr>
      </w:pPr>
      <w:r>
        <w:rPr>
          <w:rFonts w:hint="eastAsia" w:ascii="仿宋" w:hAnsi="仿宋" w:eastAsia="仿宋" w:cs="仿宋"/>
          <w:sz w:val="24"/>
        </w:rPr>
        <w:t>5. 投标人未被列入“信用中国”网站失信被执行人、重大税收违法案件严重违法失信行为记录名单 (截图）。</w:t>
      </w:r>
    </w:p>
    <w:p w14:paraId="256219EB">
      <w:pPr>
        <w:kinsoku w:val="0"/>
        <w:wordWrap w:val="0"/>
        <w:topLinePunct/>
        <w:spacing w:after="180"/>
        <w:ind w:left="332" w:leftChars="100"/>
        <w:rPr>
          <w:rFonts w:hint="eastAsia" w:ascii="仿宋" w:hAnsi="仿宋" w:eastAsia="仿宋" w:cs="仿宋"/>
          <w:sz w:val="24"/>
        </w:rPr>
      </w:pPr>
    </w:p>
    <w:p w14:paraId="6CE03553">
      <w:pPr>
        <w:kinsoku w:val="0"/>
        <w:wordWrap w:val="0"/>
        <w:topLinePunct/>
        <w:spacing w:after="180"/>
        <w:ind w:left="332" w:leftChars="100"/>
        <w:rPr>
          <w:rFonts w:hint="eastAsia" w:ascii="仿宋" w:hAnsi="仿宋" w:eastAsia="仿宋" w:cs="仿宋"/>
          <w:sz w:val="24"/>
        </w:rPr>
      </w:pPr>
    </w:p>
    <w:p w14:paraId="309BFF27">
      <w:pPr>
        <w:kinsoku w:val="0"/>
        <w:wordWrap w:val="0"/>
        <w:topLinePunct/>
        <w:spacing w:after="180"/>
        <w:ind w:left="332" w:leftChars="100"/>
        <w:rPr>
          <w:rFonts w:hint="eastAsia" w:ascii="仿宋" w:hAnsi="仿宋" w:eastAsia="仿宋" w:cs="仿宋"/>
          <w:sz w:val="24"/>
        </w:rPr>
      </w:pPr>
    </w:p>
    <w:sectPr>
      <w:headerReference r:id="rId3" w:type="default"/>
      <w:footerReference r:id="rId4" w:type="default"/>
      <w:footerReference r:id="rId5" w:type="even"/>
      <w:pgSz w:w="11907" w:h="16840"/>
      <w:pgMar w:top="1021" w:right="907" w:bottom="1021" w:left="1134" w:header="851" w:footer="992" w:gutter="0"/>
      <w:pgNumType w:start="0"/>
      <w:cols w:space="720" w:num="1"/>
      <w:titlePg/>
      <w:docGrid w:type="linesAndChars" w:linePitch="381" w:charSpace="106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Mangal">
    <w:panose1 w:val="02040503050203030202"/>
    <w:charset w:val="00"/>
    <w:family w:val="roman"/>
    <w:pitch w:val="default"/>
    <w:sig w:usb0="00008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CD6D">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14:paraId="6DF956F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2A106">
    <w:pPr>
      <w:pStyle w:val="14"/>
      <w:framePr w:wrap="around" w:vAnchor="text" w:hAnchor="margin" w:xAlign="center" w:y="1"/>
      <w:rPr>
        <w:rStyle w:val="26"/>
      </w:rPr>
    </w:pPr>
    <w:r>
      <w:fldChar w:fldCharType="begin"/>
    </w:r>
    <w:r>
      <w:rPr>
        <w:rStyle w:val="26"/>
      </w:rPr>
      <w:instrText xml:space="preserve">PAGE  </w:instrText>
    </w:r>
    <w:r>
      <w:fldChar w:fldCharType="end"/>
    </w:r>
  </w:p>
  <w:p w14:paraId="7FFFFD9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D0BE">
    <w:pPr>
      <w:pStyle w:val="15"/>
      <w:jc w:val="both"/>
    </w:pPr>
    <w:r>
      <w:rPr>
        <w:rFonts w:hint="eastAsia"/>
      </w:rPr>
      <w:t>汕头大学医学院设备招标文件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C1AFC"/>
    <w:multiLevelType w:val="singleLevel"/>
    <w:tmpl w:val="A19C1AFC"/>
    <w:lvl w:ilvl="0" w:tentative="0">
      <w:start w:val="2"/>
      <w:numFmt w:val="decimal"/>
      <w:lvlText w:val="%1."/>
      <w:lvlJc w:val="left"/>
      <w:pPr>
        <w:tabs>
          <w:tab w:val="left" w:pos="312"/>
        </w:tabs>
      </w:pPr>
    </w:lvl>
  </w:abstractNum>
  <w:abstractNum w:abstractNumId="1">
    <w:nsid w:val="A46084CF"/>
    <w:multiLevelType w:val="singleLevel"/>
    <w:tmpl w:val="A46084CF"/>
    <w:lvl w:ilvl="0" w:tentative="0">
      <w:start w:val="5"/>
      <w:numFmt w:val="chineseCounting"/>
      <w:suff w:val="nothing"/>
      <w:lvlText w:val="%1．"/>
      <w:lvlJc w:val="left"/>
      <w:pPr>
        <w:ind w:left="-2"/>
      </w:pPr>
      <w:rPr>
        <w:rFonts w:hint="eastAsia"/>
      </w:rPr>
    </w:lvl>
  </w:abstractNum>
  <w:abstractNum w:abstractNumId="2">
    <w:nsid w:val="B04F8A02"/>
    <w:multiLevelType w:val="singleLevel"/>
    <w:tmpl w:val="B04F8A02"/>
    <w:lvl w:ilvl="0" w:tentative="0">
      <w:start w:val="1"/>
      <w:numFmt w:val="decimal"/>
      <w:suff w:val="nothing"/>
      <w:lvlText w:val="（%1）"/>
      <w:lvlJc w:val="left"/>
    </w:lvl>
  </w:abstractNum>
  <w:abstractNum w:abstractNumId="3">
    <w:nsid w:val="EAB01A2B"/>
    <w:multiLevelType w:val="singleLevel"/>
    <w:tmpl w:val="EAB01A2B"/>
    <w:lvl w:ilvl="0" w:tentative="0">
      <w:start w:val="3"/>
      <w:numFmt w:val="chineseCounting"/>
      <w:suff w:val="space"/>
      <w:lvlText w:val="%1."/>
      <w:lvlJc w:val="left"/>
      <w:rPr>
        <w:rFonts w:hint="eastAsia"/>
      </w:rPr>
    </w:lvl>
  </w:abstractNum>
  <w:abstractNum w:abstractNumId="4">
    <w:nsid w:val="154413BC"/>
    <w:multiLevelType w:val="singleLevel"/>
    <w:tmpl w:val="154413BC"/>
    <w:lvl w:ilvl="0" w:tentative="0">
      <w:start w:val="1"/>
      <w:numFmt w:val="decimal"/>
      <w:lvlText w:val="%1."/>
      <w:lvlJc w:val="left"/>
      <w:pPr>
        <w:tabs>
          <w:tab w:val="left" w:pos="425"/>
        </w:tabs>
        <w:ind w:left="425" w:hanging="425"/>
      </w:pPr>
      <w:rPr>
        <w:rFonts w:hint="eastAsia"/>
      </w:rPr>
    </w:lvl>
  </w:abstractNum>
  <w:abstractNum w:abstractNumId="5">
    <w:nsid w:val="2DFF5402"/>
    <w:multiLevelType w:val="multilevel"/>
    <w:tmpl w:val="2DFF5402"/>
    <w:lvl w:ilvl="0" w:tentative="0">
      <w:start w:val="1"/>
      <w:numFmt w:val="decimal"/>
      <w:lvlText w:val="%1."/>
      <w:lvlJc w:val="left"/>
      <w:pPr>
        <w:tabs>
          <w:tab w:val="left" w:pos="1260"/>
        </w:tabs>
        <w:ind w:left="1260" w:hanging="420"/>
      </w:pPr>
    </w:lvl>
    <w:lvl w:ilvl="1" w:tentative="0">
      <w:start w:val="2"/>
      <w:numFmt w:val="upperRoman"/>
      <w:pStyle w:val="4"/>
      <w:lvlText w:val="%2."/>
      <w:lvlJc w:val="left"/>
      <w:pPr>
        <w:tabs>
          <w:tab w:val="left" w:pos="1980"/>
        </w:tabs>
        <w:ind w:left="1680" w:hanging="42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38C06D4F"/>
    <w:multiLevelType w:val="multilevel"/>
    <w:tmpl w:val="38C06D4F"/>
    <w:lvl w:ilvl="0" w:tentative="0">
      <w:start w:val="1"/>
      <w:numFmt w:val="upperRoman"/>
      <w:pStyle w:val="3"/>
      <w:lvlText w:val="%1."/>
      <w:lvlJc w:val="left"/>
      <w:pPr>
        <w:tabs>
          <w:tab w:val="left" w:pos="1085"/>
        </w:tabs>
        <w:ind w:left="1085" w:hanging="420"/>
      </w:pPr>
    </w:lvl>
    <w:lvl w:ilvl="1" w:tentative="0">
      <w:start w:val="1"/>
      <w:numFmt w:val="bullet"/>
      <w:lvlText w:val=""/>
      <w:lvlJc w:val="left"/>
      <w:pPr>
        <w:tabs>
          <w:tab w:val="left" w:pos="1505"/>
        </w:tabs>
        <w:ind w:left="1505" w:hanging="420"/>
      </w:pPr>
      <w:rPr>
        <w:rFonts w:hint="default" w:ascii="Wingdings" w:hAnsi="Wingdings"/>
      </w:rPr>
    </w:lvl>
    <w:lvl w:ilvl="2" w:tentative="0">
      <w:start w:val="1"/>
      <w:numFmt w:val="decimal"/>
      <w:lvlText w:val="%3."/>
      <w:lvlJc w:val="left"/>
      <w:pPr>
        <w:tabs>
          <w:tab w:val="left" w:pos="1925"/>
        </w:tabs>
        <w:ind w:left="1925" w:hanging="420"/>
      </w:pPr>
    </w:lvl>
    <w:lvl w:ilvl="3" w:tentative="0">
      <w:start w:val="1"/>
      <w:numFmt w:val="decimal"/>
      <w:lvlText w:val="%4."/>
      <w:lvlJc w:val="left"/>
      <w:pPr>
        <w:tabs>
          <w:tab w:val="left" w:pos="2345"/>
        </w:tabs>
        <w:ind w:left="2345" w:hanging="420"/>
      </w:pPr>
    </w:lvl>
    <w:lvl w:ilvl="4" w:tentative="0">
      <w:start w:val="1"/>
      <w:numFmt w:val="lowerLetter"/>
      <w:lvlText w:val="%5)"/>
      <w:lvlJc w:val="left"/>
      <w:pPr>
        <w:tabs>
          <w:tab w:val="left" w:pos="2765"/>
        </w:tabs>
        <w:ind w:left="2765" w:hanging="420"/>
      </w:pPr>
    </w:lvl>
    <w:lvl w:ilvl="5" w:tentative="0">
      <w:start w:val="1"/>
      <w:numFmt w:val="lowerRoman"/>
      <w:lvlText w:val="%6."/>
      <w:lvlJc w:val="right"/>
      <w:pPr>
        <w:tabs>
          <w:tab w:val="left" w:pos="3185"/>
        </w:tabs>
        <w:ind w:left="3185" w:hanging="420"/>
      </w:pPr>
    </w:lvl>
    <w:lvl w:ilvl="6" w:tentative="0">
      <w:start w:val="1"/>
      <w:numFmt w:val="decimal"/>
      <w:lvlText w:val="%7."/>
      <w:lvlJc w:val="left"/>
      <w:pPr>
        <w:tabs>
          <w:tab w:val="left" w:pos="3605"/>
        </w:tabs>
        <w:ind w:left="3605" w:hanging="420"/>
      </w:pPr>
    </w:lvl>
    <w:lvl w:ilvl="7" w:tentative="0">
      <w:start w:val="1"/>
      <w:numFmt w:val="lowerLetter"/>
      <w:lvlText w:val="%8)"/>
      <w:lvlJc w:val="left"/>
      <w:pPr>
        <w:tabs>
          <w:tab w:val="left" w:pos="4025"/>
        </w:tabs>
        <w:ind w:left="4025" w:hanging="420"/>
      </w:pPr>
    </w:lvl>
    <w:lvl w:ilvl="8" w:tentative="0">
      <w:start w:val="1"/>
      <w:numFmt w:val="lowerRoman"/>
      <w:lvlText w:val="%9."/>
      <w:lvlJc w:val="right"/>
      <w:pPr>
        <w:tabs>
          <w:tab w:val="left" w:pos="4445"/>
        </w:tabs>
        <w:ind w:left="4445" w:hanging="420"/>
      </w:pPr>
    </w:lvl>
  </w:abstractNum>
  <w:abstractNum w:abstractNumId="7">
    <w:nsid w:val="3E3EAFC7"/>
    <w:multiLevelType w:val="singleLevel"/>
    <w:tmpl w:val="3E3EAFC7"/>
    <w:lvl w:ilvl="0" w:tentative="0">
      <w:start w:val="2"/>
      <w:numFmt w:val="chineseCounting"/>
      <w:suff w:val="nothing"/>
      <w:lvlText w:val="%1．"/>
      <w:lvlJc w:val="left"/>
      <w:rPr>
        <w:rFonts w:hint="eastAsia"/>
      </w:rPr>
    </w:lvl>
  </w:abstractNum>
  <w:abstractNum w:abstractNumId="8">
    <w:nsid w:val="45D52E3E"/>
    <w:multiLevelType w:val="singleLevel"/>
    <w:tmpl w:val="45D52E3E"/>
    <w:lvl w:ilvl="0" w:tentative="0">
      <w:start w:val="1"/>
      <w:numFmt w:val="japaneseCounting"/>
      <w:lvlText w:val="%1、"/>
      <w:lvlJc w:val="left"/>
      <w:pPr>
        <w:tabs>
          <w:tab w:val="left" w:pos="1920"/>
        </w:tabs>
        <w:ind w:left="1920" w:hanging="660"/>
      </w:pPr>
      <w:rPr>
        <w:rFonts w:hint="eastAsia"/>
      </w:rPr>
    </w:lvl>
  </w:abstractNum>
  <w:abstractNum w:abstractNumId="9">
    <w:nsid w:val="497E2A19"/>
    <w:multiLevelType w:val="multilevel"/>
    <w:tmpl w:val="497E2A19"/>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140"/>
        </w:tabs>
        <w:ind w:left="1140" w:hanging="7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860"/>
        </w:tabs>
        <w:ind w:left="1860" w:hanging="600"/>
      </w:pPr>
    </w:lvl>
    <w:lvl w:ilvl="4" w:tentative="0">
      <w:start w:val="6"/>
      <w:numFmt w:val="decimal"/>
      <w:lvlText w:val="%5、"/>
      <w:lvlJc w:val="left"/>
      <w:pPr>
        <w:tabs>
          <w:tab w:val="left" w:pos="2400"/>
        </w:tabs>
        <w:ind w:left="2400" w:hanging="72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CEC46AA"/>
    <w:multiLevelType w:val="singleLevel"/>
    <w:tmpl w:val="4CEC46AA"/>
    <w:lvl w:ilvl="0" w:tentative="0">
      <w:start w:val="1"/>
      <w:numFmt w:val="decimal"/>
      <w:lvlText w:val="%1."/>
      <w:lvlJc w:val="left"/>
      <w:pPr>
        <w:tabs>
          <w:tab w:val="left" w:pos="425"/>
        </w:tabs>
        <w:ind w:left="425" w:hanging="425"/>
      </w:pPr>
      <w:rPr>
        <w:rFonts w:hint="eastAsia"/>
      </w:rPr>
    </w:lvl>
  </w:abstractNum>
  <w:abstractNum w:abstractNumId="11">
    <w:nsid w:val="640730C6"/>
    <w:multiLevelType w:val="singleLevel"/>
    <w:tmpl w:val="640730C6"/>
    <w:lvl w:ilvl="0" w:tentative="0">
      <w:start w:val="1"/>
      <w:numFmt w:val="decimal"/>
      <w:lvlText w:val="%1."/>
      <w:lvlJc w:val="left"/>
      <w:pPr>
        <w:tabs>
          <w:tab w:val="left" w:pos="425"/>
        </w:tabs>
        <w:ind w:left="425" w:hanging="425"/>
      </w:pPr>
      <w:rPr>
        <w:rFonts w:hint="eastAsia"/>
      </w:rPr>
    </w:lvl>
  </w:abstractNum>
  <w:abstractNum w:abstractNumId="12">
    <w:nsid w:val="7CF4638C"/>
    <w:multiLevelType w:val="singleLevel"/>
    <w:tmpl w:val="7CF4638C"/>
    <w:lvl w:ilvl="0" w:tentative="0">
      <w:start w:val="1"/>
      <w:numFmt w:val="japaneseCounting"/>
      <w:lvlText w:val="%1、"/>
      <w:lvlJc w:val="left"/>
      <w:pPr>
        <w:tabs>
          <w:tab w:val="left" w:pos="1920"/>
        </w:tabs>
        <w:ind w:left="1920" w:hanging="660"/>
      </w:pPr>
      <w:rPr>
        <w:rFonts w:hint="eastAsia"/>
      </w:rPr>
    </w:lvl>
  </w:abstractNum>
  <w:num w:numId="1">
    <w:abstractNumId w:val="6"/>
  </w:num>
  <w:num w:numId="2">
    <w:abstractNumId w:val="5"/>
  </w:num>
  <w:num w:numId="3">
    <w:abstractNumId w:val="12"/>
  </w:num>
  <w:num w:numId="4">
    <w:abstractNumId w:val="8"/>
  </w:num>
  <w:num w:numId="5">
    <w:abstractNumId w:val="10"/>
  </w:num>
  <w:num w:numId="6">
    <w:abstractNumId w:val="2"/>
  </w:num>
  <w:num w:numId="7">
    <w:abstractNumId w:val="0"/>
  </w:num>
  <w:num w:numId="8">
    <w:abstractNumId w:val="11"/>
  </w:num>
  <w:num w:numId="9">
    <w:abstractNumId w:val="4"/>
  </w:num>
  <w:num w:numId="10">
    <w:abstractNumId w:val="7"/>
  </w:num>
  <w:num w:numId="11">
    <w:abstractNumId w:val="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66"/>
  <w:drawingGridVerticalSpacing w:val="38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YjlhODNjYjM4NGFlZjVhNWM3NjIxNmE4ZjU5ZjcifQ=="/>
  </w:docVars>
  <w:rsids>
    <w:rsidRoot w:val="00A64781"/>
    <w:rsid w:val="0000204A"/>
    <w:rsid w:val="00003B22"/>
    <w:rsid w:val="00004020"/>
    <w:rsid w:val="00005041"/>
    <w:rsid w:val="000059AA"/>
    <w:rsid w:val="0001407A"/>
    <w:rsid w:val="00021081"/>
    <w:rsid w:val="000224C3"/>
    <w:rsid w:val="000231B0"/>
    <w:rsid w:val="00024209"/>
    <w:rsid w:val="00025FD5"/>
    <w:rsid w:val="00026985"/>
    <w:rsid w:val="00034FA8"/>
    <w:rsid w:val="000364E5"/>
    <w:rsid w:val="000401B7"/>
    <w:rsid w:val="00044606"/>
    <w:rsid w:val="00051179"/>
    <w:rsid w:val="00066F22"/>
    <w:rsid w:val="00070D89"/>
    <w:rsid w:val="00071AA3"/>
    <w:rsid w:val="00071C62"/>
    <w:rsid w:val="00075CAF"/>
    <w:rsid w:val="00076A72"/>
    <w:rsid w:val="000770C6"/>
    <w:rsid w:val="0008093C"/>
    <w:rsid w:val="00081A3D"/>
    <w:rsid w:val="000840BC"/>
    <w:rsid w:val="00084B04"/>
    <w:rsid w:val="00086F7D"/>
    <w:rsid w:val="000915D9"/>
    <w:rsid w:val="000A015E"/>
    <w:rsid w:val="000A2EDC"/>
    <w:rsid w:val="000A77AB"/>
    <w:rsid w:val="000B6AED"/>
    <w:rsid w:val="000C16D3"/>
    <w:rsid w:val="000C3941"/>
    <w:rsid w:val="000C3B61"/>
    <w:rsid w:val="000C7F51"/>
    <w:rsid w:val="000D470E"/>
    <w:rsid w:val="000E0A87"/>
    <w:rsid w:val="000F0981"/>
    <w:rsid w:val="000F1FE5"/>
    <w:rsid w:val="000F29B1"/>
    <w:rsid w:val="000F383B"/>
    <w:rsid w:val="00100CEC"/>
    <w:rsid w:val="0010379C"/>
    <w:rsid w:val="001066A2"/>
    <w:rsid w:val="00110AB1"/>
    <w:rsid w:val="001127F5"/>
    <w:rsid w:val="00112B75"/>
    <w:rsid w:val="001218F4"/>
    <w:rsid w:val="001242FE"/>
    <w:rsid w:val="00133325"/>
    <w:rsid w:val="001333F0"/>
    <w:rsid w:val="001342EA"/>
    <w:rsid w:val="001369AB"/>
    <w:rsid w:val="0014112B"/>
    <w:rsid w:val="00141FFF"/>
    <w:rsid w:val="001443B7"/>
    <w:rsid w:val="00164C72"/>
    <w:rsid w:val="001656D0"/>
    <w:rsid w:val="0017027B"/>
    <w:rsid w:val="001706C2"/>
    <w:rsid w:val="001716C2"/>
    <w:rsid w:val="001757AA"/>
    <w:rsid w:val="001A64DC"/>
    <w:rsid w:val="001A684F"/>
    <w:rsid w:val="001A733C"/>
    <w:rsid w:val="001B1A25"/>
    <w:rsid w:val="001B256E"/>
    <w:rsid w:val="001B2D88"/>
    <w:rsid w:val="001B36A4"/>
    <w:rsid w:val="001B4AAD"/>
    <w:rsid w:val="001B6D46"/>
    <w:rsid w:val="001C06F8"/>
    <w:rsid w:val="001C1F80"/>
    <w:rsid w:val="001C2184"/>
    <w:rsid w:val="001C5BD0"/>
    <w:rsid w:val="001C6FE3"/>
    <w:rsid w:val="001D277C"/>
    <w:rsid w:val="001D581E"/>
    <w:rsid w:val="001D6BEF"/>
    <w:rsid w:val="001E4034"/>
    <w:rsid w:val="001E5CF1"/>
    <w:rsid w:val="001E610D"/>
    <w:rsid w:val="001E6289"/>
    <w:rsid w:val="001F0C7A"/>
    <w:rsid w:val="001F7EAA"/>
    <w:rsid w:val="0020285D"/>
    <w:rsid w:val="002077D4"/>
    <w:rsid w:val="00213925"/>
    <w:rsid w:val="00213E67"/>
    <w:rsid w:val="00221E77"/>
    <w:rsid w:val="00224A9B"/>
    <w:rsid w:val="0025483C"/>
    <w:rsid w:val="00262EA9"/>
    <w:rsid w:val="002643A4"/>
    <w:rsid w:val="002719DF"/>
    <w:rsid w:val="00273904"/>
    <w:rsid w:val="00277403"/>
    <w:rsid w:val="00277EDE"/>
    <w:rsid w:val="002824BB"/>
    <w:rsid w:val="00283F3C"/>
    <w:rsid w:val="00285904"/>
    <w:rsid w:val="00285BD4"/>
    <w:rsid w:val="0029552F"/>
    <w:rsid w:val="002A165C"/>
    <w:rsid w:val="002A4782"/>
    <w:rsid w:val="002A5244"/>
    <w:rsid w:val="002A565D"/>
    <w:rsid w:val="002A5C3F"/>
    <w:rsid w:val="002B0E09"/>
    <w:rsid w:val="002B240A"/>
    <w:rsid w:val="002B5510"/>
    <w:rsid w:val="002C6E6A"/>
    <w:rsid w:val="002C7F85"/>
    <w:rsid w:val="002D49F5"/>
    <w:rsid w:val="002D4F3E"/>
    <w:rsid w:val="002F51B5"/>
    <w:rsid w:val="002F6C3F"/>
    <w:rsid w:val="003012B4"/>
    <w:rsid w:val="00301EDE"/>
    <w:rsid w:val="003042C1"/>
    <w:rsid w:val="0030762D"/>
    <w:rsid w:val="00307759"/>
    <w:rsid w:val="0031113C"/>
    <w:rsid w:val="00312E44"/>
    <w:rsid w:val="003139DA"/>
    <w:rsid w:val="003164AC"/>
    <w:rsid w:val="00320C2E"/>
    <w:rsid w:val="00321D03"/>
    <w:rsid w:val="00331FB9"/>
    <w:rsid w:val="00361561"/>
    <w:rsid w:val="00364C94"/>
    <w:rsid w:val="003665E8"/>
    <w:rsid w:val="00367CCA"/>
    <w:rsid w:val="00370198"/>
    <w:rsid w:val="003707A2"/>
    <w:rsid w:val="00370A1A"/>
    <w:rsid w:val="00382F1B"/>
    <w:rsid w:val="0038392E"/>
    <w:rsid w:val="00384A71"/>
    <w:rsid w:val="003859ED"/>
    <w:rsid w:val="00387A87"/>
    <w:rsid w:val="0039041F"/>
    <w:rsid w:val="00390807"/>
    <w:rsid w:val="00393B54"/>
    <w:rsid w:val="003948E6"/>
    <w:rsid w:val="003A027D"/>
    <w:rsid w:val="003A028C"/>
    <w:rsid w:val="003A1B09"/>
    <w:rsid w:val="003A26D8"/>
    <w:rsid w:val="003A41E7"/>
    <w:rsid w:val="003A492D"/>
    <w:rsid w:val="003A7B28"/>
    <w:rsid w:val="003B1238"/>
    <w:rsid w:val="003B1F61"/>
    <w:rsid w:val="003B472C"/>
    <w:rsid w:val="003B7E37"/>
    <w:rsid w:val="003C0A6C"/>
    <w:rsid w:val="003C0DF8"/>
    <w:rsid w:val="003C7190"/>
    <w:rsid w:val="003D0CE8"/>
    <w:rsid w:val="003D212B"/>
    <w:rsid w:val="003E0479"/>
    <w:rsid w:val="003E101C"/>
    <w:rsid w:val="003E4A17"/>
    <w:rsid w:val="003E4B96"/>
    <w:rsid w:val="003F19B6"/>
    <w:rsid w:val="003F5C69"/>
    <w:rsid w:val="003F632A"/>
    <w:rsid w:val="004034F6"/>
    <w:rsid w:val="00403D68"/>
    <w:rsid w:val="00406C93"/>
    <w:rsid w:val="00411193"/>
    <w:rsid w:val="00412BC3"/>
    <w:rsid w:val="00413124"/>
    <w:rsid w:val="004209CB"/>
    <w:rsid w:val="00421609"/>
    <w:rsid w:val="00423C35"/>
    <w:rsid w:val="00424A8F"/>
    <w:rsid w:val="0043039D"/>
    <w:rsid w:val="00432833"/>
    <w:rsid w:val="0043563E"/>
    <w:rsid w:val="00436760"/>
    <w:rsid w:val="00437122"/>
    <w:rsid w:val="0044386D"/>
    <w:rsid w:val="00445397"/>
    <w:rsid w:val="00445D96"/>
    <w:rsid w:val="00450A7C"/>
    <w:rsid w:val="00453283"/>
    <w:rsid w:val="004546DC"/>
    <w:rsid w:val="0046041C"/>
    <w:rsid w:val="004605AF"/>
    <w:rsid w:val="00464B10"/>
    <w:rsid w:val="00474F8D"/>
    <w:rsid w:val="00483252"/>
    <w:rsid w:val="00483D43"/>
    <w:rsid w:val="00485CF4"/>
    <w:rsid w:val="00487E57"/>
    <w:rsid w:val="0049387D"/>
    <w:rsid w:val="00493E3B"/>
    <w:rsid w:val="004966EF"/>
    <w:rsid w:val="00497654"/>
    <w:rsid w:val="00497859"/>
    <w:rsid w:val="004A4A74"/>
    <w:rsid w:val="004A7DE2"/>
    <w:rsid w:val="004B38E5"/>
    <w:rsid w:val="004B638C"/>
    <w:rsid w:val="004C435A"/>
    <w:rsid w:val="004C661E"/>
    <w:rsid w:val="004D035D"/>
    <w:rsid w:val="004D2F20"/>
    <w:rsid w:val="004D7ED7"/>
    <w:rsid w:val="004E04F6"/>
    <w:rsid w:val="004F1E00"/>
    <w:rsid w:val="004F2003"/>
    <w:rsid w:val="004F2B8D"/>
    <w:rsid w:val="004F6EEE"/>
    <w:rsid w:val="00501D28"/>
    <w:rsid w:val="00502280"/>
    <w:rsid w:val="00503615"/>
    <w:rsid w:val="005072B0"/>
    <w:rsid w:val="00510527"/>
    <w:rsid w:val="00511A8D"/>
    <w:rsid w:val="0052093E"/>
    <w:rsid w:val="00524335"/>
    <w:rsid w:val="00531F1C"/>
    <w:rsid w:val="005320AC"/>
    <w:rsid w:val="0053453F"/>
    <w:rsid w:val="00544C3B"/>
    <w:rsid w:val="005459AB"/>
    <w:rsid w:val="00547A85"/>
    <w:rsid w:val="005506A5"/>
    <w:rsid w:val="00550E7D"/>
    <w:rsid w:val="00551500"/>
    <w:rsid w:val="00557CBB"/>
    <w:rsid w:val="00560062"/>
    <w:rsid w:val="00570682"/>
    <w:rsid w:val="00573CF8"/>
    <w:rsid w:val="0057407B"/>
    <w:rsid w:val="00576E99"/>
    <w:rsid w:val="005822AA"/>
    <w:rsid w:val="00583525"/>
    <w:rsid w:val="00590573"/>
    <w:rsid w:val="00590B41"/>
    <w:rsid w:val="00591B71"/>
    <w:rsid w:val="00593ECB"/>
    <w:rsid w:val="00594A03"/>
    <w:rsid w:val="00597C83"/>
    <w:rsid w:val="005A19EE"/>
    <w:rsid w:val="005A27E5"/>
    <w:rsid w:val="005A2815"/>
    <w:rsid w:val="005A5D53"/>
    <w:rsid w:val="005A727F"/>
    <w:rsid w:val="005B2632"/>
    <w:rsid w:val="005B3071"/>
    <w:rsid w:val="005B4D42"/>
    <w:rsid w:val="005C347F"/>
    <w:rsid w:val="005D0306"/>
    <w:rsid w:val="005D14F6"/>
    <w:rsid w:val="005D182A"/>
    <w:rsid w:val="005D3FE5"/>
    <w:rsid w:val="005D707B"/>
    <w:rsid w:val="005D79E3"/>
    <w:rsid w:val="005E06E4"/>
    <w:rsid w:val="005E381E"/>
    <w:rsid w:val="005E3A7D"/>
    <w:rsid w:val="005E4AB3"/>
    <w:rsid w:val="005E4B95"/>
    <w:rsid w:val="005F3426"/>
    <w:rsid w:val="005F370A"/>
    <w:rsid w:val="00600FD0"/>
    <w:rsid w:val="006062CE"/>
    <w:rsid w:val="00612E0C"/>
    <w:rsid w:val="00616747"/>
    <w:rsid w:val="00620697"/>
    <w:rsid w:val="00623B84"/>
    <w:rsid w:val="00626C0A"/>
    <w:rsid w:val="0063427B"/>
    <w:rsid w:val="0063559C"/>
    <w:rsid w:val="00635A31"/>
    <w:rsid w:val="00637703"/>
    <w:rsid w:val="00644BB8"/>
    <w:rsid w:val="00652630"/>
    <w:rsid w:val="00652684"/>
    <w:rsid w:val="00653450"/>
    <w:rsid w:val="00660226"/>
    <w:rsid w:val="00662AEB"/>
    <w:rsid w:val="00662E79"/>
    <w:rsid w:val="00663019"/>
    <w:rsid w:val="006704AF"/>
    <w:rsid w:val="00670B7C"/>
    <w:rsid w:val="006711BB"/>
    <w:rsid w:val="00675CF1"/>
    <w:rsid w:val="006763EE"/>
    <w:rsid w:val="006804DF"/>
    <w:rsid w:val="006A180E"/>
    <w:rsid w:val="006A2D1B"/>
    <w:rsid w:val="006A63FE"/>
    <w:rsid w:val="006B193E"/>
    <w:rsid w:val="006B429B"/>
    <w:rsid w:val="006B52C6"/>
    <w:rsid w:val="006C038A"/>
    <w:rsid w:val="006C1872"/>
    <w:rsid w:val="006C1C37"/>
    <w:rsid w:val="006C7671"/>
    <w:rsid w:val="006D13B6"/>
    <w:rsid w:val="006D3111"/>
    <w:rsid w:val="006D3B89"/>
    <w:rsid w:val="006D4B5D"/>
    <w:rsid w:val="006D654D"/>
    <w:rsid w:val="006D7309"/>
    <w:rsid w:val="006E757E"/>
    <w:rsid w:val="006F2493"/>
    <w:rsid w:val="006F3FC3"/>
    <w:rsid w:val="006F554D"/>
    <w:rsid w:val="00701668"/>
    <w:rsid w:val="0070195E"/>
    <w:rsid w:val="007054DA"/>
    <w:rsid w:val="007067CF"/>
    <w:rsid w:val="00706A88"/>
    <w:rsid w:val="00706DF5"/>
    <w:rsid w:val="00707998"/>
    <w:rsid w:val="007139EC"/>
    <w:rsid w:val="00713EF4"/>
    <w:rsid w:val="00713FE6"/>
    <w:rsid w:val="00715088"/>
    <w:rsid w:val="00715526"/>
    <w:rsid w:val="00715550"/>
    <w:rsid w:val="00716EF4"/>
    <w:rsid w:val="00724C1C"/>
    <w:rsid w:val="00726C7B"/>
    <w:rsid w:val="007274E1"/>
    <w:rsid w:val="007371C9"/>
    <w:rsid w:val="007402C6"/>
    <w:rsid w:val="0074185A"/>
    <w:rsid w:val="00742BDF"/>
    <w:rsid w:val="00750827"/>
    <w:rsid w:val="00752970"/>
    <w:rsid w:val="007537CC"/>
    <w:rsid w:val="00753D53"/>
    <w:rsid w:val="007548A8"/>
    <w:rsid w:val="00755CC9"/>
    <w:rsid w:val="00766B63"/>
    <w:rsid w:val="00771F91"/>
    <w:rsid w:val="007721A7"/>
    <w:rsid w:val="00777BF4"/>
    <w:rsid w:val="00777C6E"/>
    <w:rsid w:val="0078212C"/>
    <w:rsid w:val="0078401C"/>
    <w:rsid w:val="007842EC"/>
    <w:rsid w:val="0078485E"/>
    <w:rsid w:val="0078487E"/>
    <w:rsid w:val="00785609"/>
    <w:rsid w:val="00786D80"/>
    <w:rsid w:val="007900DB"/>
    <w:rsid w:val="0079124E"/>
    <w:rsid w:val="00793B82"/>
    <w:rsid w:val="007A367B"/>
    <w:rsid w:val="007A7A03"/>
    <w:rsid w:val="007B6849"/>
    <w:rsid w:val="007C032B"/>
    <w:rsid w:val="007C12C5"/>
    <w:rsid w:val="007C4D09"/>
    <w:rsid w:val="007C7791"/>
    <w:rsid w:val="007C7B5F"/>
    <w:rsid w:val="007D1D44"/>
    <w:rsid w:val="007D6608"/>
    <w:rsid w:val="007D6E55"/>
    <w:rsid w:val="007D7AA4"/>
    <w:rsid w:val="007E0C40"/>
    <w:rsid w:val="007E0EE4"/>
    <w:rsid w:val="007E3ADF"/>
    <w:rsid w:val="007E6054"/>
    <w:rsid w:val="007E782D"/>
    <w:rsid w:val="007F07C7"/>
    <w:rsid w:val="007F5DDD"/>
    <w:rsid w:val="007F5F99"/>
    <w:rsid w:val="00800E0C"/>
    <w:rsid w:val="00801DD9"/>
    <w:rsid w:val="008050A3"/>
    <w:rsid w:val="008104AF"/>
    <w:rsid w:val="00812D6A"/>
    <w:rsid w:val="0081701A"/>
    <w:rsid w:val="00822FC8"/>
    <w:rsid w:val="00823EE5"/>
    <w:rsid w:val="00824CD0"/>
    <w:rsid w:val="00830881"/>
    <w:rsid w:val="008346E4"/>
    <w:rsid w:val="008377A0"/>
    <w:rsid w:val="00844E4E"/>
    <w:rsid w:val="0084618A"/>
    <w:rsid w:val="008501B9"/>
    <w:rsid w:val="008503D9"/>
    <w:rsid w:val="00856627"/>
    <w:rsid w:val="00864302"/>
    <w:rsid w:val="0087744A"/>
    <w:rsid w:val="00882C94"/>
    <w:rsid w:val="008841DD"/>
    <w:rsid w:val="00885DAF"/>
    <w:rsid w:val="00885F32"/>
    <w:rsid w:val="0088684A"/>
    <w:rsid w:val="008870D2"/>
    <w:rsid w:val="00887F8B"/>
    <w:rsid w:val="00890BB0"/>
    <w:rsid w:val="008976A8"/>
    <w:rsid w:val="008A1586"/>
    <w:rsid w:val="008A5D66"/>
    <w:rsid w:val="008B3399"/>
    <w:rsid w:val="008C1D5E"/>
    <w:rsid w:val="008C40DC"/>
    <w:rsid w:val="008C797F"/>
    <w:rsid w:val="008D20B9"/>
    <w:rsid w:val="008D297D"/>
    <w:rsid w:val="008D2C4D"/>
    <w:rsid w:val="008D3D23"/>
    <w:rsid w:val="008E3F55"/>
    <w:rsid w:val="008F5468"/>
    <w:rsid w:val="0090162D"/>
    <w:rsid w:val="0090206E"/>
    <w:rsid w:val="00907A41"/>
    <w:rsid w:val="009125C9"/>
    <w:rsid w:val="00912E99"/>
    <w:rsid w:val="00913781"/>
    <w:rsid w:val="00921907"/>
    <w:rsid w:val="00922E6F"/>
    <w:rsid w:val="00923FAA"/>
    <w:rsid w:val="009250E3"/>
    <w:rsid w:val="00937153"/>
    <w:rsid w:val="00940115"/>
    <w:rsid w:val="00940140"/>
    <w:rsid w:val="009422A2"/>
    <w:rsid w:val="00946608"/>
    <w:rsid w:val="00953904"/>
    <w:rsid w:val="00953FAE"/>
    <w:rsid w:val="00954D1C"/>
    <w:rsid w:val="00955826"/>
    <w:rsid w:val="009559D8"/>
    <w:rsid w:val="00956C39"/>
    <w:rsid w:val="009654E5"/>
    <w:rsid w:val="00966CAE"/>
    <w:rsid w:val="009673D3"/>
    <w:rsid w:val="009708C3"/>
    <w:rsid w:val="00973D0E"/>
    <w:rsid w:val="0098147F"/>
    <w:rsid w:val="0098167B"/>
    <w:rsid w:val="0098546C"/>
    <w:rsid w:val="0098798F"/>
    <w:rsid w:val="00987FED"/>
    <w:rsid w:val="00995365"/>
    <w:rsid w:val="00996104"/>
    <w:rsid w:val="00997A5B"/>
    <w:rsid w:val="009A09EA"/>
    <w:rsid w:val="009A2173"/>
    <w:rsid w:val="009A25EA"/>
    <w:rsid w:val="009A7699"/>
    <w:rsid w:val="009A7B23"/>
    <w:rsid w:val="009B3C2B"/>
    <w:rsid w:val="009C0E05"/>
    <w:rsid w:val="009C25EA"/>
    <w:rsid w:val="009C448A"/>
    <w:rsid w:val="009C54A3"/>
    <w:rsid w:val="009C54F2"/>
    <w:rsid w:val="009D3CBA"/>
    <w:rsid w:val="009D5CE9"/>
    <w:rsid w:val="009E1912"/>
    <w:rsid w:val="009E38B2"/>
    <w:rsid w:val="009E4853"/>
    <w:rsid w:val="009F4023"/>
    <w:rsid w:val="009F471B"/>
    <w:rsid w:val="009F7F9F"/>
    <w:rsid w:val="00A01ECF"/>
    <w:rsid w:val="00A022D7"/>
    <w:rsid w:val="00A03D8C"/>
    <w:rsid w:val="00A0433B"/>
    <w:rsid w:val="00A054DC"/>
    <w:rsid w:val="00A071D5"/>
    <w:rsid w:val="00A16B56"/>
    <w:rsid w:val="00A209B6"/>
    <w:rsid w:val="00A23072"/>
    <w:rsid w:val="00A260A6"/>
    <w:rsid w:val="00A30E38"/>
    <w:rsid w:val="00A31EC3"/>
    <w:rsid w:val="00A33330"/>
    <w:rsid w:val="00A34B0C"/>
    <w:rsid w:val="00A34C3C"/>
    <w:rsid w:val="00A3659C"/>
    <w:rsid w:val="00A3679E"/>
    <w:rsid w:val="00A3746F"/>
    <w:rsid w:val="00A441B3"/>
    <w:rsid w:val="00A45AA2"/>
    <w:rsid w:val="00A47EA0"/>
    <w:rsid w:val="00A5011F"/>
    <w:rsid w:val="00A5098B"/>
    <w:rsid w:val="00A51DA4"/>
    <w:rsid w:val="00A520B3"/>
    <w:rsid w:val="00A53627"/>
    <w:rsid w:val="00A55C61"/>
    <w:rsid w:val="00A60FB1"/>
    <w:rsid w:val="00A62C79"/>
    <w:rsid w:val="00A64781"/>
    <w:rsid w:val="00A6649B"/>
    <w:rsid w:val="00A759FB"/>
    <w:rsid w:val="00A76383"/>
    <w:rsid w:val="00A77F6D"/>
    <w:rsid w:val="00A80062"/>
    <w:rsid w:val="00A80C3E"/>
    <w:rsid w:val="00A8109B"/>
    <w:rsid w:val="00A816BC"/>
    <w:rsid w:val="00A83FFA"/>
    <w:rsid w:val="00A91508"/>
    <w:rsid w:val="00A91DA7"/>
    <w:rsid w:val="00A920C9"/>
    <w:rsid w:val="00A94887"/>
    <w:rsid w:val="00A94CF9"/>
    <w:rsid w:val="00A97A08"/>
    <w:rsid w:val="00AA08AC"/>
    <w:rsid w:val="00AA377F"/>
    <w:rsid w:val="00AA489E"/>
    <w:rsid w:val="00AA4A15"/>
    <w:rsid w:val="00AA5873"/>
    <w:rsid w:val="00AB3CF8"/>
    <w:rsid w:val="00AB721A"/>
    <w:rsid w:val="00AC2909"/>
    <w:rsid w:val="00AC5155"/>
    <w:rsid w:val="00AD07F8"/>
    <w:rsid w:val="00AD1A9A"/>
    <w:rsid w:val="00AD3E2C"/>
    <w:rsid w:val="00AD74B5"/>
    <w:rsid w:val="00AE1E63"/>
    <w:rsid w:val="00AE7CC9"/>
    <w:rsid w:val="00AF42EA"/>
    <w:rsid w:val="00B00CE9"/>
    <w:rsid w:val="00B0145F"/>
    <w:rsid w:val="00B0233B"/>
    <w:rsid w:val="00B02641"/>
    <w:rsid w:val="00B07CBA"/>
    <w:rsid w:val="00B1257C"/>
    <w:rsid w:val="00B1259F"/>
    <w:rsid w:val="00B132F8"/>
    <w:rsid w:val="00B17088"/>
    <w:rsid w:val="00B206EE"/>
    <w:rsid w:val="00B20D4E"/>
    <w:rsid w:val="00B21A7D"/>
    <w:rsid w:val="00B21C0C"/>
    <w:rsid w:val="00B226D0"/>
    <w:rsid w:val="00B32A33"/>
    <w:rsid w:val="00B33123"/>
    <w:rsid w:val="00B36115"/>
    <w:rsid w:val="00B36427"/>
    <w:rsid w:val="00B43476"/>
    <w:rsid w:val="00B434D1"/>
    <w:rsid w:val="00B47071"/>
    <w:rsid w:val="00B506D1"/>
    <w:rsid w:val="00B51B01"/>
    <w:rsid w:val="00B52A71"/>
    <w:rsid w:val="00B54370"/>
    <w:rsid w:val="00B557E8"/>
    <w:rsid w:val="00B558B7"/>
    <w:rsid w:val="00B5600D"/>
    <w:rsid w:val="00B56D06"/>
    <w:rsid w:val="00B5757C"/>
    <w:rsid w:val="00B61194"/>
    <w:rsid w:val="00B6156F"/>
    <w:rsid w:val="00B72ADD"/>
    <w:rsid w:val="00B77C24"/>
    <w:rsid w:val="00B87660"/>
    <w:rsid w:val="00B92C98"/>
    <w:rsid w:val="00BA2814"/>
    <w:rsid w:val="00BA5D01"/>
    <w:rsid w:val="00BB0660"/>
    <w:rsid w:val="00BB6D42"/>
    <w:rsid w:val="00BB7E55"/>
    <w:rsid w:val="00BC1B59"/>
    <w:rsid w:val="00BC7BE0"/>
    <w:rsid w:val="00BD1DE0"/>
    <w:rsid w:val="00BD3BDC"/>
    <w:rsid w:val="00BD5D63"/>
    <w:rsid w:val="00BD629C"/>
    <w:rsid w:val="00BE0403"/>
    <w:rsid w:val="00BE04EE"/>
    <w:rsid w:val="00BE4239"/>
    <w:rsid w:val="00BF3F40"/>
    <w:rsid w:val="00C041A2"/>
    <w:rsid w:val="00C0563C"/>
    <w:rsid w:val="00C06570"/>
    <w:rsid w:val="00C07185"/>
    <w:rsid w:val="00C13279"/>
    <w:rsid w:val="00C151D8"/>
    <w:rsid w:val="00C1781D"/>
    <w:rsid w:val="00C2110E"/>
    <w:rsid w:val="00C221B4"/>
    <w:rsid w:val="00C26A99"/>
    <w:rsid w:val="00C277BF"/>
    <w:rsid w:val="00C30447"/>
    <w:rsid w:val="00C30FFE"/>
    <w:rsid w:val="00C36586"/>
    <w:rsid w:val="00C40077"/>
    <w:rsid w:val="00C4287B"/>
    <w:rsid w:val="00C42899"/>
    <w:rsid w:val="00C435FA"/>
    <w:rsid w:val="00C475AE"/>
    <w:rsid w:val="00C476F5"/>
    <w:rsid w:val="00C47CCD"/>
    <w:rsid w:val="00C53E8F"/>
    <w:rsid w:val="00C551DC"/>
    <w:rsid w:val="00C72541"/>
    <w:rsid w:val="00C75C45"/>
    <w:rsid w:val="00C8437F"/>
    <w:rsid w:val="00C866F5"/>
    <w:rsid w:val="00C87892"/>
    <w:rsid w:val="00C92360"/>
    <w:rsid w:val="00C94B0C"/>
    <w:rsid w:val="00C94FB2"/>
    <w:rsid w:val="00C959D5"/>
    <w:rsid w:val="00C95A27"/>
    <w:rsid w:val="00C97339"/>
    <w:rsid w:val="00C97E96"/>
    <w:rsid w:val="00CA216C"/>
    <w:rsid w:val="00CA6DD1"/>
    <w:rsid w:val="00CB0CEF"/>
    <w:rsid w:val="00CB5DBA"/>
    <w:rsid w:val="00CB716B"/>
    <w:rsid w:val="00CC0B7B"/>
    <w:rsid w:val="00CC52E4"/>
    <w:rsid w:val="00CC7A80"/>
    <w:rsid w:val="00CD177D"/>
    <w:rsid w:val="00CD2F19"/>
    <w:rsid w:val="00CD3221"/>
    <w:rsid w:val="00CD659D"/>
    <w:rsid w:val="00CD78CF"/>
    <w:rsid w:val="00CE10A8"/>
    <w:rsid w:val="00CE17B8"/>
    <w:rsid w:val="00CE1854"/>
    <w:rsid w:val="00CE2E27"/>
    <w:rsid w:val="00CE31C5"/>
    <w:rsid w:val="00CE46C2"/>
    <w:rsid w:val="00CE72AC"/>
    <w:rsid w:val="00CF2197"/>
    <w:rsid w:val="00CF396D"/>
    <w:rsid w:val="00D02106"/>
    <w:rsid w:val="00D03655"/>
    <w:rsid w:val="00D03F79"/>
    <w:rsid w:val="00D11A94"/>
    <w:rsid w:val="00D12092"/>
    <w:rsid w:val="00D12521"/>
    <w:rsid w:val="00D17650"/>
    <w:rsid w:val="00D26318"/>
    <w:rsid w:val="00D2662C"/>
    <w:rsid w:val="00D27C71"/>
    <w:rsid w:val="00D321BE"/>
    <w:rsid w:val="00D32723"/>
    <w:rsid w:val="00D367F1"/>
    <w:rsid w:val="00D37F09"/>
    <w:rsid w:val="00D4228C"/>
    <w:rsid w:val="00D44B42"/>
    <w:rsid w:val="00D4560A"/>
    <w:rsid w:val="00D47CA9"/>
    <w:rsid w:val="00D536BF"/>
    <w:rsid w:val="00D5590C"/>
    <w:rsid w:val="00D56A29"/>
    <w:rsid w:val="00D57375"/>
    <w:rsid w:val="00D57605"/>
    <w:rsid w:val="00D66A71"/>
    <w:rsid w:val="00D6763B"/>
    <w:rsid w:val="00D679B2"/>
    <w:rsid w:val="00D83636"/>
    <w:rsid w:val="00D85FA3"/>
    <w:rsid w:val="00D8790B"/>
    <w:rsid w:val="00D94BFF"/>
    <w:rsid w:val="00D959B5"/>
    <w:rsid w:val="00D97F13"/>
    <w:rsid w:val="00DA0868"/>
    <w:rsid w:val="00DA1B09"/>
    <w:rsid w:val="00DA7DA4"/>
    <w:rsid w:val="00DB20A0"/>
    <w:rsid w:val="00DB2733"/>
    <w:rsid w:val="00DB3EA6"/>
    <w:rsid w:val="00DB6CC2"/>
    <w:rsid w:val="00DC1AF8"/>
    <w:rsid w:val="00DC2B04"/>
    <w:rsid w:val="00DC2C01"/>
    <w:rsid w:val="00DC6AAA"/>
    <w:rsid w:val="00DC75B2"/>
    <w:rsid w:val="00DD4DA5"/>
    <w:rsid w:val="00DD7453"/>
    <w:rsid w:val="00DE42D5"/>
    <w:rsid w:val="00DE5604"/>
    <w:rsid w:val="00DE5FA5"/>
    <w:rsid w:val="00E00794"/>
    <w:rsid w:val="00E015A2"/>
    <w:rsid w:val="00E076E6"/>
    <w:rsid w:val="00E10169"/>
    <w:rsid w:val="00E10452"/>
    <w:rsid w:val="00E137EE"/>
    <w:rsid w:val="00E21024"/>
    <w:rsid w:val="00E22AEB"/>
    <w:rsid w:val="00E24BA6"/>
    <w:rsid w:val="00E30829"/>
    <w:rsid w:val="00E308D3"/>
    <w:rsid w:val="00E35A25"/>
    <w:rsid w:val="00E371FC"/>
    <w:rsid w:val="00E375A3"/>
    <w:rsid w:val="00E37DA9"/>
    <w:rsid w:val="00E41C0F"/>
    <w:rsid w:val="00E41F33"/>
    <w:rsid w:val="00E431CD"/>
    <w:rsid w:val="00E470CF"/>
    <w:rsid w:val="00E5487C"/>
    <w:rsid w:val="00E5729B"/>
    <w:rsid w:val="00E6707E"/>
    <w:rsid w:val="00E7028D"/>
    <w:rsid w:val="00E73D07"/>
    <w:rsid w:val="00E8079A"/>
    <w:rsid w:val="00E80BEB"/>
    <w:rsid w:val="00E81533"/>
    <w:rsid w:val="00E97112"/>
    <w:rsid w:val="00E97121"/>
    <w:rsid w:val="00E97813"/>
    <w:rsid w:val="00EA08E1"/>
    <w:rsid w:val="00EA11B8"/>
    <w:rsid w:val="00EA14B0"/>
    <w:rsid w:val="00EA1C89"/>
    <w:rsid w:val="00EA2E35"/>
    <w:rsid w:val="00EA7D40"/>
    <w:rsid w:val="00EB0022"/>
    <w:rsid w:val="00EB081E"/>
    <w:rsid w:val="00EB087E"/>
    <w:rsid w:val="00EB16E4"/>
    <w:rsid w:val="00EB1E07"/>
    <w:rsid w:val="00EB254F"/>
    <w:rsid w:val="00EC2378"/>
    <w:rsid w:val="00EC393F"/>
    <w:rsid w:val="00EC693B"/>
    <w:rsid w:val="00ED3BF1"/>
    <w:rsid w:val="00ED50DD"/>
    <w:rsid w:val="00ED5DA5"/>
    <w:rsid w:val="00EF0C99"/>
    <w:rsid w:val="00F030AC"/>
    <w:rsid w:val="00F043A6"/>
    <w:rsid w:val="00F04673"/>
    <w:rsid w:val="00F17BE0"/>
    <w:rsid w:val="00F2043C"/>
    <w:rsid w:val="00F22086"/>
    <w:rsid w:val="00F22587"/>
    <w:rsid w:val="00F24623"/>
    <w:rsid w:val="00F24E2B"/>
    <w:rsid w:val="00F3037A"/>
    <w:rsid w:val="00F474D5"/>
    <w:rsid w:val="00F56705"/>
    <w:rsid w:val="00F6247F"/>
    <w:rsid w:val="00F651EC"/>
    <w:rsid w:val="00F6657D"/>
    <w:rsid w:val="00F665F6"/>
    <w:rsid w:val="00F67CF6"/>
    <w:rsid w:val="00F75E1D"/>
    <w:rsid w:val="00F766BF"/>
    <w:rsid w:val="00F95645"/>
    <w:rsid w:val="00F964F4"/>
    <w:rsid w:val="00F96E4F"/>
    <w:rsid w:val="00F97CF7"/>
    <w:rsid w:val="00F97F20"/>
    <w:rsid w:val="00FA02A9"/>
    <w:rsid w:val="00FB2C8C"/>
    <w:rsid w:val="00FB4617"/>
    <w:rsid w:val="00FB598E"/>
    <w:rsid w:val="00FD56F9"/>
    <w:rsid w:val="00FE50F6"/>
    <w:rsid w:val="00FE7DC3"/>
    <w:rsid w:val="00FE7E5D"/>
    <w:rsid w:val="00FF10DB"/>
    <w:rsid w:val="00FF1FB7"/>
    <w:rsid w:val="00FF299B"/>
    <w:rsid w:val="00FF717A"/>
    <w:rsid w:val="01317F69"/>
    <w:rsid w:val="023D08FC"/>
    <w:rsid w:val="026F331C"/>
    <w:rsid w:val="03206BDA"/>
    <w:rsid w:val="03716D43"/>
    <w:rsid w:val="03775DB5"/>
    <w:rsid w:val="048F70A3"/>
    <w:rsid w:val="04AF2852"/>
    <w:rsid w:val="09260C87"/>
    <w:rsid w:val="09B94900"/>
    <w:rsid w:val="09C6132E"/>
    <w:rsid w:val="0A1D0E2A"/>
    <w:rsid w:val="0A3B3092"/>
    <w:rsid w:val="0C282FB3"/>
    <w:rsid w:val="0C8E76F7"/>
    <w:rsid w:val="0E8B77BA"/>
    <w:rsid w:val="1033355D"/>
    <w:rsid w:val="11F019C5"/>
    <w:rsid w:val="128A74D9"/>
    <w:rsid w:val="12B92680"/>
    <w:rsid w:val="14E07FD6"/>
    <w:rsid w:val="151B1922"/>
    <w:rsid w:val="152E4A94"/>
    <w:rsid w:val="19B375B6"/>
    <w:rsid w:val="1C1652FB"/>
    <w:rsid w:val="1D240237"/>
    <w:rsid w:val="1D5D08A8"/>
    <w:rsid w:val="1F7D3C43"/>
    <w:rsid w:val="202820DF"/>
    <w:rsid w:val="20573810"/>
    <w:rsid w:val="206E085D"/>
    <w:rsid w:val="215238B8"/>
    <w:rsid w:val="215C64E4"/>
    <w:rsid w:val="24FF7744"/>
    <w:rsid w:val="2613738E"/>
    <w:rsid w:val="2926384E"/>
    <w:rsid w:val="2BC71179"/>
    <w:rsid w:val="2C9E05DE"/>
    <w:rsid w:val="2DE34591"/>
    <w:rsid w:val="2EFE30E7"/>
    <w:rsid w:val="316A76F3"/>
    <w:rsid w:val="31BD23E9"/>
    <w:rsid w:val="332B05CA"/>
    <w:rsid w:val="33D13DB6"/>
    <w:rsid w:val="3603653E"/>
    <w:rsid w:val="36D79310"/>
    <w:rsid w:val="3722616E"/>
    <w:rsid w:val="38BB2978"/>
    <w:rsid w:val="38EF3C8A"/>
    <w:rsid w:val="3A7931BA"/>
    <w:rsid w:val="3BFF1BF0"/>
    <w:rsid w:val="3DC92CFC"/>
    <w:rsid w:val="3EC27A88"/>
    <w:rsid w:val="40963817"/>
    <w:rsid w:val="41DE42F4"/>
    <w:rsid w:val="42222554"/>
    <w:rsid w:val="45AD4CB1"/>
    <w:rsid w:val="479E3E8A"/>
    <w:rsid w:val="48936F2C"/>
    <w:rsid w:val="48A31ADA"/>
    <w:rsid w:val="49314E81"/>
    <w:rsid w:val="498774ED"/>
    <w:rsid w:val="4ACF2652"/>
    <w:rsid w:val="4B45104C"/>
    <w:rsid w:val="4B607184"/>
    <w:rsid w:val="4BEB0728"/>
    <w:rsid w:val="4C9755E9"/>
    <w:rsid w:val="4CA12E77"/>
    <w:rsid w:val="50DB0568"/>
    <w:rsid w:val="52207D76"/>
    <w:rsid w:val="535E1403"/>
    <w:rsid w:val="54024282"/>
    <w:rsid w:val="54324F24"/>
    <w:rsid w:val="5574733A"/>
    <w:rsid w:val="558D5EE1"/>
    <w:rsid w:val="56871D14"/>
    <w:rsid w:val="56BF7C5F"/>
    <w:rsid w:val="57407362"/>
    <w:rsid w:val="579D3DCA"/>
    <w:rsid w:val="5CBA2826"/>
    <w:rsid w:val="60312ADF"/>
    <w:rsid w:val="607F0DA1"/>
    <w:rsid w:val="62051CA5"/>
    <w:rsid w:val="622E68B7"/>
    <w:rsid w:val="62A84B4C"/>
    <w:rsid w:val="62F16D94"/>
    <w:rsid w:val="6370653A"/>
    <w:rsid w:val="682827B6"/>
    <w:rsid w:val="68BB30BE"/>
    <w:rsid w:val="68FA39F3"/>
    <w:rsid w:val="69BBC1A5"/>
    <w:rsid w:val="6A9F51B3"/>
    <w:rsid w:val="6AD627DF"/>
    <w:rsid w:val="6AF175B2"/>
    <w:rsid w:val="6B082D09"/>
    <w:rsid w:val="6B3770AB"/>
    <w:rsid w:val="6C8430D7"/>
    <w:rsid w:val="6DC36760"/>
    <w:rsid w:val="6E84786C"/>
    <w:rsid w:val="6EF95A87"/>
    <w:rsid w:val="6FA378A1"/>
    <w:rsid w:val="6FB70371"/>
    <w:rsid w:val="743577CE"/>
    <w:rsid w:val="757A523F"/>
    <w:rsid w:val="76607CAB"/>
    <w:rsid w:val="76D76A84"/>
    <w:rsid w:val="776E3C1A"/>
    <w:rsid w:val="79A36D9F"/>
    <w:rsid w:val="7B0D5043"/>
    <w:rsid w:val="7C9F63FA"/>
    <w:rsid w:val="7CFF7162"/>
    <w:rsid w:val="7D94D7BF"/>
    <w:rsid w:val="7EFF0E57"/>
    <w:rsid w:val="7F1906E6"/>
    <w:rsid w:val="7F61049C"/>
    <w:rsid w:val="7FC610DE"/>
    <w:rsid w:val="7FF3AA6F"/>
    <w:rsid w:val="9F630494"/>
    <w:rsid w:val="BFA85E09"/>
    <w:rsid w:val="DCDC9AD0"/>
    <w:rsid w:val="EDAF029D"/>
    <w:rsid w:val="FBB33233"/>
    <w:rsid w:val="FBCD2A09"/>
    <w:rsid w:val="FFD5CF30"/>
    <w:rsid w:val="FFEB6D86"/>
    <w:rsid w:val="FFF8E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1"/>
    <w:basedOn w:val="1"/>
    <w:next w:val="1"/>
    <w:qFormat/>
    <w:uiPriority w:val="0"/>
    <w:pPr>
      <w:autoSpaceDE w:val="0"/>
      <w:autoSpaceDN w:val="0"/>
      <w:adjustRightInd w:val="0"/>
      <w:spacing w:before="240" w:line="315" w:lineRule="atLeast"/>
      <w:jc w:val="left"/>
      <w:outlineLvl w:val="0"/>
    </w:pPr>
    <w:rPr>
      <w:rFonts w:ascii="黑体" w:eastAsia="黑体"/>
      <w:kern w:val="0"/>
      <w:sz w:val="60"/>
    </w:rPr>
  </w:style>
  <w:style w:type="paragraph" w:styleId="3">
    <w:name w:val="heading 2"/>
    <w:basedOn w:val="1"/>
    <w:next w:val="1"/>
    <w:qFormat/>
    <w:uiPriority w:val="0"/>
    <w:pPr>
      <w:keepNext/>
      <w:numPr>
        <w:ilvl w:val="0"/>
        <w:numId w:val="1"/>
      </w:numPr>
      <w:outlineLvl w:val="1"/>
    </w:pPr>
    <w:rPr>
      <w:b/>
      <w:bCs/>
    </w:rPr>
  </w:style>
  <w:style w:type="paragraph" w:styleId="4">
    <w:name w:val="heading 3"/>
    <w:basedOn w:val="1"/>
    <w:next w:val="1"/>
    <w:qFormat/>
    <w:uiPriority w:val="0"/>
    <w:pPr>
      <w:keepNext/>
      <w:numPr>
        <w:ilvl w:val="1"/>
        <w:numId w:val="2"/>
      </w:numPr>
      <w:outlineLvl w:val="2"/>
    </w:pPr>
    <w:rPr>
      <w:b/>
      <w:bCs/>
    </w:rPr>
  </w:style>
  <w:style w:type="paragraph" w:styleId="5">
    <w:name w:val="heading 4"/>
    <w:basedOn w:val="1"/>
    <w:next w:val="1"/>
    <w:qFormat/>
    <w:uiPriority w:val="0"/>
    <w:pPr>
      <w:keepNext/>
      <w:outlineLvl w:val="3"/>
    </w:pPr>
    <w:rPr>
      <w:rFonts w:ascii="宋体" w:hAnsi="宋体" w:eastAsia="宋体"/>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autoSpaceDE w:val="0"/>
      <w:autoSpaceDN w:val="0"/>
      <w:adjustRightInd w:val="0"/>
      <w:spacing w:line="315" w:lineRule="atLeast"/>
      <w:ind w:left="100" w:leftChars="400" w:hanging="200" w:hangingChars="200"/>
      <w:jc w:val="left"/>
    </w:pPr>
    <w:rPr>
      <w:rFonts w:ascii="昆仑楷体" w:eastAsia="昆仑楷体"/>
      <w:kern w:val="0"/>
      <w:sz w:val="30"/>
    </w:rPr>
  </w:style>
  <w:style w:type="paragraph" w:styleId="7">
    <w:name w:val="Document Map"/>
    <w:basedOn w:val="1"/>
    <w:semiHidden/>
    <w:qFormat/>
    <w:uiPriority w:val="0"/>
    <w:pPr>
      <w:shd w:val="clear" w:color="auto" w:fill="000080"/>
    </w:pPr>
  </w:style>
  <w:style w:type="paragraph" w:styleId="8">
    <w:name w:val="annotation text"/>
    <w:basedOn w:val="1"/>
    <w:link w:val="100"/>
    <w:semiHidden/>
    <w:qFormat/>
    <w:uiPriority w:val="0"/>
    <w:pPr>
      <w:jc w:val="left"/>
    </w:pPr>
  </w:style>
  <w:style w:type="paragraph" w:styleId="9">
    <w:name w:val="Body Text 3"/>
    <w:basedOn w:val="1"/>
    <w:qFormat/>
    <w:uiPriority w:val="0"/>
    <w:rPr>
      <w:rFonts w:eastAsia="楷体_GB2312"/>
      <w:sz w:val="24"/>
      <w:szCs w:val="27"/>
    </w:rPr>
  </w:style>
  <w:style w:type="paragraph" w:styleId="10">
    <w:name w:val="Body Text"/>
    <w:basedOn w:val="1"/>
    <w:qFormat/>
    <w:uiPriority w:val="0"/>
    <w:pPr>
      <w:autoSpaceDE w:val="0"/>
      <w:autoSpaceDN w:val="0"/>
      <w:adjustRightInd w:val="0"/>
      <w:spacing w:after="120" w:line="315" w:lineRule="atLeast"/>
      <w:jc w:val="left"/>
    </w:pPr>
    <w:rPr>
      <w:rFonts w:ascii="昆仑楷体" w:eastAsia="昆仑楷体"/>
      <w:kern w:val="0"/>
      <w:sz w:val="30"/>
    </w:rPr>
  </w:style>
  <w:style w:type="paragraph" w:styleId="11">
    <w:name w:val="Body Text Indent"/>
    <w:basedOn w:val="1"/>
    <w:qFormat/>
    <w:uiPriority w:val="0"/>
    <w:pPr>
      <w:autoSpaceDE w:val="0"/>
      <w:autoSpaceDN w:val="0"/>
      <w:adjustRightInd w:val="0"/>
      <w:spacing w:line="360" w:lineRule="atLeast"/>
      <w:ind w:firstLine="598" w:firstLineChars="187"/>
    </w:pPr>
    <w:rPr>
      <w:rFonts w:ascii="昆仑楷体" w:eastAsia="昆仑楷体"/>
      <w:kern w:val="0"/>
      <w:sz w:val="32"/>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rPr>
  </w:style>
  <w:style w:type="paragraph" w:styleId="13">
    <w:name w:val="Body Text Indent 2"/>
    <w:basedOn w:val="1"/>
    <w:qFormat/>
    <w:uiPriority w:val="0"/>
    <w:pPr>
      <w:topLinePunct/>
      <w:spacing w:line="500" w:lineRule="exact"/>
      <w:ind w:firstLine="664"/>
    </w:pPr>
    <w:rPr>
      <w:rFonts w:ascii="仿宋_GB2312" w:hAnsi="宋体"/>
      <w:sz w:val="24"/>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qFormat/>
    <w:uiPriority w:val="0"/>
    <w:pPr>
      <w:autoSpaceDE w:val="0"/>
      <w:autoSpaceDN w:val="0"/>
      <w:adjustRightInd w:val="0"/>
      <w:spacing w:line="315" w:lineRule="atLeast"/>
      <w:ind w:left="200" w:hanging="200" w:hangingChars="200"/>
      <w:jc w:val="left"/>
    </w:pPr>
    <w:rPr>
      <w:rFonts w:ascii="昆仑楷体" w:eastAsia="昆仑楷体"/>
      <w:kern w:val="0"/>
      <w:sz w:val="30"/>
    </w:rPr>
  </w:style>
  <w:style w:type="paragraph" w:styleId="17">
    <w:name w:val="Body Text Indent 3"/>
    <w:basedOn w:val="1"/>
    <w:qFormat/>
    <w:uiPriority w:val="0"/>
    <w:pPr>
      <w:ind w:firstLine="777"/>
    </w:pPr>
    <w:rPr>
      <w:rFonts w:ascii="楷体_GB2312" w:hAnsi="Arial Narrow" w:eastAsia="楷体_GB2312"/>
    </w:rPr>
  </w:style>
  <w:style w:type="paragraph" w:styleId="18">
    <w:name w:val="Body Text 2"/>
    <w:basedOn w:val="1"/>
    <w:qFormat/>
    <w:uiPriority w:val="0"/>
    <w:rPr>
      <w:rFonts w:ascii="Arial Narrow" w:hAnsi="Arial Narrow" w:eastAsia="楷体_GB2312"/>
      <w:sz w:val="21"/>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21">
    <w:name w:val="annotation subject"/>
    <w:basedOn w:val="8"/>
    <w:next w:val="8"/>
    <w:link w:val="101"/>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Emphasis"/>
    <w:basedOn w:val="24"/>
    <w:qFormat/>
    <w:uiPriority w:val="0"/>
    <w:rPr>
      <w:color w:val="CC0033"/>
    </w:rPr>
  </w:style>
  <w:style w:type="character" w:styleId="29">
    <w:name w:val="Hyperlink"/>
    <w:basedOn w:val="24"/>
    <w:qFormat/>
    <w:uiPriority w:val="0"/>
    <w:rPr>
      <w:color w:val="0000FF"/>
      <w:u w:val="single"/>
    </w:rPr>
  </w:style>
  <w:style w:type="character" w:styleId="30">
    <w:name w:val="annotation reference"/>
    <w:basedOn w:val="24"/>
    <w:semiHidden/>
    <w:qFormat/>
    <w:uiPriority w:val="0"/>
    <w:rPr>
      <w:sz w:val="21"/>
    </w:rPr>
  </w:style>
  <w:style w:type="character" w:customStyle="1" w:styleId="31">
    <w:name w:val="font141"/>
    <w:basedOn w:val="24"/>
    <w:qFormat/>
    <w:uiPriority w:val="0"/>
  </w:style>
  <w:style w:type="character" w:customStyle="1" w:styleId="32">
    <w:name w:val="style31"/>
    <w:basedOn w:val="24"/>
    <w:qFormat/>
    <w:uiPriority w:val="0"/>
    <w:rPr>
      <w:b/>
      <w:bCs/>
      <w:color w:val="A16601"/>
    </w:rPr>
  </w:style>
  <w:style w:type="character" w:customStyle="1" w:styleId="33">
    <w:name w:val="dct-tt"/>
    <w:basedOn w:val="24"/>
    <w:qFormat/>
    <w:uiPriority w:val="0"/>
    <w:rPr>
      <w:rFonts w:hint="default" w:ascii="Arial" w:hAnsi="Arial" w:cs="Arial"/>
    </w:rPr>
  </w:style>
  <w:style w:type="character" w:customStyle="1" w:styleId="34">
    <w:name w:val="style36"/>
    <w:basedOn w:val="24"/>
    <w:qFormat/>
    <w:uiPriority w:val="0"/>
  </w:style>
  <w:style w:type="character" w:customStyle="1" w:styleId="35">
    <w:name w:val="search_highlight2"/>
    <w:basedOn w:val="24"/>
    <w:qFormat/>
    <w:uiPriority w:val="0"/>
    <w:rPr>
      <w:rFonts w:hint="default" w:ascii="Arial" w:hAnsi="Arial" w:cs="Arial"/>
      <w:shd w:val="clear" w:color="auto" w:fill="FFFFB0"/>
    </w:rPr>
  </w:style>
  <w:style w:type="character" w:customStyle="1" w:styleId="36">
    <w:name w:val="style4"/>
    <w:basedOn w:val="24"/>
    <w:qFormat/>
    <w:uiPriority w:val="0"/>
  </w:style>
  <w:style w:type="character" w:customStyle="1" w:styleId="37">
    <w:name w:val="f141"/>
    <w:basedOn w:val="24"/>
    <w:qFormat/>
    <w:uiPriority w:val="0"/>
    <w:rPr>
      <w:b/>
      <w:bCs/>
      <w:sz w:val="21"/>
      <w:szCs w:val="21"/>
    </w:rPr>
  </w:style>
  <w:style w:type="character" w:customStyle="1" w:styleId="38">
    <w:name w:val="hei12b"/>
    <w:basedOn w:val="24"/>
    <w:qFormat/>
    <w:uiPriority w:val="0"/>
  </w:style>
  <w:style w:type="paragraph" w:customStyle="1" w:styleId="39">
    <w:name w:val="xl38"/>
    <w:basedOn w:val="1"/>
    <w:qFormat/>
    <w:uiPriority w:val="0"/>
    <w:pPr>
      <w:widowControl/>
      <w:spacing w:before="100" w:beforeAutospacing="1" w:after="100" w:afterAutospacing="1"/>
      <w:jc w:val="left"/>
      <w:textAlignment w:val="top"/>
    </w:pPr>
    <w:rPr>
      <w:rFonts w:eastAsia="宋体"/>
      <w:color w:val="003366"/>
      <w:kern w:val="0"/>
      <w:sz w:val="20"/>
    </w:rPr>
  </w:style>
  <w:style w:type="paragraph" w:customStyle="1" w:styleId="40">
    <w:name w:val="xl60"/>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41">
    <w:name w:val="xl49"/>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2">
    <w:name w:val="xl55"/>
    <w:basedOn w:val="1"/>
    <w:qFormat/>
    <w:uiPriority w:val="0"/>
    <w:pPr>
      <w:widowControl/>
      <w:pBdr>
        <w:top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43">
    <w:name w:val="xl50"/>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5">
    <w:name w:val="Char 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7">
    <w:name w:val="xl45"/>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48">
    <w:name w:val="xl36"/>
    <w:basedOn w:val="1"/>
    <w:qFormat/>
    <w:uiPriority w:val="0"/>
    <w:pPr>
      <w:widowControl/>
      <w:spacing w:before="100" w:beforeAutospacing="1" w:after="100" w:afterAutospacing="1"/>
      <w:jc w:val="left"/>
    </w:pPr>
    <w:rPr>
      <w:rFonts w:eastAsia="宋体"/>
      <w:kern w:val="0"/>
      <w:sz w:val="18"/>
      <w:szCs w:val="18"/>
    </w:rPr>
  </w:style>
  <w:style w:type="paragraph" w:customStyle="1" w:styleId="49">
    <w:name w:val="xl46"/>
    <w:basedOn w:val="1"/>
    <w:qFormat/>
    <w:uiPriority w:val="0"/>
    <w:pPr>
      <w:widowControl/>
      <w:pBdr>
        <w:bottom w:val="single" w:color="auto" w:sz="4" w:space="0"/>
      </w:pBdr>
      <w:spacing w:before="100" w:beforeAutospacing="1" w:after="100" w:afterAutospacing="1"/>
      <w:jc w:val="left"/>
      <w:textAlignment w:val="top"/>
    </w:pPr>
    <w:rPr>
      <w:rFonts w:eastAsia="宋体"/>
      <w:kern w:val="0"/>
      <w:sz w:val="20"/>
    </w:rPr>
  </w:style>
  <w:style w:type="paragraph" w:customStyle="1" w:styleId="50">
    <w:name w:val="xl6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kern w:val="0"/>
      <w:sz w:val="24"/>
      <w:szCs w:val="24"/>
    </w:rPr>
  </w:style>
  <w:style w:type="paragraph" w:customStyle="1" w:styleId="51">
    <w:name w:val="xl6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52">
    <w:name w:val="xl42"/>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3">
    <w:name w:val="xl47"/>
    <w:basedOn w:val="1"/>
    <w:qFormat/>
    <w:uiPriority w:val="0"/>
    <w:pPr>
      <w:widowControl/>
      <w:pBdr>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54">
    <w:name w:val="xl58"/>
    <w:basedOn w:val="1"/>
    <w:qFormat/>
    <w:uiPriority w:val="0"/>
    <w:pPr>
      <w:widowControl/>
      <w:pBdr>
        <w:top w:val="single" w:color="auto" w:sz="4" w:space="0"/>
      </w:pBdr>
      <w:spacing w:before="100" w:beforeAutospacing="1" w:after="100" w:afterAutospacing="1"/>
      <w:jc w:val="center"/>
      <w:textAlignment w:val="top"/>
    </w:pPr>
    <w:rPr>
      <w:rFonts w:eastAsia="宋体"/>
      <w:kern w:val="0"/>
      <w:sz w:val="18"/>
      <w:szCs w:val="18"/>
    </w:rPr>
  </w:style>
  <w:style w:type="paragraph" w:customStyle="1" w:styleId="55">
    <w:name w:val="xl62"/>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56">
    <w:name w:val="xl39"/>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7">
    <w:name w:val="xl43"/>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8">
    <w:name w:val="xl65"/>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59">
    <w:name w:val="font8"/>
    <w:basedOn w:val="1"/>
    <w:qFormat/>
    <w:uiPriority w:val="0"/>
    <w:pPr>
      <w:widowControl/>
      <w:spacing w:before="100" w:beforeAutospacing="1" w:after="100" w:afterAutospacing="1"/>
      <w:jc w:val="left"/>
    </w:pPr>
    <w:rPr>
      <w:rFonts w:ascii="Courier New" w:hAnsi="Courier New" w:eastAsia="宋体" w:cs="Courier New"/>
      <w:kern w:val="0"/>
      <w:sz w:val="24"/>
      <w:szCs w:val="24"/>
    </w:rPr>
  </w:style>
  <w:style w:type="paragraph" w:customStyle="1" w:styleId="60">
    <w:name w:val="xl40"/>
    <w:basedOn w:val="1"/>
    <w:qFormat/>
    <w:uiPriority w:val="0"/>
    <w:pPr>
      <w:widowControl/>
      <w:spacing w:before="100" w:beforeAutospacing="1" w:after="100" w:afterAutospacing="1"/>
      <w:jc w:val="center"/>
      <w:textAlignment w:val="top"/>
    </w:pPr>
    <w:rPr>
      <w:rFonts w:eastAsia="宋体"/>
      <w:kern w:val="0"/>
      <w:sz w:val="18"/>
      <w:szCs w:val="18"/>
    </w:rPr>
  </w:style>
  <w:style w:type="paragraph" w:customStyle="1" w:styleId="61">
    <w:name w:val="Char Char Char Char"/>
    <w:basedOn w:val="1"/>
    <w:qFormat/>
    <w:uiPriority w:val="0"/>
    <w:rPr>
      <w:rFonts w:eastAsia="宋体"/>
      <w:sz w:val="21"/>
    </w:rPr>
  </w:style>
  <w:style w:type="paragraph" w:customStyle="1" w:styleId="62">
    <w:name w:val="xl61"/>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3">
    <w:name w:val="font6"/>
    <w:basedOn w:val="1"/>
    <w:qFormat/>
    <w:uiPriority w:val="0"/>
    <w:pPr>
      <w:widowControl/>
      <w:spacing w:before="100" w:beforeAutospacing="1" w:after="100" w:afterAutospacing="1"/>
      <w:jc w:val="left"/>
    </w:pPr>
    <w:rPr>
      <w:rFonts w:eastAsia="宋体"/>
      <w:kern w:val="0"/>
      <w:sz w:val="24"/>
      <w:szCs w:val="24"/>
    </w:rPr>
  </w:style>
  <w:style w:type="paragraph" w:customStyle="1" w:styleId="64">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65">
    <w:name w:val="xl34"/>
    <w:basedOn w:val="1"/>
    <w:qFormat/>
    <w:uiPriority w:val="0"/>
    <w:pPr>
      <w:widowControl/>
      <w:pBdr>
        <w:bottom w:val="single" w:color="auto" w:sz="4" w:space="0"/>
      </w:pBdr>
      <w:spacing w:before="100" w:beforeAutospacing="1" w:after="100" w:afterAutospacing="1"/>
      <w:jc w:val="left"/>
    </w:pPr>
    <w:rPr>
      <w:rFonts w:eastAsia="宋体"/>
      <w:b/>
      <w:bCs/>
      <w:kern w:val="0"/>
      <w:sz w:val="24"/>
      <w:szCs w:val="24"/>
    </w:rPr>
  </w:style>
  <w:style w:type="paragraph" w:customStyle="1" w:styleId="66">
    <w:name w:val="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67">
    <w:name w:val="xl6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68">
    <w:name w:val="xl53"/>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9">
    <w:name w:val="font9"/>
    <w:basedOn w:val="1"/>
    <w:qFormat/>
    <w:uiPriority w:val="0"/>
    <w:pPr>
      <w:widowControl/>
      <w:spacing w:before="100" w:beforeAutospacing="1" w:after="100" w:afterAutospacing="1"/>
      <w:jc w:val="left"/>
    </w:pPr>
    <w:rPr>
      <w:rFonts w:eastAsia="宋体"/>
      <w:color w:val="FF0000"/>
      <w:kern w:val="0"/>
      <w:sz w:val="20"/>
    </w:rPr>
  </w:style>
  <w:style w:type="paragraph" w:customStyle="1" w:styleId="70">
    <w:name w:val="xl37"/>
    <w:basedOn w:val="1"/>
    <w:qFormat/>
    <w:uiPriority w:val="0"/>
    <w:pPr>
      <w:widowControl/>
      <w:spacing w:before="100" w:beforeAutospacing="1" w:after="100" w:afterAutospacing="1"/>
      <w:jc w:val="left"/>
    </w:pPr>
    <w:rPr>
      <w:rFonts w:eastAsia="宋体"/>
      <w:kern w:val="0"/>
      <w:sz w:val="18"/>
      <w:szCs w:val="18"/>
    </w:rPr>
  </w:style>
  <w:style w:type="paragraph" w:customStyle="1" w:styleId="71">
    <w:name w:val="xl66"/>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72">
    <w:name w:val="font10"/>
    <w:basedOn w:val="1"/>
    <w:qFormat/>
    <w:uiPriority w:val="0"/>
    <w:pPr>
      <w:widowControl/>
      <w:spacing w:before="100" w:beforeAutospacing="1" w:after="100" w:afterAutospacing="1"/>
      <w:jc w:val="left"/>
    </w:pPr>
    <w:rPr>
      <w:rFonts w:hint="eastAsia" w:ascii="宋体" w:hAnsi="宋体" w:eastAsia="宋体"/>
      <w:kern w:val="0"/>
      <w:sz w:val="20"/>
    </w:rPr>
  </w:style>
  <w:style w:type="paragraph" w:customStyle="1" w:styleId="73">
    <w:name w:val="列出段落1"/>
    <w:basedOn w:val="1"/>
    <w:qFormat/>
    <w:uiPriority w:val="0"/>
    <w:pPr>
      <w:suppressAutoHyphens/>
      <w:ind w:left="720"/>
      <w:jc w:val="left"/>
    </w:pPr>
    <w:rPr>
      <w:rFonts w:eastAsia="Times New Roman"/>
      <w:kern w:val="0"/>
      <w:sz w:val="24"/>
      <w:szCs w:val="24"/>
      <w:lang w:eastAsia="ar-SA"/>
    </w:rPr>
  </w:style>
  <w:style w:type="paragraph" w:customStyle="1" w:styleId="74">
    <w:name w:val="xl44"/>
    <w:basedOn w:val="1"/>
    <w:qFormat/>
    <w:uiPriority w:val="0"/>
    <w:pPr>
      <w:widowControl/>
      <w:spacing w:before="100" w:beforeAutospacing="1" w:after="100" w:afterAutospacing="1"/>
      <w:jc w:val="left"/>
      <w:textAlignment w:val="top"/>
    </w:pPr>
    <w:rPr>
      <w:rFonts w:eastAsia="宋体"/>
      <w:color w:val="0000FF"/>
      <w:kern w:val="0"/>
      <w:sz w:val="20"/>
    </w:rPr>
  </w:style>
  <w:style w:type="paragraph" w:customStyle="1" w:styleId="75">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76">
    <w:name w:val="xl64"/>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77">
    <w:name w:val="xl52"/>
    <w:basedOn w:val="1"/>
    <w:qFormat/>
    <w:uiPriority w:val="0"/>
    <w:pPr>
      <w:widowControl/>
      <w:pBdr>
        <w:bottom w:val="single" w:color="auto" w:sz="4" w:space="0"/>
      </w:pBdr>
      <w:spacing w:before="100" w:beforeAutospacing="1" w:after="100" w:afterAutospacing="1"/>
      <w:jc w:val="left"/>
      <w:textAlignment w:val="top"/>
    </w:pPr>
    <w:rPr>
      <w:rFonts w:eastAsia="宋体"/>
      <w:color w:val="003366"/>
      <w:kern w:val="0"/>
      <w:sz w:val="18"/>
      <w:szCs w:val="18"/>
    </w:rPr>
  </w:style>
  <w:style w:type="paragraph" w:customStyle="1" w:styleId="78">
    <w:name w:val="Standard"/>
    <w:qFormat/>
    <w:uiPriority w:val="0"/>
    <w:pPr>
      <w:widowControl w:val="0"/>
      <w:suppressAutoHyphens/>
      <w:autoSpaceDN w:val="0"/>
      <w:textAlignment w:val="baseline"/>
    </w:pPr>
    <w:rPr>
      <w:rFonts w:ascii="Times New Roman" w:hAnsi="Times New Roman" w:eastAsia="Times New Roman" w:cs="Mangal"/>
      <w:kern w:val="3"/>
      <w:sz w:val="24"/>
      <w:szCs w:val="24"/>
      <w:lang w:val="en-US" w:eastAsia="zh-CN" w:bidi="ar-SA"/>
    </w:rPr>
  </w:style>
  <w:style w:type="paragraph" w:customStyle="1" w:styleId="79">
    <w:name w:val="font7"/>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80">
    <w:name w:val="xl56"/>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81">
    <w:name w:val="UP标题3"/>
    <w:basedOn w:val="1"/>
    <w:qFormat/>
    <w:uiPriority w:val="0"/>
    <w:pPr>
      <w:spacing w:line="360" w:lineRule="auto"/>
      <w:ind w:firstLine="149" w:firstLineChars="149"/>
    </w:pPr>
    <w:rPr>
      <w:rFonts w:ascii="黑体" w:hAnsi="Calibri" w:eastAsia="黑体" w:cs="宋体"/>
      <w:szCs w:val="28"/>
    </w:rPr>
  </w:style>
  <w:style w:type="paragraph" w:customStyle="1" w:styleId="82">
    <w:name w:val="xl54"/>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83">
    <w:name w:val="xl51"/>
    <w:basedOn w:val="1"/>
    <w:qFormat/>
    <w:uiPriority w:val="0"/>
    <w:pPr>
      <w:widowControl/>
      <w:pBdr>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84">
    <w:name w:val="xl48"/>
    <w:basedOn w:val="1"/>
    <w:qFormat/>
    <w:uiPriority w:val="0"/>
    <w:pPr>
      <w:widowControl/>
      <w:spacing w:before="100" w:beforeAutospacing="1" w:after="100" w:afterAutospacing="1"/>
      <w:jc w:val="left"/>
      <w:textAlignment w:val="top"/>
    </w:pPr>
    <w:rPr>
      <w:rFonts w:ascii="宋体" w:hAnsi="宋体" w:eastAsia="宋体"/>
      <w:kern w:val="0"/>
      <w:sz w:val="24"/>
      <w:szCs w:val="24"/>
    </w:rPr>
  </w:style>
  <w:style w:type="paragraph" w:customStyle="1" w:styleId="85">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86">
    <w:name w:val="xl68"/>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87">
    <w:name w:val="列表段落1"/>
    <w:basedOn w:val="1"/>
    <w:qFormat/>
    <w:uiPriority w:val="0"/>
    <w:pPr>
      <w:ind w:firstLine="420" w:firstLineChars="200"/>
    </w:pPr>
    <w:rPr>
      <w:rFonts w:eastAsia="Times New Roman"/>
      <w:sz w:val="21"/>
      <w:szCs w:val="24"/>
    </w:rPr>
  </w:style>
  <w:style w:type="paragraph" w:customStyle="1" w:styleId="88">
    <w:name w:val="font5"/>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89">
    <w:name w:val="xl41"/>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9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91">
    <w:name w:val="xl32"/>
    <w:basedOn w:val="1"/>
    <w:qFormat/>
    <w:uiPriority w:val="0"/>
    <w:pPr>
      <w:widowControl/>
      <w:pBdr>
        <w:bottom w:val="single" w:color="auto" w:sz="4" w:space="0"/>
      </w:pBdr>
      <w:spacing w:before="100" w:beforeAutospacing="1" w:after="100" w:afterAutospacing="1"/>
      <w:jc w:val="left"/>
    </w:pPr>
    <w:rPr>
      <w:rFonts w:eastAsia="宋体"/>
      <w:kern w:val="0"/>
      <w:sz w:val="20"/>
    </w:rPr>
  </w:style>
  <w:style w:type="paragraph" w:customStyle="1" w:styleId="92">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93">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94">
    <w:name w:val="xl57"/>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95">
    <w:name w:val="xl59"/>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96">
    <w:name w:val="列表段落11"/>
    <w:basedOn w:val="1"/>
    <w:qFormat/>
    <w:uiPriority w:val="0"/>
    <w:pPr>
      <w:ind w:firstLine="420" w:firstLineChars="200"/>
    </w:pPr>
    <w:rPr>
      <w:rFonts w:eastAsia="Times New Roman"/>
      <w:szCs w:val="24"/>
    </w:rPr>
  </w:style>
  <w:style w:type="paragraph" w:styleId="97">
    <w:name w:val="List Paragraph"/>
    <w:basedOn w:val="1"/>
    <w:qFormat/>
    <w:uiPriority w:val="99"/>
    <w:pPr>
      <w:ind w:firstLine="420" w:firstLineChars="200"/>
    </w:pPr>
  </w:style>
  <w:style w:type="paragraph" w:customStyle="1" w:styleId="98">
    <w:name w:val="表格文字"/>
    <w:basedOn w:val="1"/>
    <w:autoRedefine/>
    <w:qFormat/>
    <w:uiPriority w:val="0"/>
    <w:pPr>
      <w:spacing w:before="25" w:after="25"/>
      <w:jc w:val="left"/>
    </w:pPr>
    <w:rPr>
      <w:bCs/>
      <w:spacing w:val="10"/>
      <w:kern w:val="0"/>
      <w:sz w:val="24"/>
    </w:rPr>
  </w:style>
  <w:style w:type="paragraph" w:customStyle="1" w:styleId="99">
    <w:name w:val="修订1"/>
    <w:hidden/>
    <w:unhideWhenUsed/>
    <w:qFormat/>
    <w:uiPriority w:val="99"/>
    <w:rPr>
      <w:rFonts w:ascii="Times New Roman" w:hAnsi="Times New Roman" w:eastAsia="仿宋_GB2312" w:cs="Times New Roman"/>
      <w:kern w:val="2"/>
      <w:sz w:val="28"/>
      <w:lang w:val="en-US" w:eastAsia="zh-CN" w:bidi="ar-SA"/>
    </w:rPr>
  </w:style>
  <w:style w:type="character" w:customStyle="1" w:styleId="100">
    <w:name w:val="批注文字 字符"/>
    <w:basedOn w:val="24"/>
    <w:link w:val="8"/>
    <w:semiHidden/>
    <w:qFormat/>
    <w:uiPriority w:val="0"/>
    <w:rPr>
      <w:rFonts w:eastAsia="仿宋_GB2312"/>
      <w:kern w:val="2"/>
      <w:sz w:val="28"/>
    </w:rPr>
  </w:style>
  <w:style w:type="character" w:customStyle="1" w:styleId="101">
    <w:name w:val="批注主题 字符"/>
    <w:basedOn w:val="100"/>
    <w:link w:val="21"/>
    <w:qFormat/>
    <w:uiPriority w:val="0"/>
    <w:rPr>
      <w:rFonts w:eastAsia="仿宋_GB2312"/>
      <w:b/>
      <w:bCs/>
      <w:kern w:val="2"/>
      <w:sz w:val="28"/>
    </w:rPr>
  </w:style>
  <w:style w:type="paragraph" w:customStyle="1" w:styleId="102">
    <w:name w:val="Revision"/>
    <w:hidden/>
    <w:unhideWhenUsed/>
    <w:qFormat/>
    <w:uiPriority w:val="99"/>
    <w:rPr>
      <w:rFonts w:ascii="Times New Roman" w:hAnsi="Times New Roman" w:eastAsia="仿宋_GB2312"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设备办</Company>
  <Pages>19</Pages>
  <Words>8278</Words>
  <Characters>8832</Characters>
  <Lines>252</Lines>
  <Paragraphs>265</Paragraphs>
  <TotalTime>155</TotalTime>
  <ScaleCrop>false</ScaleCrop>
  <LinksUpToDate>false</LinksUpToDate>
  <CharactersWithSpaces>9886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2015-12-21T18:26:00Z</dcterms:created>
  <dc:creator>许慰玲</dc:creator>
  <cp:lastModifiedBy>微笑</cp:lastModifiedBy>
  <cp:lastPrinted>2015-06-12T16:58:00Z</cp:lastPrinted>
  <dcterms:modified xsi:type="dcterms:W3CDTF">2025-12-31T02:10:32Z</dcterms:modified>
  <dc:title>广东省政府采购中心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556DC5BB5AF745B78A1F4E8DF443CAEE_13</vt:lpwstr>
  </property>
  <property fmtid="{D5CDD505-2E9C-101B-9397-08002B2CF9AE}" pid="4" name="KSOTemplateDocerSaveRecord">
    <vt:lpwstr>eyJoZGlkIjoiMDVjMzQ1OTRlZTFhN2Y3OGU0MDU2MjdkYTkzYjE4NTIiLCJ1c2VySWQiOiIxMzkwMzI0Nzk0In0=</vt:lpwstr>
  </property>
</Properties>
</file>