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2117">
      <w:pPr>
        <w:pStyle w:val="2"/>
        <w:kinsoku w:val="0"/>
        <w:wordWrap w:val="0"/>
        <w:topLinePunct/>
        <w:autoSpaceDE/>
        <w:spacing w:line="240" w:lineRule="auto"/>
        <w:ind w:right="-1132" w:rightChars="-341"/>
        <w:jc w:val="center"/>
        <w:rPr>
          <w:rFonts w:hint="eastAsia" w:ascii="仿宋" w:hAnsi="仿宋" w:eastAsia="仿宋" w:cs="仿宋"/>
          <w:sz w:val="32"/>
        </w:rPr>
      </w:pPr>
    </w:p>
    <w:p w14:paraId="6252151E">
      <w:pPr>
        <w:pStyle w:val="2"/>
        <w:kinsoku w:val="0"/>
        <w:wordWrap w:val="0"/>
        <w:topLinePunct/>
        <w:autoSpaceDE/>
        <w:spacing w:line="240" w:lineRule="auto"/>
        <w:jc w:val="center"/>
        <w:rPr>
          <w:rFonts w:hint="eastAsia" w:ascii="仿宋" w:hAnsi="仿宋" w:eastAsia="仿宋" w:cs="仿宋"/>
          <w:sz w:val="44"/>
        </w:rPr>
      </w:pPr>
      <w:r>
        <w:rPr>
          <w:rFonts w:hint="eastAsia" w:ascii="仿宋" w:hAnsi="仿宋" w:eastAsia="仿宋" w:cs="仿宋"/>
          <w:sz w:val="44"/>
        </w:rPr>
        <w:t>汕头大学医学院技术服务招标项目</w:t>
      </w:r>
    </w:p>
    <w:p w14:paraId="02010EB9">
      <w:pPr>
        <w:pStyle w:val="2"/>
        <w:kinsoku w:val="0"/>
        <w:wordWrap w:val="0"/>
        <w:topLinePunct/>
        <w:autoSpaceDE/>
        <w:spacing w:line="240" w:lineRule="auto"/>
        <w:jc w:val="center"/>
        <w:rPr>
          <w:rFonts w:hint="eastAsia" w:ascii="仿宋" w:hAnsi="仿宋" w:eastAsia="仿宋" w:cs="仿宋"/>
          <w:sz w:val="44"/>
        </w:rPr>
      </w:pPr>
    </w:p>
    <w:p w14:paraId="7D9E751E">
      <w:pPr>
        <w:pStyle w:val="2"/>
        <w:kinsoku w:val="0"/>
        <w:wordWrap w:val="0"/>
        <w:topLinePunct/>
        <w:autoSpaceDE/>
        <w:spacing w:line="240" w:lineRule="auto"/>
        <w:jc w:val="center"/>
      </w:pPr>
      <w:r>
        <w:rPr>
          <w:rFonts w:hint="eastAsia"/>
        </w:rPr>
        <w:t>招   标   文   件</w:t>
      </w:r>
    </w:p>
    <w:p w14:paraId="42FFFCA8">
      <w:pPr>
        <w:kinsoku w:val="0"/>
        <w:wordWrap w:val="0"/>
        <w:topLinePunct/>
        <w:rPr>
          <w:rFonts w:hint="eastAsia" w:ascii="仿宋" w:hAnsi="仿宋" w:eastAsia="仿宋" w:cs="仿宋"/>
        </w:rPr>
      </w:pPr>
    </w:p>
    <w:p w14:paraId="718C9411">
      <w:pPr>
        <w:kinsoku w:val="0"/>
        <w:wordWrap w:val="0"/>
        <w:topLinePunct/>
        <w:rPr>
          <w:rFonts w:hint="eastAsia" w:ascii="仿宋" w:hAnsi="仿宋" w:eastAsia="仿宋" w:cs="仿宋"/>
        </w:rPr>
      </w:pPr>
    </w:p>
    <w:p w14:paraId="3919449D">
      <w:pPr>
        <w:kinsoku w:val="0"/>
        <w:wordWrap w:val="0"/>
        <w:topLinePunct/>
        <w:rPr>
          <w:rFonts w:hint="eastAsia" w:ascii="仿宋" w:hAnsi="仿宋" w:eastAsia="仿宋" w:cs="仿宋"/>
        </w:rPr>
      </w:pPr>
    </w:p>
    <w:p w14:paraId="196A1F5E">
      <w:pPr>
        <w:kinsoku w:val="0"/>
        <w:wordWrap w:val="0"/>
        <w:topLinePunct/>
        <w:rPr>
          <w:rFonts w:hint="eastAsia" w:ascii="仿宋" w:hAnsi="仿宋" w:eastAsia="仿宋" w:cs="仿宋"/>
        </w:rPr>
      </w:pPr>
    </w:p>
    <w:p w14:paraId="174214F2">
      <w:pPr>
        <w:kinsoku w:val="0"/>
        <w:wordWrap w:val="0"/>
        <w:topLinePunct/>
        <w:rPr>
          <w:rFonts w:hint="eastAsia" w:ascii="仿宋" w:hAnsi="仿宋" w:eastAsia="仿宋" w:cs="仿宋"/>
        </w:rPr>
      </w:pPr>
    </w:p>
    <w:p w14:paraId="5D2A3971">
      <w:r>
        <w:rPr>
          <w:rFonts w:hint="eastAsia"/>
        </w:rPr>
        <w:t>招标编号：</w:t>
      </w:r>
      <w:r>
        <w:rPr>
          <w:rFonts w:hint="eastAsia"/>
          <w:highlight w:val="none"/>
        </w:rPr>
        <w:t xml:space="preserve">汕医招2026- </w:t>
      </w:r>
      <w:r>
        <w:rPr>
          <w:rFonts w:hint="eastAsia"/>
          <w:highlight w:val="none"/>
          <w:lang w:val="en-US" w:eastAsia="zh-CN"/>
        </w:rPr>
        <w:t>5</w:t>
      </w:r>
      <w:r>
        <w:rPr>
          <w:highlight w:val="none"/>
        </w:rPr>
        <w:t>-</w:t>
      </w:r>
      <w:r>
        <w:rPr>
          <w:rFonts w:hint="eastAsia"/>
          <w:highlight w:val="none"/>
        </w:rPr>
        <w:t xml:space="preserve"> </w:t>
      </w:r>
      <w:r>
        <w:rPr>
          <w:rFonts w:hint="eastAsia"/>
          <w:highlight w:val="none"/>
          <w:lang w:val="en-US" w:eastAsia="zh-CN"/>
        </w:rPr>
        <w:t>12</w:t>
      </w:r>
      <w:r>
        <w:rPr>
          <w:rFonts w:hint="eastAsia"/>
          <w:highlight w:val="none"/>
        </w:rPr>
        <w:t xml:space="preserve"> </w:t>
      </w:r>
    </w:p>
    <w:p w14:paraId="37EA805D">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项目名称：汕头大学医学院人血清非靶向蛋白质组学技术服务</w:t>
      </w:r>
    </w:p>
    <w:p w14:paraId="3A4B413C">
      <w:pPr>
        <w:spacing w:line="360" w:lineRule="auto"/>
        <w:jc w:val="center"/>
        <w:rPr>
          <w:rFonts w:hint="eastAsia" w:ascii="仿宋" w:hAnsi="仿宋" w:eastAsia="仿宋" w:cs="仿宋"/>
          <w:sz w:val="30"/>
          <w:szCs w:val="30"/>
        </w:rPr>
      </w:pPr>
      <w:r>
        <w:rPr>
          <w:rFonts w:hint="eastAsia" w:ascii="仿宋" w:hAnsi="仿宋" w:eastAsia="仿宋" w:cs="仿宋"/>
          <w:sz w:val="30"/>
          <w:szCs w:val="30"/>
        </w:rPr>
        <w:t>招标项目</w:t>
      </w:r>
    </w:p>
    <w:p w14:paraId="74125F47">
      <w:pPr>
        <w:kinsoku w:val="0"/>
        <w:wordWrap w:val="0"/>
        <w:topLinePunct/>
        <w:ind w:firstLine="1494"/>
        <w:rPr>
          <w:rFonts w:hint="eastAsia" w:ascii="仿宋" w:hAnsi="仿宋" w:eastAsia="仿宋" w:cs="仿宋"/>
          <w:sz w:val="24"/>
        </w:rPr>
      </w:pPr>
    </w:p>
    <w:p w14:paraId="7FDE27BE">
      <w:pPr>
        <w:kinsoku w:val="0"/>
        <w:wordWrap w:val="0"/>
        <w:topLinePunct/>
        <w:rPr>
          <w:rFonts w:hint="eastAsia" w:ascii="仿宋" w:hAnsi="仿宋" w:eastAsia="仿宋" w:cs="仿宋"/>
          <w:sz w:val="24"/>
        </w:rPr>
      </w:pPr>
    </w:p>
    <w:p w14:paraId="08A79518">
      <w:pPr>
        <w:kinsoku w:val="0"/>
        <w:wordWrap w:val="0"/>
        <w:topLinePunct/>
        <w:jc w:val="center"/>
        <w:rPr>
          <w:rFonts w:hint="eastAsia" w:ascii="仿宋" w:hAnsi="仿宋" w:eastAsia="仿宋" w:cs="仿宋"/>
          <w:sz w:val="36"/>
        </w:rPr>
      </w:pPr>
    </w:p>
    <w:p w14:paraId="200F70F1">
      <w:pPr>
        <w:kinsoku w:val="0"/>
        <w:wordWrap w:val="0"/>
        <w:topLinePunct/>
        <w:jc w:val="center"/>
        <w:rPr>
          <w:rFonts w:hint="eastAsia"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0B6CA260">
      <w:pPr>
        <w:kinsoku w:val="0"/>
        <w:wordWrap w:val="0"/>
        <w:topLinePunct/>
        <w:jc w:val="center"/>
        <w:rPr>
          <w:rFonts w:hint="eastAsia" w:ascii="仿宋" w:hAnsi="仿宋" w:eastAsia="仿宋" w:cs="仿宋"/>
          <w:sz w:val="21"/>
        </w:rPr>
      </w:pPr>
      <w:r>
        <w:rPr>
          <w:rFonts w:hint="eastAsia" w:ascii="仿宋" w:hAnsi="仿宋" w:eastAsia="仿宋" w:cs="仿宋"/>
          <w:sz w:val="21"/>
        </w:rPr>
        <w:t>(欢迎访问我们的网站:http://www.med.stu.edu.cn)</w:t>
      </w:r>
    </w:p>
    <w:p w14:paraId="619DE1AA">
      <w:pPr>
        <w:kinsoku w:val="0"/>
        <w:wordWrap w:val="0"/>
        <w:topLinePunct/>
        <w:jc w:val="center"/>
        <w:rPr>
          <w:rFonts w:hint="eastAsia" w:ascii="仿宋" w:hAnsi="仿宋" w:eastAsia="仿宋" w:cs="仿宋"/>
        </w:rPr>
      </w:pPr>
    </w:p>
    <w:p w14:paraId="00E717B8">
      <w:pPr>
        <w:kinsoku w:val="0"/>
        <w:wordWrap w:val="0"/>
        <w:topLinePunct/>
        <w:jc w:val="center"/>
        <w:rPr>
          <w:rFonts w:hint="eastAsia" w:ascii="仿宋" w:hAnsi="仿宋" w:eastAsia="仿宋" w:cs="仿宋"/>
          <w:sz w:val="36"/>
        </w:rPr>
      </w:pPr>
      <w:r>
        <w:rPr>
          <w:rFonts w:hint="eastAsia" w:ascii="仿宋" w:hAnsi="仿宋" w:eastAsia="仿宋" w:cs="仿宋"/>
          <w:sz w:val="36"/>
        </w:rPr>
        <w:t>汕头大学医学院</w:t>
      </w:r>
    </w:p>
    <w:p w14:paraId="3C85A2F8">
      <w:pPr>
        <w:numPr>
          <w:ilvl w:val="0"/>
          <w:numId w:val="3"/>
        </w:numPr>
        <w:kinsoku w:val="0"/>
        <w:wordWrap w:val="0"/>
        <w:topLinePunct/>
        <w:jc w:val="center"/>
        <w:rPr>
          <w:rFonts w:hint="eastAsia" w:ascii="仿宋" w:hAnsi="仿宋" w:eastAsia="仿宋" w:cs="仿宋"/>
          <w:sz w:val="44"/>
          <w:highlight w:val="none"/>
        </w:rPr>
      </w:pPr>
      <w:r>
        <w:rPr>
          <w:rFonts w:hint="eastAsia" w:ascii="仿宋" w:hAnsi="仿宋" w:eastAsia="仿宋" w:cs="仿宋"/>
          <w:sz w:val="44"/>
          <w:highlight w:val="none"/>
          <w:lang w:val="en-US" w:eastAsia="zh-CN"/>
        </w:rPr>
        <w:t>5</w:t>
      </w:r>
      <w:r>
        <w:rPr>
          <w:rFonts w:hint="eastAsia" w:ascii="仿宋" w:hAnsi="仿宋" w:eastAsia="仿宋" w:cs="仿宋"/>
          <w:sz w:val="44"/>
          <w:highlight w:val="none"/>
        </w:rPr>
        <w:t>.</w:t>
      </w:r>
      <w:r>
        <w:rPr>
          <w:rFonts w:hint="eastAsia" w:ascii="仿宋" w:hAnsi="仿宋" w:eastAsia="仿宋" w:cs="仿宋"/>
          <w:sz w:val="44"/>
          <w:highlight w:val="none"/>
          <w:lang w:val="en-US" w:eastAsia="zh-CN"/>
        </w:rPr>
        <w:t>12</w:t>
      </w:r>
    </w:p>
    <w:p w14:paraId="6DC9D59D">
      <w:pPr>
        <w:kinsoku w:val="0"/>
        <w:wordWrap w:val="0"/>
        <w:topLinePunct/>
        <w:rPr>
          <w:rFonts w:hint="eastAsia" w:ascii="仿宋" w:hAnsi="仿宋" w:eastAsia="仿宋" w:cs="仿宋"/>
          <w:sz w:val="24"/>
        </w:rPr>
      </w:pPr>
    </w:p>
    <w:p w14:paraId="7314E550">
      <w:pPr>
        <w:kinsoku w:val="0"/>
        <w:wordWrap w:val="0"/>
        <w:topLinePunct/>
        <w:rPr>
          <w:rFonts w:hint="eastAsia" w:ascii="仿宋" w:hAnsi="仿宋" w:eastAsia="仿宋" w:cs="仿宋"/>
          <w:sz w:val="24"/>
        </w:rPr>
      </w:pPr>
    </w:p>
    <w:p w14:paraId="03AE22E1">
      <w:pPr>
        <w:pageBreakBefore/>
        <w:kinsoku w:val="0"/>
        <w:wordWrap w:val="0"/>
        <w:topLinePunct/>
        <w:jc w:val="center"/>
        <w:rPr>
          <w:rFonts w:hint="eastAsia" w:ascii="仿宋" w:hAnsi="仿宋" w:eastAsia="仿宋" w:cs="仿宋"/>
          <w:b/>
          <w:sz w:val="44"/>
        </w:rPr>
      </w:pPr>
      <w:r>
        <w:rPr>
          <w:rFonts w:hint="eastAsia" w:ascii="仿宋" w:hAnsi="仿宋" w:eastAsia="仿宋" w:cs="仿宋"/>
          <w:b/>
          <w:sz w:val="44"/>
        </w:rPr>
        <w:t>目  录</w:t>
      </w:r>
    </w:p>
    <w:p w14:paraId="4A7CCC1B">
      <w:pPr>
        <w:kinsoku w:val="0"/>
        <w:wordWrap w:val="0"/>
        <w:topLinePunct/>
        <w:jc w:val="center"/>
        <w:rPr>
          <w:rFonts w:hint="eastAsia" w:ascii="仿宋" w:hAnsi="仿宋" w:eastAsia="仿宋" w:cs="仿宋"/>
          <w:b/>
          <w:sz w:val="44"/>
        </w:rPr>
      </w:pPr>
    </w:p>
    <w:p w14:paraId="30AF14C1">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第一部分  投标须知、招标项目说明</w:t>
      </w:r>
    </w:p>
    <w:p w14:paraId="47BC0E00">
      <w:pPr>
        <w:numPr>
          <w:ilvl w:val="0"/>
          <w:numId w:val="4"/>
        </w:numPr>
        <w:kinsoku w:val="0"/>
        <w:wordWrap w:val="0"/>
        <w:topLinePunct/>
        <w:rPr>
          <w:rFonts w:hint="eastAsia" w:ascii="仿宋" w:hAnsi="仿宋" w:eastAsia="仿宋" w:cs="仿宋"/>
        </w:rPr>
      </w:pPr>
      <w:r>
        <w:rPr>
          <w:rFonts w:hint="eastAsia" w:ascii="仿宋" w:hAnsi="仿宋" w:eastAsia="仿宋" w:cs="仿宋"/>
        </w:rPr>
        <w:t>投标人须知</w:t>
      </w:r>
    </w:p>
    <w:p w14:paraId="1471E055">
      <w:pPr>
        <w:numPr>
          <w:ilvl w:val="0"/>
          <w:numId w:val="4"/>
        </w:numPr>
        <w:kinsoku w:val="0"/>
        <w:wordWrap w:val="0"/>
        <w:topLinePunct/>
        <w:rPr>
          <w:rFonts w:hint="eastAsia" w:ascii="仿宋" w:hAnsi="仿宋" w:eastAsia="仿宋" w:cs="仿宋"/>
        </w:rPr>
      </w:pPr>
      <w:r>
        <w:rPr>
          <w:rFonts w:hint="eastAsia" w:ascii="仿宋" w:hAnsi="仿宋" w:eastAsia="仿宋" w:cs="仿宋"/>
        </w:rPr>
        <w:t>招标项目的名称、性质和数量</w:t>
      </w:r>
    </w:p>
    <w:p w14:paraId="6FB7D78C">
      <w:pPr>
        <w:numPr>
          <w:ilvl w:val="0"/>
          <w:numId w:val="4"/>
        </w:numPr>
        <w:kinsoku w:val="0"/>
        <w:wordWrap w:val="0"/>
        <w:topLinePunct/>
        <w:rPr>
          <w:rFonts w:hint="eastAsia" w:ascii="仿宋" w:hAnsi="仿宋" w:eastAsia="仿宋" w:cs="仿宋"/>
        </w:rPr>
      </w:pPr>
      <w:r>
        <w:rPr>
          <w:rFonts w:hint="eastAsia" w:ascii="仿宋" w:hAnsi="仿宋" w:eastAsia="仿宋" w:cs="仿宋"/>
        </w:rPr>
        <w:t>投标报价方式及报价要求</w:t>
      </w:r>
    </w:p>
    <w:p w14:paraId="7AD4F850">
      <w:pPr>
        <w:numPr>
          <w:ilvl w:val="0"/>
          <w:numId w:val="4"/>
        </w:numPr>
        <w:kinsoku w:val="0"/>
        <w:wordWrap w:val="0"/>
        <w:topLinePunct/>
        <w:rPr>
          <w:rFonts w:hint="eastAsia" w:ascii="仿宋" w:hAnsi="仿宋" w:eastAsia="仿宋" w:cs="仿宋"/>
        </w:rPr>
      </w:pPr>
      <w:r>
        <w:rPr>
          <w:rFonts w:hint="eastAsia" w:ascii="仿宋" w:hAnsi="仿宋" w:eastAsia="仿宋" w:cs="仿宋"/>
        </w:rPr>
        <w:t>提交投标书的方式、地点和截止日期</w:t>
      </w:r>
    </w:p>
    <w:p w14:paraId="574708FA">
      <w:pPr>
        <w:numPr>
          <w:ilvl w:val="0"/>
          <w:numId w:val="4"/>
        </w:numPr>
        <w:kinsoku w:val="0"/>
        <w:wordWrap w:val="0"/>
        <w:topLinePunct/>
        <w:rPr>
          <w:rFonts w:hint="eastAsia" w:ascii="仿宋" w:hAnsi="仿宋" w:eastAsia="仿宋" w:cs="仿宋"/>
        </w:rPr>
      </w:pPr>
      <w:r>
        <w:rPr>
          <w:rFonts w:hint="eastAsia" w:ascii="仿宋" w:hAnsi="仿宋" w:eastAsia="仿宋" w:cs="仿宋"/>
        </w:rPr>
        <w:t>评（议）标原则</w:t>
      </w:r>
    </w:p>
    <w:p w14:paraId="5B3038A8">
      <w:pPr>
        <w:numPr>
          <w:ilvl w:val="0"/>
          <w:numId w:val="4"/>
        </w:numPr>
        <w:kinsoku w:val="0"/>
        <w:wordWrap w:val="0"/>
        <w:topLinePunct/>
        <w:rPr>
          <w:rFonts w:hint="eastAsia" w:ascii="仿宋" w:hAnsi="仿宋" w:eastAsia="仿宋" w:cs="仿宋"/>
        </w:rPr>
      </w:pPr>
      <w:r>
        <w:rPr>
          <w:rFonts w:hint="eastAsia" w:ascii="仿宋" w:hAnsi="仿宋" w:eastAsia="仿宋" w:cs="仿宋"/>
        </w:rPr>
        <w:t>开标、评标、定标</w:t>
      </w:r>
    </w:p>
    <w:p w14:paraId="63FA7D11">
      <w:pPr>
        <w:numPr>
          <w:ilvl w:val="0"/>
          <w:numId w:val="4"/>
        </w:numPr>
        <w:kinsoku w:val="0"/>
        <w:wordWrap w:val="0"/>
        <w:topLinePunct/>
        <w:rPr>
          <w:rFonts w:hint="eastAsia" w:ascii="仿宋" w:hAnsi="仿宋" w:eastAsia="仿宋" w:cs="仿宋"/>
        </w:rPr>
      </w:pPr>
      <w:r>
        <w:rPr>
          <w:rFonts w:hint="eastAsia" w:ascii="仿宋" w:hAnsi="仿宋" w:eastAsia="仿宋" w:cs="仿宋"/>
        </w:rPr>
        <w:t>评标过程的保密性</w:t>
      </w:r>
    </w:p>
    <w:p w14:paraId="1B9CCE91">
      <w:pPr>
        <w:kinsoku w:val="0"/>
        <w:wordWrap w:val="0"/>
        <w:topLinePunct/>
        <w:adjustRightInd w:val="0"/>
        <w:snapToGrid w:val="0"/>
        <w:spacing w:before="50" w:after="50"/>
        <w:rPr>
          <w:rFonts w:hint="eastAsia" w:ascii="仿宋" w:hAnsi="仿宋" w:eastAsia="仿宋" w:cs="仿宋"/>
          <w:sz w:val="32"/>
        </w:rPr>
      </w:pPr>
    </w:p>
    <w:p w14:paraId="69AD5EE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第二部分  技术规格要求和交货日期等</w:t>
      </w:r>
    </w:p>
    <w:p w14:paraId="3B1E8FAC">
      <w:pPr>
        <w:numPr>
          <w:ilvl w:val="0"/>
          <w:numId w:val="5"/>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项目内容数量</w:t>
      </w:r>
    </w:p>
    <w:p w14:paraId="1E7A8577">
      <w:pPr>
        <w:numPr>
          <w:ilvl w:val="0"/>
          <w:numId w:val="5"/>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主要技术指标、技术服务要求、时间</w:t>
      </w:r>
    </w:p>
    <w:p w14:paraId="5D5EE0BF">
      <w:pPr>
        <w:numPr>
          <w:ilvl w:val="0"/>
          <w:numId w:val="5"/>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技术服务质量及售后服务要求</w:t>
      </w:r>
    </w:p>
    <w:p w14:paraId="1BE0FA46">
      <w:pPr>
        <w:kinsoku w:val="0"/>
        <w:wordWrap w:val="0"/>
        <w:topLinePunct/>
        <w:adjustRightInd w:val="0"/>
        <w:snapToGrid w:val="0"/>
        <w:spacing w:before="50" w:after="50"/>
        <w:rPr>
          <w:rFonts w:hint="eastAsia" w:ascii="仿宋" w:hAnsi="仿宋" w:eastAsia="仿宋" w:cs="仿宋"/>
          <w:sz w:val="32"/>
        </w:rPr>
      </w:pPr>
    </w:p>
    <w:p w14:paraId="20EDFEB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第三部分  合同样本</w:t>
      </w:r>
    </w:p>
    <w:p w14:paraId="65515732">
      <w:pPr>
        <w:kinsoku w:val="0"/>
        <w:wordWrap w:val="0"/>
        <w:topLinePunct/>
        <w:adjustRightInd w:val="0"/>
        <w:snapToGrid w:val="0"/>
        <w:spacing w:before="50" w:after="50"/>
        <w:rPr>
          <w:rFonts w:hint="eastAsia" w:ascii="仿宋" w:hAnsi="仿宋" w:eastAsia="仿宋" w:cs="仿宋"/>
          <w:b/>
          <w:sz w:val="32"/>
        </w:rPr>
      </w:pPr>
    </w:p>
    <w:p w14:paraId="7C8AF32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第四部分  投标书格式</w:t>
      </w:r>
    </w:p>
    <w:p w14:paraId="799EFEC6">
      <w:pPr>
        <w:kinsoku w:val="0"/>
        <w:wordWrap w:val="0"/>
        <w:topLinePunct/>
        <w:adjustRightInd w:val="0"/>
        <w:snapToGrid w:val="0"/>
        <w:spacing w:before="50" w:after="50"/>
        <w:rPr>
          <w:rFonts w:hint="eastAsia" w:ascii="仿宋" w:hAnsi="仿宋" w:eastAsia="仿宋" w:cs="仿宋"/>
          <w:b/>
          <w:sz w:val="32"/>
        </w:rPr>
      </w:pPr>
    </w:p>
    <w:p w14:paraId="63A0E970">
      <w:pPr>
        <w:kinsoku w:val="0"/>
        <w:wordWrap w:val="0"/>
        <w:topLinePunct/>
        <w:jc w:val="center"/>
        <w:rPr>
          <w:rFonts w:hint="eastAsia"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2F28631A">
      <w:pPr>
        <w:kinsoku w:val="0"/>
        <w:wordWrap w:val="0"/>
        <w:topLinePunct/>
        <w:rPr>
          <w:rFonts w:hint="eastAsia" w:ascii="仿宋" w:hAnsi="仿宋" w:eastAsia="仿宋" w:cs="仿宋"/>
          <w:b/>
          <w:sz w:val="21"/>
          <w:szCs w:val="21"/>
        </w:rPr>
      </w:pPr>
      <w:r>
        <w:rPr>
          <w:rFonts w:hint="eastAsia" w:ascii="仿宋" w:hAnsi="仿宋" w:eastAsia="仿宋" w:cs="仿宋"/>
          <w:b/>
          <w:sz w:val="21"/>
          <w:szCs w:val="21"/>
        </w:rPr>
        <w:t>一、投标人须知</w:t>
      </w:r>
    </w:p>
    <w:p w14:paraId="3B6EA820">
      <w:pPr>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b/>
          <w:bCs/>
          <w:sz w:val="21"/>
          <w:szCs w:val="21"/>
        </w:rPr>
        <w:t>1.投标文件要求：正本（含资质文件）一份，副本五份[内容与正本一致]</w:t>
      </w:r>
      <w:r>
        <w:rPr>
          <w:rFonts w:hint="eastAsia" w:ascii="仿宋" w:hAnsi="仿宋" w:eastAsia="仿宋" w:cs="仿宋"/>
          <w:sz w:val="21"/>
          <w:szCs w:val="21"/>
        </w:rPr>
        <w:t>。</w:t>
      </w:r>
    </w:p>
    <w:p w14:paraId="1F3498A3">
      <w:pPr>
        <w:spacing w:line="540" w:lineRule="exact"/>
        <w:ind w:firstLine="524" w:firstLineChars="200"/>
        <w:rPr>
          <w:rFonts w:hint="eastAsia" w:ascii="仿宋" w:hAnsi="仿宋" w:eastAsia="仿宋" w:cs="仿宋"/>
          <w:b/>
          <w:sz w:val="21"/>
          <w:szCs w:val="21"/>
        </w:rPr>
      </w:pPr>
      <w:r>
        <w:rPr>
          <w:rFonts w:hint="eastAsia" w:ascii="仿宋" w:hAnsi="仿宋" w:eastAsia="仿宋" w:cs="仿宋"/>
          <w:b/>
          <w:sz w:val="21"/>
          <w:szCs w:val="21"/>
        </w:rPr>
        <w:t>2.供应商资格要求</w:t>
      </w:r>
    </w:p>
    <w:p w14:paraId="3FD063DB">
      <w:pPr>
        <w:spacing w:line="540" w:lineRule="exact"/>
        <w:rPr>
          <w:rFonts w:hint="eastAsia" w:ascii="仿宋" w:hAnsi="仿宋" w:eastAsia="仿宋" w:cs="仿宋"/>
          <w:sz w:val="21"/>
          <w:szCs w:val="21"/>
        </w:rPr>
      </w:pPr>
      <w:r>
        <w:rPr>
          <w:rFonts w:hint="eastAsia" w:ascii="仿宋" w:hAnsi="仿宋" w:eastAsia="仿宋" w:cs="仿宋"/>
          <w:sz w:val="21"/>
          <w:szCs w:val="21"/>
        </w:rPr>
        <w:t xml:space="preserve">   （1）具有独立承担民事责任的能力，投标人须在中国境内注册并且经营范围包含本项目内容。</w:t>
      </w:r>
    </w:p>
    <w:p w14:paraId="38939CB4">
      <w:pPr>
        <w:spacing w:line="540" w:lineRule="exact"/>
        <w:rPr>
          <w:rFonts w:hint="eastAsia" w:ascii="仿宋" w:hAnsi="仿宋" w:eastAsia="仿宋" w:cs="仿宋"/>
          <w:sz w:val="21"/>
          <w:szCs w:val="21"/>
        </w:rPr>
      </w:pPr>
      <w:r>
        <w:rPr>
          <w:rFonts w:hint="eastAsia" w:ascii="仿宋" w:hAnsi="仿宋" w:eastAsia="仿宋" w:cs="仿宋"/>
          <w:sz w:val="21"/>
          <w:szCs w:val="21"/>
        </w:rPr>
        <w:t xml:space="preserve">   （2）参加本项目招标采购活动前三年内，在经营活动中没有重大违法记录（投标人自行提供书面声明）。</w:t>
      </w:r>
    </w:p>
    <w:p w14:paraId="11EF7E8F">
      <w:pPr>
        <w:spacing w:line="540" w:lineRule="exact"/>
        <w:ind w:left="425"/>
        <w:rPr>
          <w:rFonts w:hint="eastAsia" w:ascii="仿宋" w:hAnsi="仿宋" w:eastAsia="仿宋" w:cs="仿宋"/>
          <w:sz w:val="21"/>
          <w:szCs w:val="21"/>
        </w:rPr>
      </w:pPr>
      <w:r>
        <w:rPr>
          <w:rFonts w:hint="eastAsia" w:ascii="仿宋" w:hAnsi="仿宋" w:eastAsia="仿宋" w:cs="仿宋"/>
          <w:sz w:val="21"/>
          <w:szCs w:val="21"/>
        </w:rPr>
        <w:t>（3）投标人单位负责人为同一人或者存在控股、管理关系的不同单位，不得参加本次投标。</w:t>
      </w:r>
    </w:p>
    <w:p w14:paraId="2BD6ED45">
      <w:pPr>
        <w:spacing w:line="540" w:lineRule="exact"/>
        <w:ind w:left="425"/>
        <w:rPr>
          <w:rFonts w:hint="eastAsia"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（4）投标人未被列入“信用中国”网站失信被执行人、重大税收违法案件严重违法失信行为记录名单（投标人自行提供截图）。</w:t>
      </w:r>
    </w:p>
    <w:p w14:paraId="6F59482E">
      <w:pPr>
        <w:spacing w:line="540" w:lineRule="exact"/>
        <w:ind w:left="425"/>
        <w:rPr>
          <w:rFonts w:hint="eastAsia" w:ascii="仿宋" w:hAnsi="仿宋" w:eastAsia="仿宋" w:cs="仿宋"/>
          <w:sz w:val="21"/>
          <w:szCs w:val="21"/>
        </w:rPr>
      </w:pPr>
      <w:r>
        <w:rPr>
          <w:rFonts w:hint="eastAsia" w:ascii="仿宋" w:hAnsi="仿宋" w:eastAsia="仿宋" w:cs="仿宋"/>
          <w:sz w:val="21"/>
          <w:szCs w:val="21"/>
        </w:rPr>
        <w:t>（5）本项目不接受联合体投标。</w:t>
      </w:r>
    </w:p>
    <w:p w14:paraId="4F32FDED">
      <w:pPr>
        <w:numPr>
          <w:ilvl w:val="255"/>
          <w:numId w:val="0"/>
        </w:numPr>
        <w:tabs>
          <w:tab w:val="left" w:pos="0"/>
        </w:tabs>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3. 投标人可以在汕头大学医学院网站主页自行下载招标文件。投标人拿到招标书后，如有疑问，可在投标截止日期内与招标有关联系人联系。</w:t>
      </w:r>
    </w:p>
    <w:p w14:paraId="7244589E">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4.投标书和签定合同要求企业法人或企业法人授权委托代表签名方为有效。</w:t>
      </w:r>
    </w:p>
    <w:p w14:paraId="43089857">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5.如有必要，投标人应接受招标人的答辩要求。</w:t>
      </w:r>
    </w:p>
    <w:p w14:paraId="3BC90DA9">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6.投标时每个投标单位向我院缴交人民币三百元资料费。</w:t>
      </w:r>
    </w:p>
    <w:p w14:paraId="2B1DCDE2">
      <w:pPr>
        <w:numPr>
          <w:ilvl w:val="255"/>
          <w:numId w:val="0"/>
        </w:numPr>
        <w:kinsoku w:val="0"/>
        <w:wordWrap w:val="0"/>
        <w:topLinePunct/>
        <w:ind w:left="498"/>
        <w:rPr>
          <w:rFonts w:hint="eastAsia" w:ascii="仿宋" w:hAnsi="仿宋" w:eastAsia="仿宋" w:cs="仿宋"/>
          <w:b/>
          <w:sz w:val="21"/>
          <w:szCs w:val="21"/>
        </w:rPr>
      </w:pPr>
      <w:r>
        <w:rPr>
          <w:rFonts w:hint="eastAsia" w:ascii="仿宋" w:hAnsi="仿宋" w:eastAsia="仿宋" w:cs="仿宋"/>
          <w:sz w:val="21"/>
          <w:szCs w:val="21"/>
        </w:rPr>
        <w:t>7.向我院缴交资料费时用此专用户头：</w:t>
      </w:r>
      <w:r>
        <w:rPr>
          <w:rFonts w:hint="eastAsia" w:ascii="仿宋" w:hAnsi="仿宋" w:eastAsia="仿宋" w:cs="仿宋"/>
          <w:b/>
          <w:sz w:val="21"/>
          <w:szCs w:val="21"/>
        </w:rPr>
        <w:t xml:space="preserve">单位名称：（汕头大学医学院 ）  帐号：（705557744822 ）  开户行：（中行嘉泰支行） </w:t>
      </w:r>
    </w:p>
    <w:p w14:paraId="31702780">
      <w:p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8.投标人必须接受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36A82F85">
      <w:pPr>
        <w:kinsoku w:val="0"/>
        <w:wordWrap w:val="0"/>
        <w:topLinePunct/>
        <w:ind w:left="425"/>
        <w:rPr>
          <w:rFonts w:hint="eastAsia" w:ascii="仿宋" w:hAnsi="仿宋" w:eastAsia="仿宋" w:cs="仿宋"/>
          <w:sz w:val="21"/>
        </w:rPr>
      </w:pPr>
      <w:r>
        <w:rPr>
          <w:rFonts w:hint="eastAsia" w:ascii="仿宋" w:hAnsi="仿宋" w:eastAsia="仿宋" w:cs="仿宋"/>
          <w:sz w:val="18"/>
        </w:rPr>
        <w:t xml:space="preserve">   </w:t>
      </w:r>
    </w:p>
    <w:p w14:paraId="6D33C8DF">
      <w:pPr>
        <w:kinsoku w:val="0"/>
        <w:wordWrap w:val="0"/>
        <w:topLinePunct/>
        <w:rPr>
          <w:rFonts w:hint="eastAsia" w:ascii="仿宋" w:hAnsi="仿宋" w:eastAsia="仿宋" w:cs="仿宋"/>
          <w:b/>
          <w:sz w:val="21"/>
        </w:rPr>
      </w:pPr>
      <w:r>
        <w:rPr>
          <w:rFonts w:hint="eastAsia" w:ascii="仿宋" w:hAnsi="仿宋" w:eastAsia="仿宋" w:cs="仿宋"/>
          <w:b/>
          <w:sz w:val="21"/>
        </w:rPr>
        <w:t>二、招标项目的名称</w:t>
      </w:r>
    </w:p>
    <w:p w14:paraId="76ADFEC1">
      <w:pPr>
        <w:kinsoku w:val="0"/>
        <w:wordWrap w:val="0"/>
        <w:topLinePunct/>
        <w:ind w:firstLine="565" w:firstLineChars="216"/>
        <w:rPr>
          <w:rFonts w:hint="eastAsia" w:ascii="仿宋" w:hAnsi="仿宋" w:eastAsia="仿宋" w:cs="仿宋"/>
          <w:sz w:val="21"/>
          <w:szCs w:val="21"/>
        </w:rPr>
      </w:pPr>
      <w:r>
        <w:rPr>
          <w:rFonts w:hint="eastAsia" w:ascii="仿宋" w:hAnsi="仿宋" w:eastAsia="仿宋" w:cs="仿宋"/>
          <w:sz w:val="21"/>
          <w:szCs w:val="21"/>
        </w:rPr>
        <w:t>汕头大学医学院人血清非靶向蛋白质组学技术服务招标项目</w:t>
      </w:r>
    </w:p>
    <w:p w14:paraId="0C133A1D">
      <w:pPr>
        <w:kinsoku w:val="0"/>
        <w:wordWrap w:val="0"/>
        <w:topLinePunct/>
        <w:rPr>
          <w:rFonts w:hint="eastAsia" w:ascii="仿宋" w:hAnsi="仿宋" w:eastAsia="仿宋" w:cs="仿宋"/>
          <w:b/>
          <w:sz w:val="21"/>
        </w:rPr>
      </w:pPr>
    </w:p>
    <w:p w14:paraId="58A911B9">
      <w:pPr>
        <w:kinsoku w:val="0"/>
        <w:wordWrap w:val="0"/>
        <w:topLinePunct/>
        <w:rPr>
          <w:rFonts w:hint="eastAsia" w:ascii="仿宋" w:hAnsi="仿宋" w:eastAsia="仿宋" w:cs="仿宋"/>
          <w:b/>
          <w:sz w:val="21"/>
        </w:rPr>
      </w:pPr>
      <w:r>
        <w:rPr>
          <w:rFonts w:hint="eastAsia" w:ascii="仿宋" w:hAnsi="仿宋" w:eastAsia="仿宋" w:cs="仿宋"/>
          <w:b/>
          <w:sz w:val="21"/>
        </w:rPr>
        <w:t>三、投标报价方式及报价要求</w:t>
      </w:r>
    </w:p>
    <w:p w14:paraId="6919BFF8">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报价方式：仅以人民币报价，投标总价不得高于总预算。</w:t>
      </w:r>
    </w:p>
    <w:p w14:paraId="1BE67E2A">
      <w:pPr>
        <w:spacing w:line="360" w:lineRule="auto"/>
        <w:ind w:firstLine="524" w:firstLineChars="200"/>
        <w:rPr>
          <w:rFonts w:hint="eastAsia" w:ascii="仿宋" w:hAnsi="仿宋" w:eastAsia="仿宋" w:cs="仿宋"/>
          <w:sz w:val="21"/>
          <w:szCs w:val="21"/>
        </w:rPr>
      </w:pPr>
      <w:r>
        <w:rPr>
          <w:rFonts w:ascii="仿宋" w:hAnsi="仿宋" w:eastAsia="仿宋" w:cs="仿宋"/>
          <w:sz w:val="21"/>
          <w:szCs w:val="21"/>
        </w:rPr>
        <w:br w:type="textWrapping"/>
      </w:r>
    </w:p>
    <w:p w14:paraId="7482C867">
      <w:pPr>
        <w:kinsoku w:val="0"/>
        <w:wordWrap w:val="0"/>
        <w:topLinePunct/>
        <w:rPr>
          <w:rFonts w:hint="eastAsia" w:ascii="仿宋" w:hAnsi="仿宋" w:eastAsia="仿宋" w:cs="仿宋"/>
          <w:b/>
          <w:sz w:val="21"/>
        </w:rPr>
      </w:pPr>
      <w:r>
        <w:rPr>
          <w:rFonts w:hint="eastAsia" w:ascii="仿宋" w:hAnsi="仿宋" w:eastAsia="仿宋" w:cs="仿宋"/>
          <w:b/>
          <w:sz w:val="21"/>
        </w:rPr>
        <w:t>四、提交投标书的方式、地点和截止时间</w:t>
      </w:r>
    </w:p>
    <w:p w14:paraId="584F0BA1">
      <w:pPr>
        <w:numPr>
          <w:ilvl w:val="0"/>
          <w:numId w:val="6"/>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投标书必须以密封加盖骑缝章的形式亲自或快递送达汕头新陵路22号汕头大学医学院   招投标中心</w:t>
      </w:r>
    </w:p>
    <w:p w14:paraId="6B7E1533">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5F002D14">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联系电话：（0754）88900305、13016667886</w:t>
      </w:r>
    </w:p>
    <w:p w14:paraId="24CE334E">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1593056A">
      <w:pPr>
        <w:kinsoku w:val="0"/>
        <w:wordWrap w:val="0"/>
        <w:topLinePunct/>
        <w:ind w:firstLine="780"/>
        <w:rPr>
          <w:rFonts w:hint="eastAsia" w:ascii="仿宋" w:hAnsi="仿宋" w:eastAsia="仿宋" w:cs="仿宋"/>
          <w:b/>
          <w:bCs/>
          <w:i/>
          <w:iCs/>
          <w:sz w:val="24"/>
        </w:rPr>
      </w:pPr>
      <w:bookmarkStart w:id="1" w:name="_GoBack"/>
      <w:bookmarkEnd w:id="1"/>
    </w:p>
    <w:p w14:paraId="44437153">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none"/>
        </w:rPr>
        <w:t xml:space="preserve">2026年 6月 </w:t>
      </w:r>
      <w:r>
        <w:rPr>
          <w:rFonts w:hint="eastAsia" w:ascii="仿宋" w:hAnsi="仿宋" w:eastAsia="仿宋" w:cs="仿宋"/>
          <w:b/>
          <w:bCs/>
          <w:i/>
          <w:iCs/>
          <w:sz w:val="24"/>
          <w:highlight w:val="none"/>
          <w:lang w:val="en-US" w:eastAsia="zh-CN"/>
        </w:rPr>
        <w:t>2</w:t>
      </w:r>
      <w:r>
        <w:rPr>
          <w:rFonts w:hint="eastAsia" w:ascii="仿宋" w:hAnsi="仿宋" w:eastAsia="仿宋" w:cs="仿宋"/>
          <w:b/>
          <w:bCs/>
          <w:i/>
          <w:iCs/>
          <w:sz w:val="24"/>
          <w:highlight w:val="none"/>
        </w:rPr>
        <w:t xml:space="preserve"> 日上午9:30(北京时间)</w:t>
      </w:r>
    </w:p>
    <w:p w14:paraId="6A5F515F">
      <w:pPr>
        <w:kinsoku w:val="0"/>
        <w:wordWrap w:val="0"/>
        <w:topLinePunct/>
        <w:rPr>
          <w:rFonts w:hint="eastAsia" w:ascii="仿宋" w:hAnsi="仿宋" w:eastAsia="仿宋" w:cs="仿宋"/>
          <w:b/>
          <w:sz w:val="21"/>
        </w:rPr>
      </w:pPr>
      <w:r>
        <w:rPr>
          <w:rFonts w:hint="eastAsia" w:ascii="仿宋" w:hAnsi="仿宋" w:eastAsia="仿宋" w:cs="仿宋"/>
          <w:b/>
          <w:sz w:val="21"/>
        </w:rPr>
        <w:t>五、评（议）标原则</w:t>
      </w:r>
    </w:p>
    <w:p w14:paraId="65C189A5">
      <w:pPr>
        <w:kinsoku w:val="0"/>
        <w:wordWrap w:val="0"/>
        <w:topLinePunct/>
        <w:ind w:firstLine="524" w:firstLineChars="200"/>
        <w:rPr>
          <w:rFonts w:hint="eastAsia" w:ascii="仿宋" w:hAnsi="仿宋" w:eastAsia="仿宋" w:cs="仿宋"/>
          <w:b/>
          <w:sz w:val="21"/>
          <w:szCs w:val="21"/>
        </w:rPr>
      </w:pPr>
      <w:r>
        <w:rPr>
          <w:rFonts w:hint="eastAsia" w:ascii="仿宋" w:hAnsi="仿宋" w:eastAsia="仿宋" w:cs="仿宋"/>
          <w:sz w:val="21"/>
          <w:szCs w:val="21"/>
        </w:rPr>
        <w:t>1.本次采购采用综合评分法，按分数高低选出中标候选人。</w:t>
      </w:r>
    </w:p>
    <w:p w14:paraId="4CCA5A81">
      <w:pPr>
        <w:pStyle w:val="17"/>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sz w:val="21"/>
          <w:szCs w:val="21"/>
        </w:rPr>
        <w:t>2.评分表：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65"/>
        <w:gridCol w:w="4910"/>
      </w:tblGrid>
      <w:tr w14:paraId="4430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09FEDF5B">
            <w:pPr>
              <w:jc w:val="center"/>
              <w:rPr>
                <w:sz w:val="21"/>
                <w:szCs w:val="21"/>
              </w:rPr>
            </w:pPr>
            <w:r>
              <w:rPr>
                <w:sz w:val="21"/>
                <w:szCs w:val="21"/>
              </w:rPr>
              <w:t>评审因素</w:t>
            </w:r>
          </w:p>
        </w:tc>
        <w:tc>
          <w:tcPr>
            <w:tcW w:w="7375" w:type="dxa"/>
            <w:gridSpan w:val="2"/>
          </w:tcPr>
          <w:p w14:paraId="11CB6D65">
            <w:pPr>
              <w:jc w:val="center"/>
              <w:rPr>
                <w:sz w:val="21"/>
                <w:szCs w:val="21"/>
              </w:rPr>
            </w:pPr>
            <w:r>
              <w:rPr>
                <w:sz w:val="21"/>
                <w:szCs w:val="21"/>
              </w:rPr>
              <w:t>评审标准</w:t>
            </w:r>
          </w:p>
        </w:tc>
      </w:tr>
      <w:tr w14:paraId="3A15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10B29B78">
            <w:pPr>
              <w:jc w:val="center"/>
              <w:rPr>
                <w:sz w:val="21"/>
                <w:szCs w:val="21"/>
              </w:rPr>
            </w:pPr>
            <w:r>
              <w:rPr>
                <w:b/>
                <w:bCs/>
                <w:sz w:val="21"/>
                <w:szCs w:val="21"/>
              </w:rPr>
              <w:t>分值构成</w:t>
            </w:r>
          </w:p>
        </w:tc>
        <w:tc>
          <w:tcPr>
            <w:tcW w:w="7375" w:type="dxa"/>
            <w:gridSpan w:val="2"/>
          </w:tcPr>
          <w:p w14:paraId="2F030903">
            <w:pPr>
              <w:rPr>
                <w:b/>
                <w:bCs/>
                <w:sz w:val="21"/>
                <w:szCs w:val="21"/>
              </w:rPr>
            </w:pPr>
            <w:r>
              <w:rPr>
                <w:b/>
                <w:bCs/>
                <w:sz w:val="21"/>
                <w:szCs w:val="21"/>
              </w:rPr>
              <w:t>技术部分</w:t>
            </w:r>
            <w:r>
              <w:rPr>
                <w:rFonts w:hint="eastAsia"/>
                <w:b/>
                <w:bCs/>
                <w:sz w:val="21"/>
                <w:szCs w:val="21"/>
              </w:rPr>
              <w:t>4</w:t>
            </w:r>
            <w:r>
              <w:rPr>
                <w:b/>
                <w:bCs/>
                <w:sz w:val="21"/>
                <w:szCs w:val="21"/>
              </w:rPr>
              <w:t>5</w:t>
            </w:r>
            <w:r>
              <w:rPr>
                <w:rFonts w:hint="eastAsia"/>
                <w:b/>
                <w:bCs/>
                <w:sz w:val="21"/>
                <w:szCs w:val="21"/>
              </w:rPr>
              <w:t>.0</w:t>
            </w:r>
            <w:r>
              <w:rPr>
                <w:b/>
                <w:bCs/>
                <w:sz w:val="21"/>
                <w:szCs w:val="21"/>
              </w:rPr>
              <w:t>分</w:t>
            </w:r>
          </w:p>
          <w:p w14:paraId="227D7755">
            <w:pPr>
              <w:rPr>
                <w:b/>
                <w:bCs/>
                <w:sz w:val="21"/>
                <w:szCs w:val="21"/>
              </w:rPr>
            </w:pPr>
            <w:r>
              <w:rPr>
                <w:b/>
                <w:bCs/>
                <w:sz w:val="21"/>
                <w:szCs w:val="21"/>
              </w:rPr>
              <w:t>商务部分35</w:t>
            </w:r>
            <w:r>
              <w:rPr>
                <w:rFonts w:hint="eastAsia"/>
                <w:b/>
                <w:bCs/>
                <w:sz w:val="21"/>
                <w:szCs w:val="21"/>
              </w:rPr>
              <w:t>.0</w:t>
            </w:r>
            <w:r>
              <w:rPr>
                <w:b/>
                <w:bCs/>
                <w:sz w:val="21"/>
                <w:szCs w:val="21"/>
              </w:rPr>
              <w:t>分</w:t>
            </w:r>
          </w:p>
          <w:p w14:paraId="4257B70B">
            <w:pPr>
              <w:rPr>
                <w:sz w:val="21"/>
                <w:szCs w:val="21"/>
              </w:rPr>
            </w:pPr>
            <w:r>
              <w:rPr>
                <w:b/>
                <w:bCs/>
                <w:sz w:val="21"/>
                <w:szCs w:val="21"/>
              </w:rPr>
              <w:t>报价得分</w:t>
            </w:r>
            <w:r>
              <w:rPr>
                <w:rFonts w:hint="eastAsia"/>
                <w:b/>
                <w:bCs/>
                <w:sz w:val="21"/>
                <w:szCs w:val="21"/>
              </w:rPr>
              <w:t>2</w:t>
            </w:r>
            <w:r>
              <w:rPr>
                <w:b/>
                <w:bCs/>
                <w:sz w:val="21"/>
                <w:szCs w:val="21"/>
              </w:rPr>
              <w:t>0</w:t>
            </w:r>
            <w:r>
              <w:rPr>
                <w:rFonts w:hint="eastAsia"/>
                <w:b/>
                <w:bCs/>
                <w:sz w:val="21"/>
                <w:szCs w:val="21"/>
              </w:rPr>
              <w:t>.0</w:t>
            </w:r>
            <w:r>
              <w:rPr>
                <w:b/>
                <w:bCs/>
                <w:sz w:val="21"/>
                <w:szCs w:val="21"/>
              </w:rPr>
              <w:t>分</w:t>
            </w:r>
          </w:p>
        </w:tc>
      </w:tr>
      <w:tr w14:paraId="1E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restart"/>
          </w:tcPr>
          <w:p w14:paraId="78F9CD43">
            <w:pPr>
              <w:jc w:val="center"/>
              <w:rPr>
                <w:sz w:val="21"/>
                <w:szCs w:val="21"/>
              </w:rPr>
            </w:pPr>
            <w:r>
              <w:rPr>
                <w:rFonts w:hint="eastAsia"/>
                <w:b/>
                <w:bCs/>
                <w:sz w:val="21"/>
                <w:szCs w:val="21"/>
              </w:rPr>
              <w:t>技术部分</w:t>
            </w:r>
          </w:p>
        </w:tc>
        <w:tc>
          <w:tcPr>
            <w:tcW w:w="2465" w:type="dxa"/>
          </w:tcPr>
          <w:p w14:paraId="22448C03">
            <w:pPr>
              <w:widowControl/>
              <w:contextualSpacing/>
              <w:rPr>
                <w:sz w:val="21"/>
                <w:szCs w:val="21"/>
              </w:rPr>
            </w:pPr>
            <w:r>
              <w:rPr>
                <w:b/>
                <w:bCs/>
                <w:sz w:val="21"/>
                <w:szCs w:val="21"/>
              </w:rPr>
              <w:t>项目实施方案 (</w:t>
            </w:r>
            <w:r>
              <w:rPr>
                <w:rFonts w:hint="eastAsia"/>
                <w:b/>
                <w:bCs/>
                <w:sz w:val="21"/>
                <w:szCs w:val="21"/>
              </w:rPr>
              <w:t>15</w:t>
            </w:r>
            <w:r>
              <w:rPr>
                <w:b/>
                <w:bCs/>
                <w:sz w:val="21"/>
                <w:szCs w:val="21"/>
              </w:rPr>
              <w:t>.0分)</w:t>
            </w:r>
          </w:p>
        </w:tc>
        <w:tc>
          <w:tcPr>
            <w:tcW w:w="4910" w:type="dxa"/>
          </w:tcPr>
          <w:p w14:paraId="3ABC0E8E">
            <w:pPr>
              <w:contextualSpacing/>
              <w:rPr>
                <w:rFonts w:ascii="仿宋_GB2312"/>
                <w:sz w:val="24"/>
                <w:szCs w:val="24"/>
              </w:rPr>
            </w:pPr>
            <w:r>
              <w:rPr>
                <w:rFonts w:hint="eastAsia" w:ascii="仿宋_GB2312"/>
                <w:sz w:val="21"/>
                <w:szCs w:val="21"/>
              </w:rPr>
              <w:t>根据投标人针对本项目提供的血清蛋白DIA检测实施方案（包括实验流程设计、标准操作规程体系、进度安排与下游服务能力等）进行</w:t>
            </w:r>
            <w:r>
              <w:rPr>
                <w:rFonts w:hint="eastAsia" w:ascii="仿宋_GB2312"/>
                <w:sz w:val="24"/>
                <w:szCs w:val="24"/>
              </w:rPr>
              <w:t>综合评审。</w:t>
            </w:r>
          </w:p>
          <w:p w14:paraId="5B8731A7">
            <w:pPr>
              <w:contextualSpacing/>
              <w:rPr>
                <w:rFonts w:ascii="仿宋_GB2312"/>
                <w:sz w:val="21"/>
                <w:szCs w:val="21"/>
              </w:rPr>
            </w:pPr>
            <w:r>
              <w:rPr>
                <w:rFonts w:hint="eastAsia" w:ascii="仿宋_GB2312"/>
                <w:sz w:val="24"/>
                <w:szCs w:val="24"/>
              </w:rPr>
              <w:t>（1）实施方</w:t>
            </w:r>
            <w:r>
              <w:rPr>
                <w:rFonts w:hint="eastAsia" w:ascii="仿宋_GB2312"/>
                <w:sz w:val="21"/>
                <w:szCs w:val="21"/>
              </w:rPr>
              <w:t>案详细、科学、严谨，完全针对血清样本设计蛋白提取、酶解、液相分离和数据非依赖采集（DIA） 的全流程实验方案；同时建立了覆盖样本接收至生物信息学分析全链条的标准操作规程（SOP）体系，能够提供完整SOP清单及关键环节质控节点说明；检测平台具备大规模样本并行处理能力，配套有洁净实验环境与完整的前处理及分析设备体系；进度计划分阶段明确、衔接紧凑，可操作性强；具备完全自主的下游分析服务能力，可一站式交付蛋白质定性定量、差异分析、功能富集、互作网络等全部相关指标，完全符合且可优于项目要求，得15分；</w:t>
            </w:r>
          </w:p>
          <w:p w14:paraId="6C88CC3A">
            <w:pPr>
              <w:contextualSpacing/>
              <w:rPr>
                <w:rFonts w:ascii="仿宋_GB2312"/>
                <w:sz w:val="21"/>
                <w:szCs w:val="21"/>
              </w:rPr>
            </w:pPr>
            <w:r>
              <w:rPr>
                <w:rFonts w:hint="eastAsia" w:ascii="仿宋_GB2312"/>
                <w:sz w:val="21"/>
                <w:szCs w:val="21"/>
              </w:rPr>
              <w:t>（2）实施方案较为详细、科学的DIA技术路线，提供SOP体系清单，但针对血清特点的专项优化说明不够深入，或SOP细则覆盖不够全面；进度安排较合理，具备大部分下游分析能力，少数高级分析需外部协作，基本符合项目要求，得10分；</w:t>
            </w:r>
          </w:p>
          <w:p w14:paraId="570FB0E0">
            <w:pPr>
              <w:contextualSpacing/>
              <w:rPr>
                <w:rFonts w:ascii="仿宋_GB2312"/>
                <w:sz w:val="21"/>
                <w:szCs w:val="21"/>
              </w:rPr>
            </w:pPr>
            <w:r>
              <w:rPr>
                <w:rFonts w:hint="eastAsia" w:ascii="仿宋_GB2312"/>
                <w:sz w:val="21"/>
                <w:szCs w:val="21"/>
              </w:rPr>
              <w:t>（3）实施方案一般，技术路线常规，缺乏针对血清样本的优化前处理设计；提供的SOP清单不完整，规范性不足；进度计划笼统，下游分析能力有限，仅能完成基础定性定量，不完全符合项目要求，得5分；</w:t>
            </w:r>
          </w:p>
          <w:p w14:paraId="1001591F">
            <w:pPr>
              <w:contextualSpacing/>
              <w:rPr>
                <w:rFonts w:ascii="仿宋_GB2312"/>
                <w:sz w:val="21"/>
                <w:szCs w:val="21"/>
              </w:rPr>
            </w:pPr>
            <w:r>
              <w:rPr>
                <w:rFonts w:hint="eastAsia" w:ascii="仿宋_GB2312"/>
                <w:sz w:val="21"/>
                <w:szCs w:val="21"/>
              </w:rPr>
              <w:t>（4）未提供方案或方案明显不具备可行性，不得分。</w:t>
            </w:r>
          </w:p>
        </w:tc>
      </w:tr>
      <w:tr w14:paraId="748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7892311E">
            <w:pPr>
              <w:rPr>
                <w:sz w:val="21"/>
                <w:szCs w:val="21"/>
              </w:rPr>
            </w:pPr>
          </w:p>
        </w:tc>
        <w:tc>
          <w:tcPr>
            <w:tcW w:w="2465" w:type="dxa"/>
          </w:tcPr>
          <w:p w14:paraId="1B733600">
            <w:pPr>
              <w:widowControl/>
              <w:contextualSpacing/>
              <w:rPr>
                <w:sz w:val="21"/>
                <w:szCs w:val="21"/>
              </w:rPr>
            </w:pPr>
            <w:r>
              <w:rPr>
                <w:b/>
                <w:bCs/>
                <w:sz w:val="21"/>
                <w:szCs w:val="21"/>
              </w:rPr>
              <w:t>质量保障措施 (10.0分)</w:t>
            </w:r>
          </w:p>
        </w:tc>
        <w:tc>
          <w:tcPr>
            <w:tcW w:w="4910" w:type="dxa"/>
          </w:tcPr>
          <w:p w14:paraId="2DEB5945">
            <w:pPr>
              <w:contextualSpacing/>
              <w:rPr>
                <w:rFonts w:ascii="仿宋_GB2312"/>
                <w:sz w:val="21"/>
                <w:szCs w:val="21"/>
              </w:rPr>
            </w:pPr>
            <w:r>
              <w:rPr>
                <w:rFonts w:hint="eastAsia" w:ascii="仿宋_GB2312"/>
                <w:sz w:val="21"/>
                <w:szCs w:val="21"/>
              </w:rPr>
              <w:t>根据投标人针对本项目提供的质量保障方案，对照血清蛋白DIA检测全流程质控要求进行评分。</w:t>
            </w:r>
          </w:p>
          <w:p w14:paraId="38CC798B">
            <w:pPr>
              <w:contextualSpacing/>
              <w:rPr>
                <w:rFonts w:ascii="仿宋_GB2312"/>
                <w:sz w:val="21"/>
                <w:szCs w:val="21"/>
              </w:rPr>
            </w:pPr>
            <w:r>
              <w:rPr>
                <w:rFonts w:hint="eastAsia" w:ascii="仿宋_GB2312"/>
                <w:sz w:val="21"/>
                <w:szCs w:val="21"/>
              </w:rPr>
              <w:t>（1）方案的全面性、专业性优势突出，内容完整详实，至少涵盖以下全部环节：</w:t>
            </w:r>
            <w:r>
              <w:rPr>
                <w:rFonts w:hint="eastAsia" w:ascii="仿宋_GB2312" w:hAnsi="Cambria Math" w:cs="Cambria Math"/>
                <w:sz w:val="21"/>
                <w:szCs w:val="21"/>
              </w:rPr>
              <w:t>①</w:t>
            </w:r>
            <w:r>
              <w:rPr>
                <w:rFonts w:hint="eastAsia" w:ascii="仿宋_GB2312"/>
                <w:sz w:val="21"/>
                <w:szCs w:val="21"/>
              </w:rPr>
              <w:t>样本运输与储存的温控及冻融限制标准；</w:t>
            </w:r>
            <w:r>
              <w:rPr>
                <w:rFonts w:hint="eastAsia" w:ascii="仿宋_GB2312" w:hAnsi="Cambria Math" w:cs="Cambria Math"/>
                <w:sz w:val="21"/>
                <w:szCs w:val="21"/>
              </w:rPr>
              <w:t>②</w:t>
            </w:r>
            <w:r>
              <w:rPr>
                <w:rFonts w:hint="eastAsia" w:ascii="仿宋_GB2312"/>
                <w:sz w:val="21"/>
                <w:szCs w:val="21"/>
              </w:rPr>
              <w:t>前处理环节的蛋白完整性验证及肽段质量评价；</w:t>
            </w:r>
            <w:r>
              <w:rPr>
                <w:rFonts w:hint="eastAsia" w:ascii="仿宋_GB2312" w:hAnsi="Cambria Math" w:cs="Cambria Math"/>
                <w:sz w:val="21"/>
                <w:szCs w:val="21"/>
              </w:rPr>
              <w:t>③</w:t>
            </w:r>
            <w:r>
              <w:rPr>
                <w:rFonts w:hint="eastAsia" w:ascii="仿宋_GB2312"/>
                <w:sz w:val="21"/>
                <w:szCs w:val="21"/>
              </w:rPr>
              <w:t>质谱上机环节的系统稳定性监控（如进样前混样QC、批次内插入QC样本、样品间清洗监控残留）；</w:t>
            </w:r>
            <w:r>
              <w:rPr>
                <w:rFonts w:hint="eastAsia" w:ascii="仿宋_GB2312" w:hAnsi="Cambria Math" w:cs="Cambria Math"/>
                <w:sz w:val="21"/>
                <w:szCs w:val="21"/>
              </w:rPr>
              <w:t>④</w:t>
            </w:r>
            <w:r>
              <w:rPr>
                <w:rFonts w:hint="eastAsia" w:ascii="仿宋_GB2312"/>
                <w:sz w:val="21"/>
                <w:szCs w:val="21"/>
              </w:rPr>
              <w:t>数据解析环节的假发现率（FDR）控制与定量重现性评估；</w:t>
            </w:r>
            <w:r>
              <w:rPr>
                <w:rFonts w:hint="eastAsia" w:ascii="仿宋_GB2312" w:hAnsi="Cambria Math" w:cs="Cambria Math"/>
                <w:sz w:val="21"/>
                <w:szCs w:val="21"/>
              </w:rPr>
              <w:t>⑤</w:t>
            </w:r>
            <w:r>
              <w:rPr>
                <w:rFonts w:hint="eastAsia" w:ascii="仿宋_GB2312"/>
                <w:sz w:val="21"/>
                <w:szCs w:val="21"/>
              </w:rPr>
              <w:t>实验室信息管理系统（LIMS）的应用，实现从样本接收到数据交付的全流程数字化追溯与监控。各项措施描述具体、可操作性强，完全符合且优于项目要求，得10分；</w:t>
            </w:r>
          </w:p>
          <w:p w14:paraId="175F9C4B">
            <w:pPr>
              <w:contextualSpacing/>
              <w:rPr>
                <w:rFonts w:ascii="仿宋_GB2312"/>
                <w:sz w:val="21"/>
                <w:szCs w:val="21"/>
              </w:rPr>
            </w:pPr>
            <w:r>
              <w:rPr>
                <w:rFonts w:hint="eastAsia" w:ascii="仿宋_GB2312"/>
                <w:sz w:val="21"/>
                <w:szCs w:val="21"/>
              </w:rPr>
              <w:t>（2）方案的全面性、专业性较为突出，涵盖上述大部分环节，但个别方面描述不够具体或专业性稍欠，可操作性较强，完全符合项目要求，得7分；</w:t>
            </w:r>
          </w:p>
          <w:p w14:paraId="49FBB812">
            <w:pPr>
              <w:contextualSpacing/>
              <w:rPr>
                <w:rFonts w:ascii="仿宋_GB2312"/>
                <w:sz w:val="21"/>
                <w:szCs w:val="21"/>
              </w:rPr>
            </w:pPr>
            <w:r>
              <w:rPr>
                <w:rFonts w:hint="eastAsia" w:ascii="仿宋_GB2312"/>
                <w:sz w:val="21"/>
                <w:szCs w:val="21"/>
              </w:rPr>
              <w:t>（3）方案有欠缺，仅涉及少数环节，或内容流于表面，专业性不强，不完全符合项目要求，得3分；</w:t>
            </w:r>
          </w:p>
          <w:p w14:paraId="58D167AC">
            <w:pPr>
              <w:contextualSpacing/>
              <w:rPr>
                <w:rFonts w:ascii="仿宋_GB2312"/>
                <w:sz w:val="21"/>
                <w:szCs w:val="21"/>
              </w:rPr>
            </w:pPr>
            <w:r>
              <w:rPr>
                <w:rFonts w:hint="eastAsia" w:ascii="仿宋_GB2312"/>
                <w:sz w:val="21"/>
                <w:szCs w:val="21"/>
              </w:rPr>
              <w:t>（4）未提供方案或其他情况，不得分。</w:t>
            </w:r>
          </w:p>
        </w:tc>
      </w:tr>
      <w:tr w14:paraId="2B4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66D12D39">
            <w:pPr>
              <w:rPr>
                <w:sz w:val="21"/>
                <w:szCs w:val="21"/>
              </w:rPr>
            </w:pPr>
          </w:p>
        </w:tc>
        <w:tc>
          <w:tcPr>
            <w:tcW w:w="2465" w:type="dxa"/>
          </w:tcPr>
          <w:p w14:paraId="01C0C27F">
            <w:pPr>
              <w:widowControl/>
              <w:contextualSpacing/>
              <w:rPr>
                <w:sz w:val="21"/>
                <w:szCs w:val="21"/>
              </w:rPr>
            </w:pPr>
            <w:r>
              <w:rPr>
                <w:b/>
                <w:bCs/>
                <w:sz w:val="21"/>
                <w:szCs w:val="21"/>
              </w:rPr>
              <w:t>售后服务方案 (</w:t>
            </w:r>
            <w:r>
              <w:rPr>
                <w:rFonts w:hint="eastAsia"/>
                <w:b/>
                <w:bCs/>
                <w:sz w:val="21"/>
                <w:szCs w:val="21"/>
              </w:rPr>
              <w:t>10</w:t>
            </w:r>
            <w:r>
              <w:rPr>
                <w:b/>
                <w:bCs/>
                <w:sz w:val="21"/>
                <w:szCs w:val="21"/>
              </w:rPr>
              <w:t>.0分)</w:t>
            </w:r>
          </w:p>
        </w:tc>
        <w:tc>
          <w:tcPr>
            <w:tcW w:w="4910" w:type="dxa"/>
          </w:tcPr>
          <w:p w14:paraId="5AF22CFF">
            <w:pPr>
              <w:contextualSpacing/>
              <w:rPr>
                <w:rFonts w:ascii="仿宋_GB2312"/>
                <w:sz w:val="21"/>
                <w:szCs w:val="21"/>
              </w:rPr>
            </w:pPr>
            <w:r>
              <w:rPr>
                <w:rFonts w:hint="eastAsia" w:ascii="仿宋_GB2312"/>
                <w:sz w:val="21"/>
                <w:szCs w:val="21"/>
              </w:rPr>
              <w:t>根据投标人提供的售后服务方案，对其完整性、针对性及可行性进行综合评审。</w:t>
            </w:r>
          </w:p>
          <w:p w14:paraId="17B50896">
            <w:pPr>
              <w:contextualSpacing/>
              <w:rPr>
                <w:rFonts w:ascii="仿宋_GB2312"/>
                <w:sz w:val="21"/>
                <w:szCs w:val="21"/>
              </w:rPr>
            </w:pPr>
            <w:r>
              <w:rPr>
                <w:rFonts w:hint="eastAsia" w:ascii="仿宋_GB2312"/>
                <w:sz w:val="21"/>
                <w:szCs w:val="21"/>
              </w:rPr>
              <w:t>（1）方案完整详细、针对性强、可行性高，内容至少包括：</w:t>
            </w:r>
            <w:r>
              <w:rPr>
                <w:rFonts w:hint="eastAsia" w:ascii="仿宋_GB2312" w:hAnsi="Cambria Math" w:cs="Cambria Math"/>
                <w:sz w:val="21"/>
                <w:szCs w:val="21"/>
              </w:rPr>
              <w:t>①</w:t>
            </w:r>
            <w:r>
              <w:rPr>
                <w:rFonts w:hint="eastAsia" w:ascii="仿宋_GB2312"/>
                <w:sz w:val="21"/>
                <w:szCs w:val="21"/>
              </w:rPr>
              <w:t>明确的售后技术团队配置与响应时效承诺；</w:t>
            </w:r>
            <w:r>
              <w:rPr>
                <w:rFonts w:hint="eastAsia" w:ascii="仿宋_GB2312" w:hAnsi="Cambria Math" w:cs="Cambria Math"/>
                <w:sz w:val="21"/>
                <w:szCs w:val="21"/>
              </w:rPr>
              <w:t>②</w:t>
            </w:r>
            <w:r>
              <w:rPr>
                <w:rFonts w:hint="eastAsia" w:ascii="仿宋_GB2312"/>
                <w:sz w:val="21"/>
                <w:szCs w:val="21"/>
              </w:rPr>
              <w:t>项目交付后不少于12个月的数据质保期内，免费提供数据答疑、报告解读及合理的二次再分析服务；</w:t>
            </w:r>
            <w:r>
              <w:rPr>
                <w:rFonts w:hint="eastAsia" w:ascii="仿宋_GB2312" w:hAnsi="Cambria Math" w:cs="Cambria Math"/>
                <w:sz w:val="21"/>
                <w:szCs w:val="21"/>
              </w:rPr>
              <w:t>③</w:t>
            </w:r>
            <w:r>
              <w:rPr>
                <w:rFonts w:hint="eastAsia" w:ascii="仿宋_GB2312"/>
                <w:sz w:val="21"/>
                <w:szCs w:val="21"/>
              </w:rPr>
              <w:t>提供配套的在线数据挖掘工具或云分析平台，得10分；</w:t>
            </w:r>
          </w:p>
          <w:p w14:paraId="171713B9">
            <w:pPr>
              <w:contextualSpacing/>
              <w:rPr>
                <w:rFonts w:ascii="仿宋_GB2312"/>
                <w:sz w:val="21"/>
                <w:szCs w:val="21"/>
              </w:rPr>
            </w:pPr>
            <w:r>
              <w:rPr>
                <w:rFonts w:hint="eastAsia" w:ascii="仿宋_GB2312"/>
                <w:sz w:val="21"/>
                <w:szCs w:val="21"/>
              </w:rPr>
              <w:t>（2）方案较完整详细、针对性较强、可行性较高，具备上述主要服务内容，但个别细节不够充分或增值服务有所欠缺，完全符合项目要求，得7分；</w:t>
            </w:r>
          </w:p>
          <w:p w14:paraId="6B5C60A5">
            <w:pPr>
              <w:contextualSpacing/>
              <w:rPr>
                <w:rFonts w:ascii="仿宋_GB2312"/>
                <w:sz w:val="21"/>
                <w:szCs w:val="21"/>
              </w:rPr>
            </w:pPr>
            <w:r>
              <w:rPr>
                <w:rFonts w:hint="eastAsia" w:ascii="仿宋_GB2312"/>
                <w:sz w:val="21"/>
                <w:szCs w:val="21"/>
              </w:rPr>
              <w:t>（3）方案完整性、针对性、可行性一般，仅提供基础售后承诺，缺乏便捷数据挖掘工具或论文发表支持，不完全符合项目要求，得3分；</w:t>
            </w:r>
          </w:p>
          <w:p w14:paraId="51F47BDF">
            <w:pPr>
              <w:contextualSpacing/>
              <w:rPr>
                <w:rFonts w:ascii="仿宋_GB2312"/>
                <w:sz w:val="21"/>
                <w:szCs w:val="21"/>
              </w:rPr>
            </w:pPr>
            <w:r>
              <w:rPr>
                <w:rFonts w:hint="eastAsia" w:ascii="仿宋_GB2312"/>
                <w:sz w:val="21"/>
                <w:szCs w:val="21"/>
              </w:rPr>
              <w:t>（4）未提供方案或其他情况，不得分。</w:t>
            </w:r>
          </w:p>
        </w:tc>
      </w:tr>
      <w:tr w14:paraId="3FB4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782DA8F7">
            <w:pPr>
              <w:rPr>
                <w:sz w:val="21"/>
                <w:szCs w:val="21"/>
              </w:rPr>
            </w:pPr>
          </w:p>
        </w:tc>
        <w:tc>
          <w:tcPr>
            <w:tcW w:w="2465" w:type="dxa"/>
          </w:tcPr>
          <w:p w14:paraId="0AB7FE4D">
            <w:pPr>
              <w:widowControl/>
              <w:contextualSpacing/>
              <w:rPr>
                <w:b/>
                <w:bCs/>
                <w:sz w:val="21"/>
                <w:szCs w:val="21"/>
              </w:rPr>
            </w:pPr>
            <w:r>
              <w:rPr>
                <w:rFonts w:hint="eastAsia"/>
                <w:b/>
                <w:bCs/>
                <w:sz w:val="21"/>
                <w:szCs w:val="21"/>
              </w:rPr>
              <w:t>人员及检测设备</w:t>
            </w:r>
          </w:p>
          <w:p w14:paraId="4FA3791C">
            <w:pPr>
              <w:widowControl/>
              <w:contextualSpacing/>
              <w:rPr>
                <w:b/>
                <w:bCs/>
                <w:sz w:val="21"/>
                <w:szCs w:val="21"/>
              </w:rPr>
            </w:pPr>
            <w:r>
              <w:rPr>
                <w:rFonts w:hint="eastAsia"/>
                <w:b/>
                <w:bCs/>
                <w:sz w:val="21"/>
                <w:szCs w:val="21"/>
              </w:rPr>
              <w:t>（10.0分）</w:t>
            </w:r>
          </w:p>
        </w:tc>
        <w:tc>
          <w:tcPr>
            <w:tcW w:w="4910" w:type="dxa"/>
          </w:tcPr>
          <w:p w14:paraId="4D69F64C">
            <w:pPr>
              <w:contextualSpacing/>
              <w:rPr>
                <w:rFonts w:ascii="仿宋_GB2312"/>
                <w:sz w:val="21"/>
                <w:szCs w:val="21"/>
              </w:rPr>
            </w:pPr>
            <w:r>
              <w:rPr>
                <w:rFonts w:hint="eastAsia" w:ascii="仿宋_GB2312"/>
                <w:sz w:val="21"/>
                <w:szCs w:val="21"/>
              </w:rPr>
              <w:t>根据投标人拟投入本项目的检测仪器设备及项目人员配置情况进行综合评审。</w:t>
            </w:r>
          </w:p>
          <w:p w14:paraId="751A9441">
            <w:pPr>
              <w:contextualSpacing/>
              <w:rPr>
                <w:rFonts w:ascii="仿宋_GB2312"/>
                <w:sz w:val="21"/>
                <w:szCs w:val="21"/>
              </w:rPr>
            </w:pPr>
            <w:r>
              <w:rPr>
                <w:rFonts w:hint="eastAsia" w:ascii="仿宋_GB2312"/>
                <w:sz w:val="21"/>
                <w:szCs w:val="21"/>
              </w:rPr>
              <w:t>（1）检测设备齐全、先进、配置合理，能够满足血清DIA检测对高分辨率、高通量的核心技术要求，且具备多套同等级平台以支撑大规模样本并行处理；项目团队结构合理、专业匹配度高，配置有项目负责人、前处理工程师、质谱检测工程师及生物信息学分析师等关键岗位，得10分；</w:t>
            </w:r>
          </w:p>
          <w:p w14:paraId="17B668DE">
            <w:pPr>
              <w:contextualSpacing/>
              <w:rPr>
                <w:rFonts w:ascii="仿宋_GB2312"/>
                <w:sz w:val="21"/>
                <w:szCs w:val="21"/>
              </w:rPr>
            </w:pPr>
            <w:r>
              <w:rPr>
                <w:rFonts w:hint="eastAsia" w:ascii="仿宋_GB2312"/>
                <w:sz w:val="21"/>
                <w:szCs w:val="21"/>
              </w:rPr>
              <w:t>（2）检测设备较齐全、较先进、较合理，核心功能满足DIA检测需求，配套设备基本完善；项目团队配置较合理，覆盖主要关键岗位，人员经验及资质较好，能够满足项目实施需要，得7分；</w:t>
            </w:r>
          </w:p>
          <w:p w14:paraId="4BE1CBD0">
            <w:pPr>
              <w:contextualSpacing/>
              <w:rPr>
                <w:rFonts w:ascii="仿宋_GB2312"/>
                <w:sz w:val="21"/>
                <w:szCs w:val="21"/>
              </w:rPr>
            </w:pPr>
            <w:r>
              <w:rPr>
                <w:rFonts w:hint="eastAsia" w:ascii="仿宋_GB2312"/>
                <w:sz w:val="21"/>
                <w:szCs w:val="21"/>
              </w:rPr>
              <w:t>（3）检测设备一般，仅具备基础检测功能，配套不够齐全；项目团队配置合理性一般，关键岗位覆盖不全或人员资质、经验不足，得4分；</w:t>
            </w:r>
          </w:p>
          <w:p w14:paraId="3054C920">
            <w:pPr>
              <w:contextualSpacing/>
              <w:rPr>
                <w:rFonts w:ascii="仿宋_GB2312"/>
                <w:sz w:val="21"/>
                <w:szCs w:val="21"/>
              </w:rPr>
            </w:pPr>
            <w:r>
              <w:rPr>
                <w:rFonts w:hint="eastAsia" w:ascii="仿宋_GB2312"/>
                <w:sz w:val="21"/>
                <w:szCs w:val="21"/>
              </w:rPr>
              <w:t>（4）未提供设备及人员配置信息，不得分。</w:t>
            </w:r>
          </w:p>
        </w:tc>
      </w:tr>
      <w:tr w14:paraId="24DB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restart"/>
          </w:tcPr>
          <w:p w14:paraId="0C8FDBDC">
            <w:pPr>
              <w:jc w:val="center"/>
              <w:rPr>
                <w:sz w:val="21"/>
                <w:szCs w:val="21"/>
              </w:rPr>
            </w:pPr>
            <w:r>
              <w:rPr>
                <w:b/>
                <w:bCs/>
                <w:sz w:val="21"/>
                <w:szCs w:val="21"/>
              </w:rPr>
              <w:t>商务部分</w:t>
            </w:r>
          </w:p>
        </w:tc>
        <w:tc>
          <w:tcPr>
            <w:tcW w:w="2465" w:type="dxa"/>
            <w:vAlign w:val="center"/>
          </w:tcPr>
          <w:p w14:paraId="05F24664">
            <w:pPr>
              <w:widowControl/>
              <w:spacing w:line="276" w:lineRule="auto"/>
              <w:jc w:val="center"/>
              <w:rPr>
                <w:sz w:val="21"/>
                <w:szCs w:val="21"/>
              </w:rPr>
            </w:pPr>
            <w:r>
              <w:rPr>
                <w:rFonts w:hint="eastAsia" w:ascii="宋体" w:hAnsi="宋体"/>
                <w:b/>
                <w:bCs/>
                <w:color w:val="0C0C0C"/>
                <w:sz w:val="21"/>
                <w:szCs w:val="21"/>
              </w:rPr>
              <w:t>业绩（16.0分）</w:t>
            </w:r>
          </w:p>
        </w:tc>
        <w:tc>
          <w:tcPr>
            <w:tcW w:w="4910" w:type="dxa"/>
            <w:vAlign w:val="center"/>
          </w:tcPr>
          <w:p w14:paraId="3A831809">
            <w:pPr>
              <w:contextualSpacing/>
              <w:rPr>
                <w:sz w:val="21"/>
                <w:szCs w:val="21"/>
              </w:rPr>
            </w:pPr>
            <w:r>
              <w:rPr>
                <w:rFonts w:hint="eastAsia"/>
                <w:sz w:val="21"/>
                <w:szCs w:val="21"/>
              </w:rPr>
              <w:t>自2023年1月1日至投标截止日期(业绩合同日期在此区间内)，投标人具有与本项目类似的服务业绩，每有1个得2分，最高得16分。注:</w:t>
            </w:r>
          </w:p>
          <w:p w14:paraId="523DE377">
            <w:pPr>
              <w:contextualSpacing/>
              <w:rPr>
                <w:sz w:val="21"/>
                <w:szCs w:val="21"/>
              </w:rPr>
            </w:pPr>
            <w:r>
              <w:rPr>
                <w:rFonts w:eastAsia="仿宋"/>
                <w:sz w:val="21"/>
                <w:szCs w:val="21"/>
              </w:rPr>
              <w:t>（1）</w:t>
            </w:r>
            <w:r>
              <w:rPr>
                <w:rFonts w:hint="eastAsia"/>
                <w:sz w:val="21"/>
                <w:szCs w:val="21"/>
              </w:rPr>
              <w:t>投标文件中应提供合同首页、服务标的(内容)页、合同双方盖章页等关键页复印件并加盖本单位公章，否则不予认可。</w:t>
            </w:r>
          </w:p>
          <w:p w14:paraId="2B4C3009">
            <w:pPr>
              <w:contextualSpacing/>
              <w:rPr>
                <w:sz w:val="21"/>
                <w:szCs w:val="21"/>
              </w:rPr>
            </w:pPr>
            <w:r>
              <w:rPr>
                <w:rFonts w:eastAsia="仿宋"/>
                <w:sz w:val="21"/>
                <w:szCs w:val="21"/>
              </w:rPr>
              <w:t>（2）</w:t>
            </w:r>
            <w:r>
              <w:rPr>
                <w:rFonts w:hint="eastAsia"/>
                <w:sz w:val="21"/>
                <w:szCs w:val="21"/>
              </w:rPr>
              <w:t>业绩合同日期以合同签署日期为准，未标明合同签署日期的，评标委员会有权不予认可。</w:t>
            </w:r>
          </w:p>
        </w:tc>
      </w:tr>
      <w:tr w14:paraId="5113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18BCBE78">
            <w:pPr>
              <w:jc w:val="center"/>
              <w:rPr>
                <w:sz w:val="21"/>
                <w:szCs w:val="21"/>
              </w:rPr>
            </w:pPr>
          </w:p>
        </w:tc>
        <w:tc>
          <w:tcPr>
            <w:tcW w:w="2465" w:type="dxa"/>
            <w:vAlign w:val="center"/>
          </w:tcPr>
          <w:p w14:paraId="1BE3B4EC">
            <w:pPr>
              <w:widowControl/>
              <w:spacing w:line="276" w:lineRule="auto"/>
              <w:jc w:val="center"/>
              <w:rPr>
                <w:rFonts w:hint="eastAsia" w:ascii="宋体" w:hAnsi="宋体"/>
                <w:b/>
                <w:bCs/>
                <w:color w:val="0C0C0C"/>
                <w:sz w:val="21"/>
                <w:szCs w:val="21"/>
              </w:rPr>
            </w:pPr>
            <w:r>
              <w:rPr>
                <w:rFonts w:hint="eastAsia" w:ascii="宋体" w:hAnsi="宋体"/>
                <w:b/>
                <w:bCs/>
                <w:color w:val="0C0C0C"/>
                <w:sz w:val="21"/>
                <w:szCs w:val="21"/>
              </w:rPr>
              <w:t>投标人认证</w:t>
            </w:r>
          </w:p>
          <w:p w14:paraId="09A08579">
            <w:pPr>
              <w:widowControl/>
              <w:spacing w:line="276" w:lineRule="auto"/>
              <w:jc w:val="center"/>
              <w:rPr>
                <w:color w:val="0000FF"/>
                <w:sz w:val="21"/>
                <w:szCs w:val="21"/>
              </w:rPr>
            </w:pPr>
            <w:r>
              <w:rPr>
                <w:rFonts w:hint="eastAsia" w:ascii="宋体" w:hAnsi="宋体"/>
                <w:b/>
                <w:bCs/>
                <w:color w:val="0C0C0C"/>
                <w:sz w:val="21"/>
                <w:szCs w:val="21"/>
              </w:rPr>
              <w:t xml:space="preserve"> (9.0分</w:t>
            </w:r>
            <w:r>
              <w:rPr>
                <w:rFonts w:ascii="宋体" w:hAnsi="宋体"/>
                <w:b/>
                <w:bCs/>
                <w:color w:val="0C0C0C"/>
                <w:sz w:val="21"/>
                <w:szCs w:val="21"/>
              </w:rPr>
              <w:t>)</w:t>
            </w:r>
          </w:p>
        </w:tc>
        <w:tc>
          <w:tcPr>
            <w:tcW w:w="4910" w:type="dxa"/>
            <w:vAlign w:val="center"/>
          </w:tcPr>
          <w:p w14:paraId="6E2D2E39">
            <w:pPr>
              <w:contextualSpacing/>
              <w:rPr>
                <w:sz w:val="21"/>
                <w:szCs w:val="21"/>
              </w:rPr>
            </w:pPr>
            <w:r>
              <w:rPr>
                <w:rFonts w:hint="eastAsia"/>
                <w:sz w:val="21"/>
                <w:szCs w:val="21"/>
              </w:rPr>
              <w:t>投标人自身持有的有效的IS09001质量管理体系认证，CNAS,IS014001，每提供一个证书得3分满分9分。</w:t>
            </w:r>
          </w:p>
          <w:p w14:paraId="5653348C">
            <w:pPr>
              <w:contextualSpacing/>
              <w:rPr>
                <w:sz w:val="21"/>
                <w:szCs w:val="21"/>
              </w:rPr>
            </w:pPr>
            <w:r>
              <w:rPr>
                <w:rFonts w:hint="eastAsia"/>
                <w:sz w:val="21"/>
                <w:szCs w:val="21"/>
              </w:rPr>
              <w:t>注:a.须提供各项认证证书的清晰扫描件作为证明材料;b.本项评分所要求的认证证书，必须为投标人自身名义持有;投标人的子公司、分公司、母公司或合作单位等关联方所持有的认证证书均不予计分。</w:t>
            </w:r>
          </w:p>
        </w:tc>
      </w:tr>
      <w:tr w14:paraId="4E71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7B990898">
            <w:pPr>
              <w:rPr>
                <w:sz w:val="21"/>
                <w:szCs w:val="21"/>
              </w:rPr>
            </w:pPr>
          </w:p>
        </w:tc>
        <w:tc>
          <w:tcPr>
            <w:tcW w:w="2465" w:type="dxa"/>
            <w:vAlign w:val="center"/>
          </w:tcPr>
          <w:p w14:paraId="38EBAA7A">
            <w:pPr>
              <w:widowControl/>
              <w:spacing w:line="276" w:lineRule="auto"/>
              <w:jc w:val="center"/>
              <w:rPr>
                <w:rFonts w:hint="eastAsia" w:ascii="宋体" w:hAnsi="宋体"/>
                <w:b/>
                <w:bCs/>
                <w:color w:val="0C0C0C"/>
                <w:sz w:val="21"/>
                <w:szCs w:val="21"/>
              </w:rPr>
            </w:pPr>
            <w:r>
              <w:rPr>
                <w:rFonts w:hint="eastAsia" w:ascii="宋体" w:hAnsi="宋体"/>
                <w:b/>
                <w:bCs/>
                <w:color w:val="0C0C0C"/>
                <w:sz w:val="21"/>
                <w:szCs w:val="21"/>
              </w:rPr>
              <w:t xml:space="preserve">项目服务承诺 </w:t>
            </w:r>
          </w:p>
          <w:p w14:paraId="43F7DC84">
            <w:pPr>
              <w:widowControl/>
              <w:spacing w:line="276" w:lineRule="auto"/>
              <w:jc w:val="center"/>
              <w:rPr>
                <w:sz w:val="21"/>
                <w:szCs w:val="21"/>
              </w:rPr>
            </w:pPr>
            <w:r>
              <w:rPr>
                <w:rFonts w:hint="eastAsia" w:ascii="宋体" w:hAnsi="宋体"/>
                <w:b/>
                <w:bCs/>
                <w:color w:val="0C0C0C"/>
                <w:sz w:val="21"/>
                <w:szCs w:val="21"/>
              </w:rPr>
              <w:t>(10.0分</w:t>
            </w:r>
            <w:r>
              <w:rPr>
                <w:rFonts w:ascii="宋体" w:hAnsi="宋体"/>
                <w:b/>
                <w:bCs/>
                <w:color w:val="0C0C0C"/>
                <w:sz w:val="21"/>
                <w:szCs w:val="21"/>
              </w:rPr>
              <w:t xml:space="preserve">) </w:t>
            </w:r>
          </w:p>
        </w:tc>
        <w:tc>
          <w:tcPr>
            <w:tcW w:w="4910" w:type="dxa"/>
            <w:vAlign w:val="center"/>
          </w:tcPr>
          <w:p w14:paraId="16D397C3">
            <w:pPr>
              <w:contextualSpacing/>
              <w:rPr>
                <w:sz w:val="21"/>
                <w:szCs w:val="21"/>
              </w:rPr>
            </w:pPr>
            <w:r>
              <w:rPr>
                <w:rFonts w:hint="eastAsia"/>
                <w:sz w:val="21"/>
                <w:szCs w:val="21"/>
              </w:rPr>
              <w:t>投标人须提供加盖公章的承诺函，明确承诺具备独立完成本项目全流程的技术能力，并保证不将任何环节外包。提供符合要求的承诺函即得10分，否则不得分。</w:t>
            </w:r>
          </w:p>
        </w:tc>
      </w:tr>
      <w:tr w14:paraId="6374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7DA7C3B7">
            <w:pPr>
              <w:jc w:val="center"/>
              <w:rPr>
                <w:sz w:val="21"/>
                <w:szCs w:val="21"/>
              </w:rPr>
            </w:pPr>
            <w:r>
              <w:rPr>
                <w:b/>
                <w:bCs/>
                <w:sz w:val="21"/>
                <w:szCs w:val="21"/>
              </w:rPr>
              <w:t>投标报价</w:t>
            </w:r>
          </w:p>
        </w:tc>
        <w:tc>
          <w:tcPr>
            <w:tcW w:w="2465" w:type="dxa"/>
          </w:tcPr>
          <w:p w14:paraId="280C4389">
            <w:pPr>
              <w:jc w:val="center"/>
              <w:rPr>
                <w:sz w:val="21"/>
                <w:szCs w:val="21"/>
              </w:rPr>
            </w:pPr>
            <w:r>
              <w:rPr>
                <w:b/>
                <w:bCs/>
                <w:sz w:val="21"/>
                <w:szCs w:val="21"/>
              </w:rPr>
              <w:t>投标报价得分 (</w:t>
            </w:r>
            <w:r>
              <w:rPr>
                <w:rFonts w:hint="eastAsia"/>
                <w:b/>
                <w:bCs/>
                <w:sz w:val="21"/>
                <w:szCs w:val="21"/>
              </w:rPr>
              <w:t>20.0</w:t>
            </w:r>
            <w:r>
              <w:rPr>
                <w:b/>
                <w:bCs/>
                <w:sz w:val="21"/>
                <w:szCs w:val="21"/>
              </w:rPr>
              <w:t>分)</w:t>
            </w:r>
          </w:p>
        </w:tc>
        <w:tc>
          <w:tcPr>
            <w:tcW w:w="4910" w:type="dxa"/>
          </w:tcPr>
          <w:p w14:paraId="7987A294">
            <w:pPr>
              <w:contextualSpacing/>
              <w:rPr>
                <w:sz w:val="21"/>
                <w:szCs w:val="21"/>
              </w:rPr>
            </w:pPr>
            <w:r>
              <w:rPr>
                <w:rFonts w:hint="eastAsia"/>
                <w:sz w:val="21"/>
                <w:szCs w:val="21"/>
              </w:rPr>
              <w:t>投标报价得分＝（评标基准价/投标报价）×价格分值【注：满足招标文件要求且投标价格最低的投标报价为评标基准价。】最低报价不是中标的唯一依据。</w:t>
            </w:r>
          </w:p>
        </w:tc>
      </w:tr>
    </w:tbl>
    <w:p w14:paraId="18360F82">
      <w:pPr>
        <w:pStyle w:val="17"/>
        <w:tabs>
          <w:tab w:val="left" w:pos="-166"/>
        </w:tabs>
        <w:kinsoku w:val="0"/>
        <w:wordWrap w:val="0"/>
        <w:topLinePunct/>
        <w:ind w:firstLine="524" w:firstLineChars="200"/>
        <w:rPr>
          <w:rFonts w:hint="eastAsia" w:ascii="仿宋" w:hAnsi="仿宋" w:eastAsia="仿宋" w:cs="仿宋"/>
          <w:sz w:val="21"/>
          <w:szCs w:val="21"/>
        </w:rPr>
      </w:pPr>
    </w:p>
    <w:p w14:paraId="6CFD9B08">
      <w:pPr>
        <w:kinsoku w:val="0"/>
        <w:wordWrap w:val="0"/>
        <w:topLinePunct/>
        <w:rPr>
          <w:rFonts w:hint="eastAsia" w:ascii="仿宋" w:hAnsi="仿宋" w:eastAsia="仿宋" w:cs="仿宋"/>
          <w:b/>
          <w:sz w:val="21"/>
        </w:rPr>
      </w:pPr>
    </w:p>
    <w:p w14:paraId="58317392">
      <w:pPr>
        <w:kinsoku w:val="0"/>
        <w:wordWrap w:val="0"/>
        <w:topLinePunct/>
        <w:rPr>
          <w:rFonts w:hint="eastAsia" w:ascii="仿宋" w:hAnsi="仿宋" w:eastAsia="仿宋" w:cs="仿宋"/>
          <w:b/>
          <w:sz w:val="21"/>
        </w:rPr>
      </w:pPr>
      <w:r>
        <w:rPr>
          <w:rFonts w:hint="eastAsia" w:ascii="仿宋" w:hAnsi="仿宋" w:eastAsia="仿宋" w:cs="仿宋"/>
          <w:b/>
          <w:sz w:val="21"/>
        </w:rPr>
        <w:t>六、开标、评标、定标</w:t>
      </w:r>
    </w:p>
    <w:p w14:paraId="7C2B9701">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2F4D01F1">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385048B4">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7B01E62C">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12E81C73">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6D9821FF">
      <w:pPr>
        <w:kinsoku w:val="0"/>
        <w:wordWrap w:val="0"/>
        <w:topLinePunct/>
        <w:ind w:left="851" w:hanging="851"/>
        <w:rPr>
          <w:rFonts w:hint="eastAsia" w:ascii="仿宋" w:hAnsi="仿宋" w:eastAsia="仿宋" w:cs="仿宋"/>
          <w:b/>
          <w:sz w:val="21"/>
        </w:rPr>
      </w:pPr>
      <w:r>
        <w:rPr>
          <w:rFonts w:hint="eastAsia" w:ascii="仿宋" w:hAnsi="仿宋" w:eastAsia="仿宋" w:cs="仿宋"/>
          <w:b/>
          <w:sz w:val="21"/>
        </w:rPr>
        <w:t>七、评标过程的保密性</w:t>
      </w:r>
    </w:p>
    <w:p w14:paraId="005D12A6">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0DA12A12">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7AD7BE1E">
      <w:pPr>
        <w:kinsoku w:val="0"/>
        <w:wordWrap w:val="0"/>
        <w:topLinePunct/>
        <w:jc w:val="center"/>
        <w:rPr>
          <w:rFonts w:hint="eastAsia" w:ascii="仿宋" w:hAnsi="仿宋" w:eastAsia="仿宋" w:cs="仿宋"/>
          <w:b/>
          <w:sz w:val="32"/>
        </w:rPr>
      </w:pPr>
      <w:r>
        <w:rPr>
          <w:rFonts w:hint="eastAsia" w:ascii="仿宋" w:hAnsi="仿宋" w:eastAsia="仿宋" w:cs="仿宋"/>
          <w:b/>
          <w:sz w:val="32"/>
        </w:rPr>
        <w:t>第二部分  技术服务内容、技术指标要求等</w:t>
      </w:r>
    </w:p>
    <w:p w14:paraId="41A57B57">
      <w:pPr>
        <w:spacing w:line="360" w:lineRule="auto"/>
        <w:rPr>
          <w:rFonts w:hint="eastAsia" w:ascii="仿宋" w:hAnsi="仿宋" w:eastAsia="仿宋" w:cs="仿宋"/>
          <w:bCs/>
          <w:sz w:val="21"/>
          <w:szCs w:val="21"/>
        </w:rPr>
      </w:pPr>
      <w:r>
        <w:rPr>
          <w:rFonts w:hint="eastAsia" w:ascii="仿宋" w:hAnsi="仿宋" w:eastAsia="仿宋" w:cs="仿宋"/>
          <w:b/>
          <w:sz w:val="21"/>
          <w:szCs w:val="21"/>
        </w:rPr>
        <w:t>一．项目名称：</w:t>
      </w:r>
      <w:r>
        <w:rPr>
          <w:rFonts w:hint="eastAsia" w:ascii="仿宋" w:hAnsi="仿宋" w:eastAsia="仿宋" w:cs="仿宋"/>
          <w:bCs/>
          <w:sz w:val="21"/>
          <w:szCs w:val="21"/>
        </w:rPr>
        <w:t>汕头大学医学院人血清非靶向蛋白质组学技术服务招标项目</w:t>
      </w:r>
    </w:p>
    <w:p w14:paraId="0479A0FC">
      <w:pPr>
        <w:spacing w:line="360" w:lineRule="auto"/>
        <w:rPr>
          <w:rFonts w:hint="eastAsia" w:ascii="仿宋" w:hAnsi="仿宋" w:eastAsia="仿宋" w:cs="仿宋"/>
          <w:bCs/>
          <w:sz w:val="21"/>
          <w:szCs w:val="21"/>
        </w:rPr>
      </w:pPr>
      <w:r>
        <w:rPr>
          <w:rFonts w:hint="eastAsia" w:ascii="仿宋" w:hAnsi="仿宋" w:eastAsia="仿宋" w:cs="仿宋"/>
          <w:bCs/>
          <w:sz w:val="21"/>
          <w:szCs w:val="21"/>
        </w:rPr>
        <w:t>总预算：113400元</w:t>
      </w:r>
    </w:p>
    <w:p w14:paraId="492197FF">
      <w:pPr>
        <w:spacing w:line="360" w:lineRule="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本招标书中所提甲方特指需方（汕头大学医学院），乙方特指供方（潜在的中标单位）</w:t>
      </w:r>
    </w:p>
    <w:p w14:paraId="52BAF48E">
      <w:pPr>
        <w:spacing w:line="360" w:lineRule="auto"/>
        <w:outlineLvl w:val="1"/>
        <w:rPr>
          <w:rFonts w:hint="eastAsia" w:ascii="仿宋" w:hAnsi="仿宋" w:eastAsia="仿宋"/>
          <w:b/>
          <w:bCs/>
          <w:sz w:val="21"/>
          <w:szCs w:val="21"/>
        </w:rPr>
      </w:pPr>
      <w:r>
        <w:rPr>
          <w:rFonts w:hint="eastAsia" w:ascii="仿宋" w:hAnsi="仿宋" w:eastAsia="仿宋"/>
          <w:b/>
          <w:bCs/>
          <w:sz w:val="21"/>
          <w:szCs w:val="21"/>
        </w:rPr>
        <w:t>二．服务内容：</w:t>
      </w:r>
    </w:p>
    <w:p w14:paraId="6944C606">
      <w:pPr>
        <w:spacing w:line="360" w:lineRule="auto"/>
        <w:rPr>
          <w:rFonts w:hint="eastAsia" w:ascii="仿宋" w:hAnsi="仿宋" w:eastAsia="仿宋"/>
          <w:sz w:val="21"/>
          <w:szCs w:val="21"/>
        </w:rPr>
      </w:pPr>
      <w:r>
        <w:rPr>
          <w:rFonts w:ascii="仿宋" w:hAnsi="仿宋" w:eastAsia="仿宋"/>
          <w:sz w:val="21"/>
          <w:szCs w:val="21"/>
        </w:rPr>
        <w:t xml:space="preserve">1、完成270例人血清样本DIA蛋白组学检测服务，所用仪器为高分辨质谱仪（如Thermo Scientific Orbitrap Astral或同等性能设备）。质谱实验分析流程主要包括蛋白质提取、肽段酶解、液相色谱-串联质谱（LC-MS/MS）DIA数据采集、数据库检索、质控分析和定性定量结果分析及生物信息学分析。 </w:t>
      </w:r>
    </w:p>
    <w:p w14:paraId="0E6DB73D">
      <w:pPr>
        <w:spacing w:line="360" w:lineRule="auto"/>
        <w:ind w:left="-664" w:leftChars="-200" w:firstLine="786" w:firstLineChars="300"/>
        <w:outlineLvl w:val="1"/>
        <w:rPr>
          <w:rFonts w:hint="eastAsia" w:ascii="仿宋" w:hAnsi="仿宋" w:eastAsia="仿宋"/>
          <w:sz w:val="21"/>
          <w:szCs w:val="21"/>
        </w:rPr>
      </w:pPr>
      <w:r>
        <w:rPr>
          <w:rFonts w:ascii="仿宋" w:hAnsi="仿宋" w:eastAsia="仿宋"/>
          <w:sz w:val="21"/>
          <w:szCs w:val="21"/>
        </w:rPr>
        <w:t xml:space="preserve">2、服务流程： </w:t>
      </w:r>
    </w:p>
    <w:p w14:paraId="221B5795">
      <w:pPr>
        <w:spacing w:line="360" w:lineRule="auto"/>
        <w:rPr>
          <w:rFonts w:hint="eastAsia" w:ascii="仿宋" w:hAnsi="仿宋" w:eastAsia="仿宋"/>
          <w:sz w:val="21"/>
          <w:szCs w:val="21"/>
        </w:rPr>
      </w:pPr>
      <w:r>
        <w:rPr>
          <w:rFonts w:ascii="仿宋" w:hAnsi="仿宋" w:eastAsia="仿宋"/>
          <w:sz w:val="21"/>
          <w:szCs w:val="21"/>
        </w:rPr>
        <w:t xml:space="preserve">（1）样本处理与肽段酶解：加入适量的专业裂解液提取蛋白并进行蛋白定量。所有样品（包括混合Pool样品）采用标准蛋白质前处理方法进行酶解。酶解后的样品肽段进行脱盐和冻干，复溶后测定样品的肽段浓度。 </w:t>
      </w:r>
    </w:p>
    <w:p w14:paraId="0DFBC05B">
      <w:pPr>
        <w:spacing w:line="360" w:lineRule="auto"/>
        <w:rPr>
          <w:rFonts w:hint="eastAsia" w:ascii="仿宋" w:hAnsi="仿宋" w:eastAsia="仿宋"/>
          <w:sz w:val="21"/>
          <w:szCs w:val="21"/>
        </w:rPr>
      </w:pPr>
      <w:r>
        <w:rPr>
          <w:rFonts w:ascii="仿宋" w:hAnsi="仿宋" w:eastAsia="仿宋"/>
          <w:sz w:val="21"/>
          <w:szCs w:val="21"/>
        </w:rPr>
        <w:t xml:space="preserve">（2）色谱/质谱检测：每个样品的酶解肽段中分别加入适量标准肽段（如iRT等），使用纳升流速高效液相色谱及高分辨质谱仪进行DIA（数据非依赖采集）质谱检测，设定合理的一级质谱分辨率和碎片离子扫描参数。 </w:t>
      </w:r>
    </w:p>
    <w:p w14:paraId="0E0F12A4">
      <w:pPr>
        <w:spacing w:line="360" w:lineRule="auto"/>
        <w:rPr>
          <w:rFonts w:hint="eastAsia" w:ascii="仿宋" w:hAnsi="仿宋" w:eastAsia="仿宋"/>
          <w:sz w:val="21"/>
          <w:szCs w:val="21"/>
        </w:rPr>
      </w:pPr>
      <w:r>
        <w:rPr>
          <w:rFonts w:ascii="仿宋" w:hAnsi="仿宋" w:eastAsia="仿宋"/>
          <w:sz w:val="21"/>
          <w:szCs w:val="21"/>
        </w:rPr>
        <w:t xml:space="preserve">（3）数据分析：DIA数据采用专业检索软件进行数据处理。设定常规的固定修饰和动态修饰，数据库检索鉴定到的蛋白必须通过设定的过滤参数（如FDR＜1%）。 </w:t>
      </w:r>
    </w:p>
    <w:p w14:paraId="734ADE2A">
      <w:pPr>
        <w:spacing w:line="360" w:lineRule="auto"/>
        <w:rPr>
          <w:rFonts w:hint="eastAsia" w:ascii="仿宋" w:hAnsi="仿宋" w:eastAsia="仿宋"/>
          <w:sz w:val="21"/>
          <w:szCs w:val="21"/>
        </w:rPr>
      </w:pPr>
      <w:r>
        <w:rPr>
          <w:rFonts w:ascii="仿宋" w:hAnsi="仿宋" w:eastAsia="仿宋"/>
          <w:sz w:val="21"/>
          <w:szCs w:val="21"/>
        </w:rPr>
        <w:t>（4）</w:t>
      </w:r>
      <w:r>
        <w:rPr>
          <w:rFonts w:hint="eastAsia" w:ascii="仿宋" w:hAnsi="仿宋" w:eastAsia="仿宋"/>
          <w:sz w:val="21"/>
          <w:szCs w:val="21"/>
        </w:rPr>
        <w:t>生物信息</w:t>
      </w:r>
      <w:r>
        <w:rPr>
          <w:rFonts w:ascii="仿宋" w:hAnsi="仿宋" w:eastAsia="仿宋"/>
          <w:sz w:val="21"/>
          <w:szCs w:val="21"/>
        </w:rPr>
        <w:t>分析内容： a) 蛋白鉴定和定量分析：提供PCA分析、韦恩分析、皮尔森相关性、RSD分析等； b) 蛋白差异表达分析：提供</w:t>
      </w:r>
      <w:r>
        <w:rPr>
          <w:rFonts w:hint="eastAsia" w:ascii="仿宋" w:hAnsi="仿宋" w:eastAsia="仿宋"/>
          <w:sz w:val="21"/>
          <w:szCs w:val="21"/>
        </w:rPr>
        <w:t>=1232</w:t>
      </w:r>
      <w:r>
        <w:rPr>
          <w:rFonts w:ascii="仿宋" w:hAnsi="仿宋" w:eastAsia="仿宋"/>
          <w:sz w:val="21"/>
          <w:szCs w:val="21"/>
        </w:rPr>
        <w:t>差异蛋白火山图、箱线图、雷达图、层次聚类分析、多组趋势聚类(Mfuzzy)分析等； c) 高级功能分析：亚细胞定位分析、蛋白结构域、GO/KEGG/Reactome/Wikipathways/GSEA注释及富集分析、转录因子、激酶分析、蛋白互作分析、WGCNA分析等。</w:t>
      </w:r>
    </w:p>
    <w:p w14:paraId="1A39E121">
      <w:pPr>
        <w:spacing w:line="360" w:lineRule="auto"/>
        <w:rPr>
          <w:rFonts w:hint="eastAsia" w:ascii="仿宋" w:hAnsi="仿宋" w:eastAsia="仿宋"/>
          <w:sz w:val="21"/>
          <w:szCs w:val="21"/>
          <w:highlight w:val="none"/>
        </w:rPr>
      </w:pPr>
      <w:r>
        <w:rPr>
          <w:rFonts w:hint="eastAsia" w:ascii="仿宋" w:hAnsi="仿宋" w:eastAsia="仿宋"/>
          <w:sz w:val="21"/>
          <w:szCs w:val="21"/>
          <w:highlight w:val="none"/>
        </w:rPr>
        <w:t>3.服务期限：</w:t>
      </w:r>
    </w:p>
    <w:p w14:paraId="397E69CF">
      <w:pPr>
        <w:spacing w:line="360" w:lineRule="auto"/>
        <w:rPr>
          <w:rFonts w:hint="eastAsia" w:ascii="仿宋" w:hAnsi="仿宋" w:eastAsia="仿宋"/>
          <w:sz w:val="21"/>
          <w:szCs w:val="21"/>
          <w:highlight w:val="none"/>
        </w:rPr>
      </w:pPr>
      <w:r>
        <w:rPr>
          <w:rFonts w:ascii="仿宋" w:hAnsi="仿宋" w:eastAsia="仿宋"/>
          <w:sz w:val="21"/>
          <w:szCs w:val="21"/>
          <w:highlight w:val="none"/>
        </w:rPr>
        <w:t>乙方自收到甲方提供的全部合格样本之日起，须在</w:t>
      </w:r>
      <w:r>
        <w:rPr>
          <w:rFonts w:hint="eastAsia" w:ascii="仿宋" w:hAnsi="仿宋" w:eastAsia="仿宋"/>
          <w:b/>
          <w:bCs/>
          <w:sz w:val="21"/>
          <w:szCs w:val="21"/>
          <w:highlight w:val="none"/>
        </w:rPr>
        <w:t>60</w:t>
      </w:r>
      <w:r>
        <w:rPr>
          <w:rFonts w:ascii="Calibri" w:hAnsi="Calibri" w:eastAsia="仿宋" w:cs="Calibri"/>
          <w:sz w:val="21"/>
          <w:szCs w:val="21"/>
          <w:highlight w:val="none"/>
        </w:rPr>
        <w:t> </w:t>
      </w:r>
      <w:r>
        <w:rPr>
          <w:rFonts w:ascii="仿宋" w:hAnsi="仿宋" w:eastAsia="仿宋"/>
          <w:sz w:val="21"/>
          <w:szCs w:val="21"/>
          <w:highlight w:val="none"/>
        </w:rPr>
        <w:t>个自然日内完成全部270例样本的DIA蛋白组学检测、生物信息学分析，并向甲方交付全部成果</w:t>
      </w:r>
      <w:r>
        <w:rPr>
          <w:rFonts w:hint="eastAsia" w:ascii="仿宋" w:hAnsi="仿宋" w:eastAsia="仿宋"/>
          <w:sz w:val="21"/>
          <w:szCs w:val="21"/>
          <w:highlight w:val="none"/>
        </w:rPr>
        <w:t>及原始数据</w:t>
      </w:r>
      <w:r>
        <w:rPr>
          <w:rFonts w:ascii="仿宋" w:hAnsi="仿宋" w:eastAsia="仿宋"/>
          <w:sz w:val="21"/>
          <w:szCs w:val="21"/>
          <w:highlight w:val="none"/>
        </w:rPr>
        <w:t>。</w:t>
      </w:r>
    </w:p>
    <w:p w14:paraId="41ADF43B">
      <w:pPr>
        <w:spacing w:line="360" w:lineRule="auto"/>
        <w:rPr>
          <w:rFonts w:hint="eastAsia" w:ascii="仿宋" w:hAnsi="仿宋" w:eastAsia="仿宋"/>
          <w:sz w:val="21"/>
          <w:szCs w:val="21"/>
        </w:rPr>
      </w:pPr>
    </w:p>
    <w:p w14:paraId="497F4098">
      <w:pPr>
        <w:spacing w:line="360" w:lineRule="auto"/>
        <w:ind w:left="-664" w:leftChars="-200" w:firstLine="786" w:firstLineChars="300"/>
        <w:outlineLvl w:val="1"/>
        <w:rPr>
          <w:rFonts w:hint="eastAsia" w:ascii="仿宋" w:hAnsi="仿宋" w:eastAsia="仿宋"/>
          <w:b/>
          <w:bCs/>
          <w:sz w:val="21"/>
          <w:szCs w:val="21"/>
        </w:rPr>
      </w:pPr>
      <w:r>
        <w:rPr>
          <w:rFonts w:hint="eastAsia" w:ascii="仿宋" w:hAnsi="仿宋" w:eastAsia="仿宋"/>
          <w:b/>
          <w:bCs/>
          <w:sz w:val="21"/>
          <w:szCs w:val="21"/>
        </w:rPr>
        <w:t>三．质量要求、技术标准：</w:t>
      </w:r>
    </w:p>
    <w:p w14:paraId="31DDD3CC">
      <w:pPr>
        <w:spacing w:line="360" w:lineRule="auto"/>
        <w:rPr>
          <w:rFonts w:hint="eastAsia" w:ascii="仿宋" w:hAnsi="仿宋" w:eastAsia="仿宋"/>
          <w:sz w:val="21"/>
          <w:szCs w:val="21"/>
        </w:rPr>
      </w:pPr>
      <w:r>
        <w:rPr>
          <w:rFonts w:hint="eastAsia" w:ascii="仿宋" w:hAnsi="仿宋" w:eastAsia="仿宋"/>
          <w:sz w:val="21"/>
          <w:szCs w:val="21"/>
        </w:rPr>
        <w:t>1、为监测和评价系统的稳定性及实验数据的可靠性，在样本队列中每间隔一定数量的样本插入一个QC样本(一般为所有样本的混样)，并对整个实验过程中插入的各QC样本的数据一致性进行评价。主要采用变异系数(CV)、主成分分析(PCA)和Pearson相关性分析来评估QC的质量</w:t>
      </w:r>
    </w:p>
    <w:p w14:paraId="26130503">
      <w:pPr>
        <w:spacing w:line="360" w:lineRule="auto"/>
        <w:rPr>
          <w:rFonts w:hint="eastAsia" w:ascii="仿宋" w:hAnsi="仿宋" w:eastAsia="仿宋"/>
          <w:sz w:val="21"/>
          <w:szCs w:val="21"/>
        </w:rPr>
      </w:pPr>
      <w:r>
        <w:rPr>
          <w:rFonts w:hint="eastAsia" w:ascii="仿宋" w:hAnsi="仿宋" w:eastAsia="仿宋"/>
          <w:sz w:val="21"/>
          <w:szCs w:val="21"/>
        </w:rPr>
        <w:t>2、对不同组别之间的样本进行鉴定数量统计，反映组间样本鉴定数量是否有明显的差别，以箱线图形式进行展示;使用内标校正肽段(本项目使用iRTKit)，iRT的保留时间可用于对各样本间的数据进行对齐校正，进行各个样品LC-MS/MS原始数据的对比分析。半峰全宽(FWHM)，应无太大波动。</w:t>
      </w:r>
    </w:p>
    <w:p w14:paraId="42B41E01">
      <w:pPr>
        <w:spacing w:line="360" w:lineRule="auto"/>
        <w:rPr>
          <w:rFonts w:hint="eastAsia" w:ascii="仿宋" w:hAnsi="仿宋" w:eastAsia="仿宋"/>
          <w:sz w:val="21"/>
          <w:szCs w:val="21"/>
        </w:rPr>
      </w:pPr>
      <w:r>
        <w:rPr>
          <w:rFonts w:hint="eastAsia" w:ascii="仿宋" w:hAnsi="仿宋" w:eastAsia="仿宋"/>
          <w:sz w:val="21"/>
          <w:szCs w:val="21"/>
        </w:rPr>
        <w:t>3、</w:t>
      </w:r>
      <w:r>
        <w:rPr>
          <w:rFonts w:ascii="仿宋" w:hAnsi="仿宋" w:eastAsia="仿宋"/>
          <w:sz w:val="21"/>
          <w:szCs w:val="21"/>
        </w:rPr>
        <w:t>乙方必须有完善的培训体系和质量管理体系，对技术人员的操作严格要求，以保障检测服务达到要求。</w:t>
      </w:r>
    </w:p>
    <w:p w14:paraId="12EFE502">
      <w:pPr>
        <w:spacing w:line="360" w:lineRule="auto"/>
        <w:rPr>
          <w:rFonts w:hint="eastAsia" w:ascii="仿宋" w:hAnsi="仿宋" w:eastAsia="仿宋"/>
          <w:sz w:val="21"/>
          <w:szCs w:val="21"/>
        </w:rPr>
      </w:pPr>
      <w:r>
        <w:rPr>
          <w:rFonts w:hint="eastAsia" w:ascii="仿宋" w:hAnsi="仿宋" w:eastAsia="仿宋"/>
          <w:sz w:val="21"/>
          <w:szCs w:val="21"/>
        </w:rPr>
        <w:t>4、专业的技术支持，辅助设计实验方案，提供及时的项目进展汇报。</w:t>
      </w:r>
    </w:p>
    <w:p w14:paraId="18312CA2">
      <w:pPr>
        <w:spacing w:line="360" w:lineRule="auto"/>
        <w:rPr>
          <w:rFonts w:hint="eastAsia" w:ascii="仿宋" w:hAnsi="仿宋" w:eastAsia="仿宋"/>
          <w:sz w:val="21"/>
          <w:szCs w:val="21"/>
        </w:rPr>
      </w:pPr>
      <w:r>
        <w:rPr>
          <w:rFonts w:hint="eastAsia" w:ascii="仿宋" w:hAnsi="仿宋" w:eastAsia="仿宋"/>
          <w:sz w:val="21"/>
          <w:szCs w:val="21"/>
        </w:rPr>
        <w:t>5、课题交付验收后可免费提供工作时间的售后服务和技术支持，免费进行疑难问题解答，并通过技术人员上门、往来信函、电话、传真、电子邮件等，解答客户遇到的各种技术问题。</w:t>
      </w:r>
    </w:p>
    <w:p w14:paraId="318A1174">
      <w:pPr>
        <w:spacing w:line="360" w:lineRule="auto"/>
        <w:ind w:left="-664" w:leftChars="-200" w:firstLine="786" w:firstLineChars="300"/>
        <w:outlineLvl w:val="1"/>
        <w:rPr>
          <w:rFonts w:hint="eastAsia" w:ascii="仿宋" w:hAnsi="仿宋" w:eastAsia="仿宋"/>
          <w:b/>
          <w:bCs/>
          <w:sz w:val="21"/>
          <w:szCs w:val="21"/>
        </w:rPr>
      </w:pPr>
      <w:r>
        <w:rPr>
          <w:rFonts w:hint="eastAsia" w:ascii="仿宋" w:hAnsi="仿宋" w:eastAsia="仿宋"/>
          <w:b/>
          <w:bCs/>
          <w:sz w:val="21"/>
          <w:szCs w:val="21"/>
        </w:rPr>
        <w:t>四．验收方式、标准及提出异议期限：</w:t>
      </w:r>
    </w:p>
    <w:p w14:paraId="18CC5760">
      <w:pPr>
        <w:spacing w:line="360" w:lineRule="auto"/>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1、验收标准：一次性验收合格。包括：</w:t>
      </w:r>
    </w:p>
    <w:p w14:paraId="7240B53F">
      <w:pPr>
        <w:spacing w:line="360" w:lineRule="auto"/>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数据完整性：270例样本的原始数据、搜库结果、定量矩阵均交付完整无遗漏；</w:t>
      </w:r>
    </w:p>
    <w:p w14:paraId="377614A5">
      <w:pPr>
        <w:spacing w:line="360" w:lineRule="auto"/>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质量达标性：所有QC样本的CV值、PCA分析、Pearson相关性、FDR控制、iRT保留时间对齐等指标，符合招标文件第三部分"质量要求、技术标准"的规定；</w:t>
      </w:r>
    </w:p>
    <w:p w14:paraId="4802C101">
      <w:pPr>
        <w:spacing w:line="360" w:lineRule="auto"/>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分析成果完整性：招标文件要求的全部生物信息学分析内容（PCA、火山图、聚类分析、GO/KEGG富集、蛋白互作网络等）均已按要求完成交付。</w:t>
      </w:r>
    </w:p>
    <w:p w14:paraId="2CB30CA5">
      <w:pPr>
        <w:spacing w:line="360" w:lineRule="auto"/>
        <w:rPr>
          <w:rFonts w:hint="eastAsia" w:ascii="仿宋" w:hAnsi="仿宋" w:eastAsia="仿宋"/>
          <w:sz w:val="21"/>
          <w:szCs w:val="21"/>
        </w:rPr>
      </w:pPr>
      <w:r>
        <w:rPr>
          <w:rFonts w:hint="eastAsia" w:ascii="仿宋" w:hAnsi="仿宋" w:eastAsia="仿宋"/>
          <w:sz w:val="21"/>
          <w:szCs w:val="21"/>
        </w:rPr>
        <w:t>2、异议期限：甲方在收到全部最终交付成果后，如有异议，需在14个工作日内向乙方提出书面异议。若甲方在上述期限内未提出书面异议，则视为验收合格，甲方应按第五条约定的时间支付余款。验收不合格的，甲方有权要求乙方限期补正或按违约条款追究责任。</w:t>
      </w:r>
    </w:p>
    <w:p w14:paraId="6BF8E224">
      <w:pPr>
        <w:spacing w:line="360" w:lineRule="auto"/>
        <w:rPr>
          <w:rFonts w:hint="eastAsia" w:ascii="仿宋" w:hAnsi="仿宋" w:eastAsia="仿宋"/>
          <w:sz w:val="21"/>
          <w:szCs w:val="21"/>
        </w:rPr>
      </w:pPr>
      <w:r>
        <w:rPr>
          <w:rFonts w:hint="eastAsia" w:ascii="仿宋" w:hAnsi="仿宋" w:eastAsia="仿宋"/>
          <w:sz w:val="21"/>
          <w:szCs w:val="21"/>
        </w:rPr>
        <w:t>3、数据保存：乙方在交付最终数据后继续为甲方免费保存原始数据，保存最长不超过3个月。自项目结题之日起满6个月，甲方仍未按照本合同约定的时间结清款项的，乙方有权自行对原始数据进行销毁等处置，届时将由甲方自行承担数据丢失、损毁的全部后果和责任。</w:t>
      </w:r>
    </w:p>
    <w:p w14:paraId="460874DE">
      <w:pPr>
        <w:spacing w:line="360" w:lineRule="auto"/>
        <w:rPr>
          <w:rFonts w:hint="eastAsia" w:ascii="仿宋" w:hAnsi="仿宋" w:eastAsia="仿宋"/>
          <w:sz w:val="21"/>
          <w:szCs w:val="21"/>
        </w:rPr>
      </w:pPr>
      <w:r>
        <w:rPr>
          <w:rFonts w:hint="eastAsia" w:ascii="仿宋" w:hAnsi="仿宋" w:eastAsia="仿宋"/>
          <w:sz w:val="21"/>
          <w:szCs w:val="21"/>
        </w:rPr>
        <w:t>4、样本保存及返样：</w:t>
      </w:r>
      <w:r>
        <w:rPr>
          <w:rFonts w:ascii="仿宋" w:hAnsi="仿宋" w:eastAsia="仿宋"/>
          <w:sz w:val="21"/>
          <w:szCs w:val="21"/>
        </w:rPr>
        <w:t>中标方须对采购人提供的全部血清样本建立规范化管理台账，完整记录样本从接收到返还全过程的流转信息。样本应保存于满足生物样本长期稳定存储要求的超低温环境（如-80℃），并配备温度实时监控与报警装置，确保保存期间样本不发生反复冻融或降解。项目检测完成后，中标方须在10个工作日内将剩余全部样本（含备份样）通过干冰冷链等方式无偿返还采购人，运输所需条件及费用由中标方承担，同时一并提供样本流转记录及保存期间的温度监控数据。若采购方提出继续保存样本的需求，双方可另行协商保存期限与条件并签订补充协议。</w:t>
      </w:r>
    </w:p>
    <w:p w14:paraId="4D7830CE">
      <w:pPr>
        <w:spacing w:line="360" w:lineRule="auto"/>
        <w:rPr>
          <w:rFonts w:hint="eastAsia" w:ascii="仿宋" w:hAnsi="仿宋" w:eastAsia="仿宋"/>
          <w:b/>
          <w:bCs/>
          <w:sz w:val="21"/>
          <w:szCs w:val="21"/>
        </w:rPr>
      </w:pPr>
      <w:r>
        <w:rPr>
          <w:rFonts w:hint="eastAsia" w:ascii="仿宋" w:hAnsi="仿宋" w:eastAsia="仿宋"/>
          <w:b/>
          <w:bCs/>
          <w:sz w:val="21"/>
          <w:szCs w:val="21"/>
        </w:rPr>
        <w:t>五、知识产权：</w:t>
      </w:r>
    </w:p>
    <w:p w14:paraId="16F5259B">
      <w:pPr>
        <w:spacing w:line="360" w:lineRule="auto"/>
        <w:rPr>
          <w:rFonts w:hint="eastAsia" w:ascii="仿宋" w:hAnsi="仿宋" w:eastAsia="仿宋"/>
          <w:sz w:val="21"/>
          <w:szCs w:val="21"/>
        </w:rPr>
      </w:pPr>
      <w:r>
        <w:rPr>
          <w:rFonts w:hint="eastAsia" w:ascii="仿宋" w:hAnsi="仿宋" w:eastAsia="仿宋"/>
          <w:sz w:val="21"/>
          <w:szCs w:val="21"/>
        </w:rPr>
        <w:t>1、本委托项目下产生的技术服务成果为甲方所有，甲方拥有本委托项目下专利技术服务成果的专利申请权。</w:t>
      </w:r>
    </w:p>
    <w:p w14:paraId="55B06BD2">
      <w:pPr>
        <w:spacing w:line="360" w:lineRule="auto"/>
        <w:rPr>
          <w:rFonts w:hint="eastAsia" w:ascii="仿宋" w:hAnsi="仿宋" w:eastAsia="仿宋"/>
          <w:sz w:val="21"/>
          <w:szCs w:val="21"/>
        </w:rPr>
      </w:pPr>
      <w:r>
        <w:rPr>
          <w:rFonts w:hint="eastAsia" w:ascii="仿宋" w:hAnsi="仿宋" w:eastAsia="仿宋"/>
          <w:sz w:val="21"/>
          <w:szCs w:val="21"/>
        </w:rPr>
        <w:t>2、本委托项目中所使用的属于甲方的知识产权，仍为甲方所有，甲方对这类知识产权的使用承担全部法律责任。甲方保证“甲方知识产权”不会侵犯任何第三方的知识产权。</w:t>
      </w:r>
    </w:p>
    <w:p w14:paraId="6C254030">
      <w:pPr>
        <w:spacing w:line="360" w:lineRule="auto"/>
        <w:rPr>
          <w:rFonts w:hint="eastAsia" w:ascii="仿宋" w:hAnsi="仿宋" w:eastAsia="仿宋"/>
          <w:sz w:val="21"/>
          <w:szCs w:val="21"/>
        </w:rPr>
      </w:pPr>
      <w:r>
        <w:rPr>
          <w:rFonts w:hint="eastAsia" w:ascii="仿宋" w:hAnsi="仿宋" w:eastAsia="仿宋"/>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6C1C56AA">
      <w:pPr>
        <w:widowControl/>
        <w:jc w:val="left"/>
        <w:rPr>
          <w:rFonts w:hint="eastAsia" w:ascii="仿宋" w:hAnsi="仿宋" w:eastAsia="仿宋"/>
          <w:sz w:val="21"/>
          <w:szCs w:val="21"/>
        </w:rPr>
      </w:pPr>
      <w:r>
        <w:rPr>
          <w:rFonts w:hint="eastAsia" w:ascii="仿宋" w:hAnsi="仿宋" w:eastAsia="仿宋"/>
          <w:sz w:val="21"/>
          <w:szCs w:val="21"/>
        </w:rPr>
        <w:br w:type="page"/>
      </w:r>
    </w:p>
    <w:p w14:paraId="1635A0E3">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2269D1F3">
      <w:pPr>
        <w:rPr>
          <w:rFonts w:hint="eastAsia" w:ascii="仿宋" w:hAnsi="仿宋" w:eastAsia="仿宋" w:cs="仿宋"/>
          <w:b/>
          <w:sz w:val="21"/>
          <w:szCs w:val="21"/>
        </w:rPr>
      </w:pPr>
    </w:p>
    <w:p w14:paraId="50A81491">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5B29EED8">
      <w:pPr>
        <w:kinsoku w:val="0"/>
        <w:wordWrap w:val="0"/>
        <w:topLinePunct/>
        <w:spacing w:line="340" w:lineRule="exact"/>
        <w:rPr>
          <w:rFonts w:hint="eastAsia" w:ascii="仿宋" w:hAnsi="仿宋" w:eastAsia="仿宋" w:cs="仿宋"/>
          <w:b/>
          <w:sz w:val="32"/>
        </w:rPr>
      </w:pPr>
    </w:p>
    <w:p w14:paraId="72BCAB15">
      <w:pPr>
        <w:kinsoku w:val="0"/>
        <w:wordWrap w:val="0"/>
        <w:topLinePunct/>
        <w:spacing w:line="340" w:lineRule="exact"/>
        <w:jc w:val="center"/>
        <w:rPr>
          <w:rFonts w:hint="eastAsia" w:ascii="仿宋" w:hAnsi="仿宋" w:eastAsia="仿宋" w:cs="仿宋"/>
          <w:b/>
          <w:sz w:val="32"/>
        </w:rPr>
      </w:pPr>
    </w:p>
    <w:p w14:paraId="4AFC43EF">
      <w:pPr>
        <w:kinsoku w:val="0"/>
        <w:wordWrap w:val="0"/>
        <w:topLinePunct/>
        <w:spacing w:line="340" w:lineRule="exact"/>
        <w:jc w:val="center"/>
        <w:rPr>
          <w:rFonts w:hint="eastAsia" w:ascii="仿宋_GB2312" w:hAnsi="仿宋" w:cs="仿宋"/>
          <w:b/>
          <w:sz w:val="32"/>
        </w:rPr>
      </w:pPr>
      <w:r>
        <w:rPr>
          <w:rFonts w:hint="eastAsia" w:ascii="仿宋_GB2312" w:hAnsi="仿宋" w:cs="仿宋"/>
          <w:b/>
          <w:sz w:val="32"/>
        </w:rPr>
        <w:t xml:space="preserve">第三部分  </w:t>
      </w:r>
      <w:r>
        <w:rPr>
          <w:rFonts w:hint="eastAsia" w:ascii="仿宋_GB2312" w:hAnsi="仿宋" w:cs="仿宋"/>
          <w:b/>
          <w:sz w:val="32"/>
          <w:u w:val="single"/>
        </w:rPr>
        <w:t xml:space="preserve">       </w:t>
      </w:r>
      <w:r>
        <w:rPr>
          <w:rFonts w:hint="eastAsia" w:ascii="仿宋_GB2312" w:hAnsi="仿宋" w:cs="仿宋"/>
          <w:b/>
          <w:sz w:val="32"/>
        </w:rPr>
        <w:t>合同（参考样本）</w:t>
      </w:r>
    </w:p>
    <w:p w14:paraId="4AC6F2AD">
      <w:pPr>
        <w:kinsoku w:val="0"/>
        <w:wordWrap w:val="0"/>
        <w:topLinePunct/>
        <w:spacing w:line="340" w:lineRule="exact"/>
        <w:jc w:val="right"/>
        <w:rPr>
          <w:rFonts w:hint="eastAsia" w:ascii="仿宋_GB2312" w:hAnsi="仿宋" w:cs="仿宋"/>
          <w:sz w:val="24"/>
        </w:rPr>
      </w:pPr>
      <w:r>
        <w:rPr>
          <w:rFonts w:hint="eastAsia" w:ascii="仿宋_GB2312" w:hAnsi="仿宋" w:cs="仿宋"/>
          <w:sz w:val="24"/>
        </w:rPr>
        <w:t xml:space="preserve">                                     合同编号：</w:t>
      </w:r>
      <w:r>
        <w:rPr>
          <w:rFonts w:hint="eastAsia" w:ascii="仿宋_GB2312" w:hAnsi="仿宋" w:cs="仿宋"/>
          <w:sz w:val="24"/>
          <w:u w:val="single"/>
        </w:rPr>
        <w:t xml:space="preserve">         </w:t>
      </w:r>
      <w:r>
        <w:rPr>
          <w:rFonts w:hint="eastAsia" w:ascii="仿宋_GB2312" w:hAnsi="仿宋" w:cs="仿宋"/>
          <w:sz w:val="24"/>
        </w:rPr>
        <w:t>.</w:t>
      </w:r>
    </w:p>
    <w:p w14:paraId="4D58C24B">
      <w:pPr>
        <w:kinsoku w:val="0"/>
        <w:wordWrap w:val="0"/>
        <w:topLinePunct/>
        <w:spacing w:line="340" w:lineRule="exact"/>
        <w:rPr>
          <w:rFonts w:hint="eastAsia" w:ascii="仿宋_GB2312" w:hAnsi="仿宋" w:cs="仿宋"/>
          <w:sz w:val="24"/>
        </w:rPr>
      </w:pPr>
    </w:p>
    <w:p w14:paraId="6122A337">
      <w:pPr>
        <w:kinsoku w:val="0"/>
        <w:wordWrap w:val="0"/>
        <w:topLinePunct/>
        <w:spacing w:line="340" w:lineRule="exact"/>
        <w:rPr>
          <w:rFonts w:hint="eastAsia" w:ascii="仿宋_GB2312" w:hAnsi="仿宋" w:cs="仿宋"/>
          <w:sz w:val="24"/>
        </w:rPr>
      </w:pPr>
      <w:r>
        <w:rPr>
          <w:rFonts w:hint="eastAsia" w:ascii="仿宋_GB2312" w:hAnsi="仿宋" w:cs="仿宋"/>
          <w:sz w:val="24"/>
        </w:rPr>
        <w:t>需  方（甲方）：                        签订地点：汕头大学医学院</w:t>
      </w:r>
    </w:p>
    <w:p w14:paraId="08DC6B5F">
      <w:pPr>
        <w:kinsoku w:val="0"/>
        <w:wordWrap w:val="0"/>
        <w:topLinePunct/>
        <w:spacing w:line="340" w:lineRule="exact"/>
        <w:rPr>
          <w:rFonts w:hint="eastAsia" w:ascii="仿宋_GB2312" w:hAnsi="仿宋" w:cs="仿宋"/>
          <w:sz w:val="24"/>
        </w:rPr>
      </w:pPr>
      <w:r>
        <w:rPr>
          <w:rFonts w:hint="eastAsia" w:ascii="仿宋_GB2312" w:hAnsi="仿宋" w:cs="仿宋"/>
          <w:sz w:val="24"/>
        </w:rPr>
        <w:t xml:space="preserve">供  方（乙方）：                      </w:t>
      </w:r>
    </w:p>
    <w:p w14:paraId="0B0FCEB1">
      <w:pPr>
        <w:kinsoku w:val="0"/>
        <w:wordWrap w:val="0"/>
        <w:topLinePunct/>
        <w:spacing w:line="340" w:lineRule="exact"/>
        <w:rPr>
          <w:rFonts w:hint="eastAsia" w:ascii="仿宋_GB2312" w:hAnsi="仿宋" w:cs="仿宋"/>
          <w:sz w:val="24"/>
        </w:rPr>
      </w:pPr>
    </w:p>
    <w:p w14:paraId="78791219">
      <w:pPr>
        <w:kinsoku w:val="0"/>
        <w:wordWrap w:val="0"/>
        <w:topLinePunct/>
        <w:spacing w:line="340" w:lineRule="exact"/>
        <w:rPr>
          <w:rFonts w:hint="eastAsia" w:ascii="仿宋_GB2312" w:hAnsi="仿宋" w:cs="仿宋"/>
          <w:sz w:val="21"/>
        </w:rPr>
      </w:pPr>
      <w:r>
        <w:rPr>
          <w:rFonts w:hint="eastAsia" w:ascii="仿宋_GB2312" w:hAnsi="仿宋" w:cs="仿宋"/>
          <w:sz w:val="24"/>
        </w:rPr>
        <w:t xml:space="preserve">    </w:t>
      </w:r>
      <w:r>
        <w:rPr>
          <w:rFonts w:hint="eastAsia" w:ascii="仿宋_GB2312" w:hAnsi="仿宋" w:cs="仿宋"/>
          <w:sz w:val="21"/>
        </w:rPr>
        <w:t>根据《中华人民共和国民法典》及</w:t>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t>______年__月__日汕头大学医学院“汕医招2026- - ”招标文件和依据此文件产生的中标结果，经甲、乙双方平等协商，签订本合同。</w:t>
      </w:r>
    </w:p>
    <w:p w14:paraId="57B832F4">
      <w:pPr>
        <w:kinsoku w:val="0"/>
        <w:wordWrap w:val="0"/>
        <w:topLinePunct/>
        <w:spacing w:line="340" w:lineRule="exact"/>
        <w:rPr>
          <w:rFonts w:hint="eastAsia" w:ascii="仿宋_GB2312" w:hAnsi="仿宋" w:cs="仿宋"/>
          <w:sz w:val="21"/>
        </w:rPr>
      </w:pPr>
    </w:p>
    <w:p w14:paraId="5087ADCE">
      <w:pPr>
        <w:kinsoku w:val="0"/>
        <w:wordWrap w:val="0"/>
        <w:topLinePunct/>
        <w:spacing w:line="340" w:lineRule="exact"/>
        <w:rPr>
          <w:rFonts w:hint="eastAsia" w:ascii="仿宋_GB2312" w:hAnsi="仿宋" w:cs="仿宋"/>
          <w:sz w:val="21"/>
        </w:rPr>
      </w:pPr>
      <w:r>
        <w:rPr>
          <w:rFonts w:hint="eastAsia" w:ascii="仿宋_GB2312" w:hAnsi="仿宋" w:cs="仿宋"/>
          <w:sz w:val="21"/>
        </w:rPr>
        <w:t>一．下列合同文件是构成本合同不可分割的部分：</w:t>
      </w:r>
    </w:p>
    <w:p w14:paraId="002398A6">
      <w:pPr>
        <w:kinsoku w:val="0"/>
        <w:wordWrap w:val="0"/>
        <w:topLinePunct/>
        <w:spacing w:line="340" w:lineRule="exact"/>
        <w:rPr>
          <w:rFonts w:hint="eastAsia" w:ascii="仿宋_GB2312" w:hAnsi="仿宋" w:cs="仿宋"/>
          <w:sz w:val="21"/>
        </w:rPr>
      </w:pPr>
      <w:r>
        <w:rPr>
          <w:rFonts w:hint="eastAsia" w:ascii="仿宋_GB2312" w:hAnsi="仿宋" w:cs="仿宋"/>
          <w:sz w:val="21"/>
        </w:rPr>
        <w:t>1. 合同条款</w:t>
      </w:r>
    </w:p>
    <w:p w14:paraId="70A3BF7D">
      <w:pPr>
        <w:kinsoku w:val="0"/>
        <w:wordWrap w:val="0"/>
        <w:topLinePunct/>
        <w:spacing w:line="340" w:lineRule="exact"/>
        <w:rPr>
          <w:rFonts w:hint="eastAsia" w:ascii="仿宋_GB2312" w:hAnsi="仿宋" w:cs="仿宋"/>
          <w:sz w:val="21"/>
        </w:rPr>
      </w:pPr>
      <w:r>
        <w:rPr>
          <w:rFonts w:hint="eastAsia" w:ascii="仿宋_GB2312" w:hAnsi="仿宋" w:cs="仿宋"/>
          <w:sz w:val="21"/>
        </w:rPr>
        <w:t>2.中标公告</w:t>
      </w:r>
    </w:p>
    <w:p w14:paraId="54F61E8A">
      <w:pPr>
        <w:kinsoku w:val="0"/>
        <w:wordWrap w:val="0"/>
        <w:topLinePunct/>
        <w:spacing w:line="340" w:lineRule="exact"/>
        <w:rPr>
          <w:rFonts w:hint="eastAsia" w:ascii="仿宋_GB2312" w:hAnsi="仿宋" w:cs="仿宋"/>
          <w:sz w:val="21"/>
        </w:rPr>
      </w:pPr>
      <w:r>
        <w:rPr>
          <w:rFonts w:hint="eastAsia" w:ascii="仿宋_GB2312" w:hAnsi="仿宋" w:cs="仿宋"/>
          <w:sz w:val="21"/>
        </w:rPr>
        <w:t>3. 其他文件或材料</w:t>
      </w:r>
    </w:p>
    <w:p w14:paraId="00FE6D3A">
      <w:pPr>
        <w:kinsoku w:val="0"/>
        <w:wordWrap w:val="0"/>
        <w:topLinePunct/>
        <w:spacing w:line="340" w:lineRule="exact"/>
        <w:rPr>
          <w:rFonts w:hint="eastAsia" w:ascii="仿宋_GB2312" w:hAnsi="仿宋" w:cs="仿宋"/>
          <w:b/>
          <w:sz w:val="21"/>
        </w:rPr>
      </w:pPr>
      <w:r>
        <w:rPr>
          <w:rFonts w:hint="eastAsia" w:ascii="仿宋_GB2312" w:hAnsi="仿宋" w:cs="仿宋"/>
          <w:b/>
          <w:sz w:val="21"/>
        </w:rPr>
        <w:t>二．服务费用报价</w:t>
      </w:r>
    </w:p>
    <w:tbl>
      <w:tblPr>
        <w:tblStyle w:val="22"/>
        <w:tblW w:w="0" w:type="auto"/>
        <w:tblInd w:w="6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5"/>
        <w:gridCol w:w="870"/>
        <w:gridCol w:w="932"/>
        <w:gridCol w:w="1819"/>
        <w:gridCol w:w="1280"/>
        <w:gridCol w:w="1720"/>
      </w:tblGrid>
      <w:tr w14:paraId="6EE6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45" w:type="dxa"/>
            <w:tcBorders>
              <w:tl2br w:val="nil"/>
              <w:tr2bl w:val="nil"/>
            </w:tcBorders>
          </w:tcPr>
          <w:p w14:paraId="3BB0FC6C">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服务名称</w:t>
            </w:r>
          </w:p>
          <w:p w14:paraId="0FD0977A">
            <w:pPr>
              <w:kinsoku w:val="0"/>
              <w:wordWrap w:val="0"/>
              <w:topLinePunct/>
              <w:spacing w:line="340" w:lineRule="exact"/>
              <w:rPr>
                <w:rFonts w:hint="eastAsia" w:ascii="仿宋_GB2312" w:hAnsi="仿宋" w:cs="仿宋"/>
                <w:sz w:val="21"/>
                <w:szCs w:val="21"/>
              </w:rPr>
            </w:pPr>
          </w:p>
        </w:tc>
        <w:tc>
          <w:tcPr>
            <w:tcW w:w="870" w:type="dxa"/>
            <w:tcBorders>
              <w:tl2br w:val="nil"/>
              <w:tr2bl w:val="nil"/>
            </w:tcBorders>
          </w:tcPr>
          <w:p w14:paraId="504FD2E6">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数量</w:t>
            </w:r>
          </w:p>
        </w:tc>
        <w:tc>
          <w:tcPr>
            <w:tcW w:w="932" w:type="dxa"/>
            <w:tcBorders>
              <w:tl2br w:val="nil"/>
              <w:tr2bl w:val="nil"/>
            </w:tcBorders>
          </w:tcPr>
          <w:p w14:paraId="215AA882">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单位</w:t>
            </w:r>
          </w:p>
        </w:tc>
        <w:tc>
          <w:tcPr>
            <w:tcW w:w="1819" w:type="dxa"/>
            <w:tcBorders>
              <w:tl2br w:val="nil"/>
              <w:tr2bl w:val="nil"/>
            </w:tcBorders>
          </w:tcPr>
          <w:p w14:paraId="2DFF4CBC">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提供服务期限</w:t>
            </w:r>
          </w:p>
        </w:tc>
        <w:tc>
          <w:tcPr>
            <w:tcW w:w="1280" w:type="dxa"/>
            <w:tcBorders>
              <w:tl2br w:val="nil"/>
              <w:tr2bl w:val="nil"/>
            </w:tcBorders>
          </w:tcPr>
          <w:p w14:paraId="362F830B">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单价(元)</w:t>
            </w:r>
          </w:p>
        </w:tc>
        <w:tc>
          <w:tcPr>
            <w:tcW w:w="1720" w:type="dxa"/>
            <w:tcBorders>
              <w:tl2br w:val="nil"/>
              <w:tr2bl w:val="nil"/>
            </w:tcBorders>
          </w:tcPr>
          <w:p w14:paraId="57C3000E">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总价(元)</w:t>
            </w:r>
          </w:p>
        </w:tc>
      </w:tr>
      <w:tr w14:paraId="6F7C1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1845" w:type="dxa"/>
            <w:tcBorders>
              <w:tl2br w:val="nil"/>
              <w:tr2bl w:val="nil"/>
            </w:tcBorders>
          </w:tcPr>
          <w:p w14:paraId="09E9BA24">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汕头大学医学院人血清非靶向蛋白质组学技术服务招标项目</w:t>
            </w:r>
          </w:p>
        </w:tc>
        <w:tc>
          <w:tcPr>
            <w:tcW w:w="870" w:type="dxa"/>
            <w:tcBorders>
              <w:tl2br w:val="nil"/>
              <w:tr2bl w:val="nil"/>
            </w:tcBorders>
          </w:tcPr>
          <w:p w14:paraId="6696A036">
            <w:pPr>
              <w:kinsoku w:val="0"/>
              <w:wordWrap w:val="0"/>
              <w:topLinePunct/>
              <w:spacing w:line="340" w:lineRule="exact"/>
              <w:rPr>
                <w:rFonts w:hint="eastAsia" w:ascii="仿宋_GB2312" w:hAnsi="仿宋" w:cs="仿宋"/>
                <w:sz w:val="21"/>
                <w:szCs w:val="21"/>
              </w:rPr>
            </w:pPr>
          </w:p>
        </w:tc>
        <w:tc>
          <w:tcPr>
            <w:tcW w:w="932" w:type="dxa"/>
            <w:tcBorders>
              <w:tl2br w:val="nil"/>
              <w:tr2bl w:val="nil"/>
            </w:tcBorders>
          </w:tcPr>
          <w:p w14:paraId="3B8D2D1B">
            <w:pPr>
              <w:kinsoku w:val="0"/>
              <w:wordWrap w:val="0"/>
              <w:topLinePunct/>
              <w:spacing w:line="340" w:lineRule="exact"/>
              <w:rPr>
                <w:rFonts w:hint="eastAsia" w:ascii="仿宋_GB2312" w:hAnsi="仿宋" w:cs="仿宋"/>
                <w:sz w:val="21"/>
                <w:szCs w:val="21"/>
              </w:rPr>
            </w:pPr>
          </w:p>
        </w:tc>
        <w:tc>
          <w:tcPr>
            <w:tcW w:w="1819" w:type="dxa"/>
            <w:tcBorders>
              <w:tl2br w:val="nil"/>
              <w:tr2bl w:val="nil"/>
            </w:tcBorders>
          </w:tcPr>
          <w:p w14:paraId="32083775">
            <w:pPr>
              <w:kinsoku w:val="0"/>
              <w:wordWrap w:val="0"/>
              <w:topLinePunct/>
              <w:spacing w:line="340" w:lineRule="exact"/>
              <w:rPr>
                <w:rFonts w:hint="eastAsia" w:ascii="仿宋_GB2312" w:hAnsi="仿宋" w:cs="仿宋"/>
                <w:sz w:val="21"/>
                <w:szCs w:val="21"/>
              </w:rPr>
            </w:pPr>
          </w:p>
        </w:tc>
        <w:tc>
          <w:tcPr>
            <w:tcW w:w="1280" w:type="dxa"/>
            <w:tcBorders>
              <w:tl2br w:val="nil"/>
              <w:tr2bl w:val="nil"/>
            </w:tcBorders>
          </w:tcPr>
          <w:p w14:paraId="00444465">
            <w:pPr>
              <w:kinsoku w:val="0"/>
              <w:wordWrap w:val="0"/>
              <w:topLinePunct/>
              <w:spacing w:line="340" w:lineRule="exact"/>
              <w:rPr>
                <w:rFonts w:hint="eastAsia" w:ascii="仿宋_GB2312" w:hAnsi="仿宋" w:cs="仿宋"/>
                <w:sz w:val="21"/>
                <w:szCs w:val="21"/>
              </w:rPr>
            </w:pPr>
          </w:p>
        </w:tc>
        <w:tc>
          <w:tcPr>
            <w:tcW w:w="1720" w:type="dxa"/>
            <w:tcBorders>
              <w:tl2br w:val="nil"/>
              <w:tr2bl w:val="nil"/>
            </w:tcBorders>
          </w:tcPr>
          <w:p w14:paraId="560095B5">
            <w:pPr>
              <w:kinsoku w:val="0"/>
              <w:wordWrap w:val="0"/>
              <w:topLinePunct/>
              <w:spacing w:line="340" w:lineRule="exact"/>
              <w:rPr>
                <w:rFonts w:hint="eastAsia" w:ascii="仿宋_GB2312" w:hAnsi="仿宋" w:cs="仿宋"/>
                <w:sz w:val="21"/>
                <w:szCs w:val="21"/>
              </w:rPr>
            </w:pPr>
          </w:p>
        </w:tc>
      </w:tr>
      <w:tr w14:paraId="14E3E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1845" w:type="dxa"/>
            <w:tcBorders>
              <w:tl2br w:val="nil"/>
              <w:tr2bl w:val="nil"/>
            </w:tcBorders>
          </w:tcPr>
          <w:p w14:paraId="05B38930">
            <w:pPr>
              <w:kinsoku w:val="0"/>
              <w:wordWrap w:val="0"/>
              <w:topLinePunct/>
              <w:spacing w:line="340" w:lineRule="exact"/>
              <w:rPr>
                <w:rFonts w:hint="eastAsia" w:ascii="仿宋_GB2312" w:hAnsi="_x000B__x000C_"/>
                <w:sz w:val="21"/>
                <w:szCs w:val="21"/>
              </w:rPr>
            </w:pPr>
          </w:p>
          <w:p w14:paraId="53A2ACE9">
            <w:pPr>
              <w:kinsoku w:val="0"/>
              <w:wordWrap w:val="0"/>
              <w:topLinePunct/>
              <w:spacing w:line="340" w:lineRule="exact"/>
              <w:rPr>
                <w:rFonts w:hint="eastAsia" w:ascii="仿宋_GB2312" w:hAnsi="_x000B__x000C_"/>
                <w:sz w:val="21"/>
                <w:szCs w:val="21"/>
              </w:rPr>
            </w:pPr>
            <w:r>
              <w:rPr>
                <w:rFonts w:hint="eastAsia" w:ascii="仿宋_GB2312" w:hAnsi="_x000B__x000C_"/>
                <w:sz w:val="21"/>
                <w:szCs w:val="21"/>
              </w:rPr>
              <w:t>总报价</w:t>
            </w:r>
          </w:p>
        </w:tc>
        <w:tc>
          <w:tcPr>
            <w:tcW w:w="6621" w:type="dxa"/>
            <w:gridSpan w:val="5"/>
            <w:tcBorders>
              <w:tl2br w:val="nil"/>
              <w:tr2bl w:val="nil"/>
            </w:tcBorders>
          </w:tcPr>
          <w:p w14:paraId="22D04282">
            <w:pPr>
              <w:kinsoku w:val="0"/>
              <w:wordWrap w:val="0"/>
              <w:topLinePunct/>
              <w:spacing w:line="340" w:lineRule="exact"/>
              <w:rPr>
                <w:rFonts w:hint="eastAsia" w:ascii="仿宋_GB2312" w:hAnsi="仿宋" w:cs="仿宋"/>
                <w:sz w:val="21"/>
                <w:szCs w:val="21"/>
              </w:rPr>
            </w:pPr>
          </w:p>
          <w:p w14:paraId="2A94433B">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大写：                          小写：</w:t>
            </w:r>
          </w:p>
        </w:tc>
      </w:tr>
    </w:tbl>
    <w:p w14:paraId="05DFD380">
      <w:pPr>
        <w:kinsoku w:val="0"/>
        <w:wordWrap w:val="0"/>
        <w:topLinePunct/>
        <w:spacing w:line="340" w:lineRule="exact"/>
        <w:rPr>
          <w:rFonts w:hint="eastAsia" w:ascii="仿宋_GB2312" w:hAnsi="仿宋" w:cs="仿宋"/>
          <w:b/>
          <w:sz w:val="21"/>
        </w:rPr>
      </w:pPr>
      <w:r>
        <w:rPr>
          <w:rFonts w:hint="eastAsia" w:ascii="仿宋_GB2312" w:hAnsi="仿宋" w:cs="仿宋"/>
          <w:b/>
          <w:sz w:val="21"/>
        </w:rPr>
        <w:t xml:space="preserve">     </w:t>
      </w:r>
    </w:p>
    <w:p w14:paraId="76C18EE4">
      <w:pPr>
        <w:kinsoku w:val="0"/>
        <w:wordWrap w:val="0"/>
        <w:topLinePunct/>
        <w:spacing w:line="340" w:lineRule="exact"/>
        <w:rPr>
          <w:rFonts w:hint="eastAsia" w:ascii="仿宋_GB2312" w:hAnsi="仿宋" w:cs="仿宋"/>
          <w:b/>
          <w:sz w:val="21"/>
        </w:rPr>
      </w:pPr>
    </w:p>
    <w:p w14:paraId="7A93C646">
      <w:pPr>
        <w:numPr>
          <w:ilvl w:val="0"/>
          <w:numId w:val="9"/>
        </w:numPr>
        <w:kinsoku w:val="0"/>
        <w:wordWrap w:val="0"/>
        <w:topLinePunct/>
        <w:spacing w:line="340" w:lineRule="exact"/>
        <w:rPr>
          <w:rFonts w:hint="eastAsia" w:ascii="仿宋_GB2312" w:hAnsi="仿宋" w:cs="仿宋"/>
          <w:b/>
          <w:sz w:val="21"/>
        </w:rPr>
      </w:pPr>
      <w:r>
        <w:rPr>
          <w:rFonts w:hint="eastAsia" w:ascii="仿宋_GB2312" w:hAnsi="仿宋" w:cs="仿宋"/>
          <w:b/>
          <w:sz w:val="21"/>
        </w:rPr>
        <w:t>服务类项目要求及供方对质量负责的条件和期限：</w:t>
      </w:r>
    </w:p>
    <w:p w14:paraId="122A589A">
      <w:pPr>
        <w:spacing w:line="360" w:lineRule="auto"/>
        <w:ind w:firstLine="262" w:firstLineChars="100"/>
        <w:rPr>
          <w:rFonts w:hint="eastAsia" w:ascii="仿宋_GB2312" w:hAnsi="仿宋" w:cs="仿宋"/>
          <w:b/>
          <w:bCs/>
          <w:sz w:val="21"/>
          <w:szCs w:val="21"/>
        </w:rPr>
      </w:pPr>
      <w:r>
        <w:rPr>
          <w:rFonts w:hint="eastAsia" w:ascii="仿宋_GB2312" w:hAnsi="仿宋" w:cs="仿宋"/>
          <w:b/>
          <w:sz w:val="21"/>
          <w:szCs w:val="21"/>
        </w:rPr>
        <w:t xml:space="preserve">（一）  </w:t>
      </w:r>
      <w:r>
        <w:rPr>
          <w:rFonts w:hint="eastAsia" w:ascii="仿宋_GB2312" w:hAnsi="仿宋" w:cs="仿宋"/>
          <w:b/>
          <w:bCs/>
          <w:sz w:val="21"/>
          <w:szCs w:val="21"/>
        </w:rPr>
        <w:t>服务内容：</w:t>
      </w:r>
    </w:p>
    <w:p w14:paraId="7D95D872">
      <w:pPr>
        <w:spacing w:line="360" w:lineRule="auto"/>
        <w:rPr>
          <w:rFonts w:hint="eastAsia" w:ascii="仿宋_GB2312" w:hAnsi="仿宋"/>
          <w:sz w:val="21"/>
          <w:szCs w:val="21"/>
        </w:rPr>
      </w:pPr>
      <w:r>
        <w:rPr>
          <w:rFonts w:hint="eastAsia" w:ascii="仿宋_GB2312" w:hAnsi="仿宋"/>
          <w:sz w:val="21"/>
          <w:szCs w:val="21"/>
        </w:rPr>
        <w:t xml:space="preserve">1、完成270例人血清样本DIA蛋白组学检测服务，所用仪器为高分辨质谱仪（如Thermo Scientific Orbitrap Astral或同等性能设备）。质谱实验分析流程主要包括蛋白质提取、肽段酶解、液相色谱-串联质谱（LC-MS/MS）DIA数据采集、数据库检索、质控分析和定性定量结果分析及生物信息学分析。 </w:t>
      </w:r>
    </w:p>
    <w:p w14:paraId="789D78B5">
      <w:pPr>
        <w:spacing w:line="360" w:lineRule="auto"/>
        <w:ind w:left="-664" w:leftChars="-200" w:firstLine="786" w:firstLineChars="300"/>
        <w:outlineLvl w:val="1"/>
        <w:rPr>
          <w:rFonts w:hint="eastAsia" w:ascii="仿宋_GB2312" w:hAnsi="仿宋"/>
          <w:sz w:val="21"/>
          <w:szCs w:val="21"/>
        </w:rPr>
      </w:pPr>
      <w:r>
        <w:rPr>
          <w:rFonts w:hint="eastAsia" w:ascii="仿宋_GB2312" w:hAnsi="仿宋"/>
          <w:sz w:val="21"/>
          <w:szCs w:val="21"/>
        </w:rPr>
        <w:t xml:space="preserve">2、服务流程： </w:t>
      </w:r>
    </w:p>
    <w:p w14:paraId="4C2CBC27">
      <w:pPr>
        <w:spacing w:line="360" w:lineRule="auto"/>
        <w:rPr>
          <w:rFonts w:hint="eastAsia" w:ascii="仿宋_GB2312" w:hAnsi="仿宋"/>
          <w:sz w:val="21"/>
          <w:szCs w:val="21"/>
        </w:rPr>
      </w:pPr>
      <w:r>
        <w:rPr>
          <w:rFonts w:hint="eastAsia" w:ascii="仿宋_GB2312" w:hAnsi="仿宋"/>
          <w:sz w:val="21"/>
          <w:szCs w:val="21"/>
        </w:rPr>
        <w:t xml:space="preserve">（1）样本处理与肽段酶解：加入适量的专业裂解液提取蛋白并进行蛋白定量。所有样品（包括混合Pool样品）采用标准蛋白质前处理方法进行酶解。酶解后的样品肽段进行脱盐和冻干，复溶后测定样品的肽段浓度。 </w:t>
      </w:r>
    </w:p>
    <w:p w14:paraId="6B3AFC82">
      <w:pPr>
        <w:spacing w:line="360" w:lineRule="auto"/>
        <w:rPr>
          <w:rFonts w:hint="eastAsia" w:ascii="仿宋_GB2312" w:hAnsi="仿宋"/>
          <w:sz w:val="21"/>
          <w:szCs w:val="21"/>
        </w:rPr>
      </w:pPr>
      <w:r>
        <w:rPr>
          <w:rFonts w:hint="eastAsia" w:ascii="仿宋_GB2312" w:hAnsi="仿宋"/>
          <w:sz w:val="21"/>
          <w:szCs w:val="21"/>
        </w:rPr>
        <w:t xml:space="preserve">（2）色谱/质谱检测：每个样品的酶解肽段中分别加入适量标准肽段（如iRT等），使用纳升流速高效液相色谱及高分辨质谱仪进行DIA（数据非依赖采集）质谱检测，设定合理的一级质谱分辨率和碎片离子扫描参数。 </w:t>
      </w:r>
    </w:p>
    <w:p w14:paraId="50F5E6FC">
      <w:pPr>
        <w:spacing w:line="360" w:lineRule="auto"/>
        <w:rPr>
          <w:rFonts w:hint="eastAsia" w:ascii="仿宋_GB2312" w:hAnsi="仿宋"/>
          <w:sz w:val="21"/>
          <w:szCs w:val="21"/>
        </w:rPr>
      </w:pPr>
      <w:r>
        <w:rPr>
          <w:rFonts w:hint="eastAsia" w:ascii="仿宋_GB2312" w:hAnsi="仿宋"/>
          <w:sz w:val="21"/>
          <w:szCs w:val="21"/>
        </w:rPr>
        <w:t xml:space="preserve">（3）数据分析：DIA数据采用专业检索软件进行数据处理。设定常规的固定修饰和动态修饰，数据库检索鉴定到的蛋白必须通过设定的过滤参数（如FDR＜1%）。 </w:t>
      </w:r>
    </w:p>
    <w:p w14:paraId="04AB30C9">
      <w:pPr>
        <w:spacing w:line="360" w:lineRule="auto"/>
        <w:rPr>
          <w:rFonts w:hint="eastAsia" w:ascii="仿宋_GB2312" w:hAnsi="仿宋"/>
          <w:sz w:val="21"/>
          <w:szCs w:val="21"/>
        </w:rPr>
      </w:pPr>
      <w:r>
        <w:rPr>
          <w:rFonts w:hint="eastAsia" w:ascii="仿宋_GB2312" w:hAnsi="仿宋"/>
          <w:sz w:val="21"/>
          <w:szCs w:val="21"/>
        </w:rPr>
        <w:t>（4）生物信息分析内容： a) 蛋白鉴定和定量分析：提供PCA分析、韦恩分析、皮尔森相关性、RSD分析等； b) 蛋白差异表达分析：提供差异蛋白火山图、箱线图、雷达图、层次聚类分析、多组趋势聚类(Mfuzzy)分析等； c) 高级功能分析：亚细胞定位分析、蛋白结构域、GO/KEGG/Reactome/Wikipathways/GSEA注释及富集分析、转录因子、激酶分析、蛋白互作分析、WGCNA分析等。</w:t>
      </w:r>
    </w:p>
    <w:p w14:paraId="367B3D53">
      <w:pPr>
        <w:tabs>
          <w:tab w:val="left" w:pos="0"/>
        </w:tabs>
        <w:kinsoku w:val="0"/>
        <w:wordWrap w:val="0"/>
        <w:topLinePunct/>
        <w:spacing w:line="340" w:lineRule="exact"/>
        <w:ind w:left="498"/>
        <w:rPr>
          <w:rFonts w:hint="eastAsia" w:ascii="仿宋_GB2312" w:hAnsi="仿宋" w:cs="仿宋"/>
          <w:sz w:val="21"/>
          <w:szCs w:val="21"/>
        </w:rPr>
      </w:pPr>
    </w:p>
    <w:p w14:paraId="30EC7CBC">
      <w:pPr>
        <w:numPr>
          <w:ilvl w:val="0"/>
          <w:numId w:val="10"/>
        </w:numPr>
        <w:spacing w:line="360" w:lineRule="auto"/>
        <w:ind w:firstLine="262" w:firstLineChars="100"/>
        <w:rPr>
          <w:rFonts w:hint="eastAsia" w:ascii="仿宋_GB2312" w:hAnsi="仿宋" w:cs="仿宋"/>
          <w:b/>
          <w:bCs/>
          <w:sz w:val="21"/>
          <w:szCs w:val="21"/>
        </w:rPr>
      </w:pPr>
      <w:r>
        <w:rPr>
          <w:rFonts w:hint="eastAsia" w:ascii="仿宋_GB2312" w:hAnsi="仿宋" w:cs="仿宋"/>
          <w:b/>
          <w:bCs/>
          <w:sz w:val="21"/>
          <w:szCs w:val="21"/>
        </w:rPr>
        <w:t>质量要求、技术标准：</w:t>
      </w:r>
    </w:p>
    <w:p w14:paraId="7B79FB21">
      <w:pPr>
        <w:spacing w:line="360" w:lineRule="auto"/>
        <w:rPr>
          <w:rFonts w:hint="eastAsia" w:ascii="仿宋_GB2312" w:hAnsi="仿宋"/>
          <w:sz w:val="21"/>
          <w:szCs w:val="21"/>
        </w:rPr>
      </w:pPr>
      <w:r>
        <w:rPr>
          <w:rFonts w:hint="eastAsia" w:ascii="仿宋_GB2312" w:hAnsi="仿宋"/>
          <w:sz w:val="21"/>
          <w:szCs w:val="21"/>
        </w:rPr>
        <w:t>1、为监测和评价系统的稳定性及实验数据的可靠性，在样本队列中每间隔一定数量的样本插入一个QC样本(一般为所有样本的混样)，并对整个实验过程中插入的各QC样本的数据一致性进行评价。主要采用变异系数(CV)、主成分分析(PCA)和Pearson相关性分析来评估QC的质量</w:t>
      </w:r>
    </w:p>
    <w:p w14:paraId="11A42218">
      <w:pPr>
        <w:spacing w:line="360" w:lineRule="auto"/>
        <w:rPr>
          <w:rFonts w:hint="eastAsia" w:ascii="仿宋_GB2312" w:hAnsi="仿宋"/>
          <w:sz w:val="21"/>
          <w:szCs w:val="21"/>
        </w:rPr>
      </w:pPr>
      <w:r>
        <w:rPr>
          <w:rFonts w:hint="eastAsia" w:ascii="仿宋_GB2312" w:hAnsi="仿宋"/>
          <w:sz w:val="21"/>
          <w:szCs w:val="21"/>
        </w:rPr>
        <w:t>2、对不同组别之间的样本进行鉴定数量统计，反映组间样本鉴定数量是否有明显的差别，以箱线图形式进行展示;使用内标校正肽段(本项目使用iRTKit)，iRT的保留时间可用于对各样本间的数据进行对齐校正，进行各个样品LC-MS/MS原始数据的对比分析。半峰全宽(FWHM)，应无太大波动。</w:t>
      </w:r>
    </w:p>
    <w:p w14:paraId="60BCA4FE">
      <w:pPr>
        <w:spacing w:line="360" w:lineRule="auto"/>
        <w:rPr>
          <w:rFonts w:hint="eastAsia" w:ascii="仿宋_GB2312" w:hAnsi="仿宋"/>
          <w:sz w:val="21"/>
          <w:szCs w:val="21"/>
        </w:rPr>
      </w:pPr>
      <w:r>
        <w:rPr>
          <w:rFonts w:hint="eastAsia" w:ascii="仿宋_GB2312" w:hAnsi="仿宋"/>
          <w:sz w:val="21"/>
          <w:szCs w:val="21"/>
        </w:rPr>
        <w:t>3、必须有完善的培训体系和质量管理体系，对技术人员的操作严格要求，以保障检测服务达到要求。</w:t>
      </w:r>
    </w:p>
    <w:p w14:paraId="40129FE8">
      <w:pPr>
        <w:spacing w:line="360" w:lineRule="auto"/>
        <w:rPr>
          <w:rFonts w:hint="eastAsia" w:ascii="仿宋_GB2312" w:hAnsi="仿宋"/>
          <w:sz w:val="21"/>
          <w:szCs w:val="21"/>
        </w:rPr>
      </w:pPr>
      <w:r>
        <w:rPr>
          <w:rFonts w:hint="eastAsia" w:ascii="仿宋_GB2312" w:hAnsi="仿宋"/>
          <w:sz w:val="21"/>
          <w:szCs w:val="21"/>
        </w:rPr>
        <w:t>4、专业的技术支持，辅助设计实验方案，提供及时的项目进展汇报。</w:t>
      </w:r>
    </w:p>
    <w:p w14:paraId="258D55E2">
      <w:pPr>
        <w:spacing w:line="360" w:lineRule="auto"/>
        <w:rPr>
          <w:rFonts w:hint="eastAsia" w:ascii="仿宋_GB2312" w:hAnsi="仿宋"/>
          <w:sz w:val="21"/>
          <w:szCs w:val="21"/>
        </w:rPr>
      </w:pPr>
      <w:r>
        <w:rPr>
          <w:rFonts w:hint="eastAsia" w:ascii="仿宋_GB2312" w:hAnsi="仿宋"/>
          <w:sz w:val="21"/>
          <w:szCs w:val="21"/>
        </w:rPr>
        <w:t>5、课题交付验收后可免费提供工作时间的售后服务和技术支持，免费进行疑难解答。</w:t>
      </w:r>
    </w:p>
    <w:p w14:paraId="3A248755">
      <w:pPr>
        <w:numPr>
          <w:ilvl w:val="0"/>
          <w:numId w:val="10"/>
        </w:numPr>
        <w:spacing w:line="360" w:lineRule="auto"/>
        <w:ind w:firstLine="262" w:firstLineChars="100"/>
        <w:rPr>
          <w:rFonts w:hint="eastAsia" w:ascii="仿宋_GB2312" w:hAnsi="仿宋" w:cs="仿宋"/>
          <w:b/>
          <w:bCs/>
          <w:sz w:val="21"/>
          <w:szCs w:val="21"/>
          <w:highlight w:val="none"/>
        </w:rPr>
      </w:pPr>
      <w:r>
        <w:rPr>
          <w:rFonts w:hint="eastAsia" w:ascii="仿宋_GB2312" w:hAnsi="仿宋" w:cs="仿宋"/>
          <w:b/>
          <w:bCs/>
          <w:sz w:val="21"/>
          <w:szCs w:val="21"/>
          <w:highlight w:val="none"/>
        </w:rPr>
        <w:t>服务期限要求：</w:t>
      </w:r>
    </w:p>
    <w:p w14:paraId="2668A59E">
      <w:pPr>
        <w:spacing w:line="360" w:lineRule="auto"/>
        <w:ind w:firstLine="524" w:firstLineChars="200"/>
        <w:rPr>
          <w:rFonts w:hint="eastAsia" w:ascii="仿宋_GB2312" w:hAnsi="仿宋" w:cs="仿宋"/>
          <w:sz w:val="21"/>
          <w:szCs w:val="21"/>
          <w:highlight w:val="none"/>
        </w:rPr>
      </w:pPr>
      <w:r>
        <w:rPr>
          <w:rFonts w:hint="eastAsia" w:ascii="仿宋_GB2312" w:hAnsi="仿宋" w:cs="仿宋"/>
          <w:sz w:val="21"/>
          <w:szCs w:val="21"/>
          <w:highlight w:val="none"/>
        </w:rPr>
        <w:t>乙方自收到甲方提供的全部合格样本之日起，须在</w:t>
      </w:r>
      <w:r>
        <w:rPr>
          <w:rFonts w:hint="eastAsia" w:ascii="仿宋_GB2312" w:hAnsi="仿宋" w:cs="仿宋"/>
          <w:sz w:val="21"/>
          <w:szCs w:val="21"/>
          <w:highlight w:val="none"/>
          <w:u w:val="single"/>
        </w:rPr>
        <w:t>60</w:t>
      </w:r>
      <w:r>
        <w:rPr>
          <w:rFonts w:hint="eastAsia" w:ascii="仿宋_GB2312" w:hAnsi="仿宋" w:cs="仿宋"/>
          <w:sz w:val="21"/>
          <w:szCs w:val="21"/>
          <w:highlight w:val="none"/>
        </w:rPr>
        <w:t>个自然日内完成全部270例样本的DIA蛋白组学检测、生物信息学分析，并向甲方交付全部成果及原始数据。</w:t>
      </w:r>
    </w:p>
    <w:p w14:paraId="17A65ACB">
      <w:pPr>
        <w:spacing w:line="360" w:lineRule="auto"/>
        <w:ind w:firstLine="524" w:firstLineChars="200"/>
        <w:rPr>
          <w:rFonts w:hint="eastAsia" w:ascii="仿宋_GB2312" w:hAnsi="仿宋" w:cs="仿宋"/>
          <w:sz w:val="21"/>
          <w:szCs w:val="21"/>
        </w:rPr>
      </w:pPr>
    </w:p>
    <w:p w14:paraId="63F5E0A8">
      <w:pPr>
        <w:spacing w:line="360" w:lineRule="auto"/>
        <w:ind w:left="-664" w:leftChars="-200" w:firstLine="524" w:firstLineChars="200"/>
        <w:rPr>
          <w:rFonts w:hint="eastAsia" w:ascii="仿宋_GB2312" w:hAnsi="仿宋" w:cs="仿宋"/>
          <w:b/>
          <w:bCs/>
          <w:sz w:val="21"/>
          <w:szCs w:val="21"/>
        </w:rPr>
      </w:pPr>
      <w:r>
        <w:rPr>
          <w:rFonts w:hint="eastAsia" w:ascii="仿宋_GB2312" w:hAnsi="仿宋" w:cs="仿宋"/>
          <w:b/>
          <w:bCs/>
          <w:sz w:val="21"/>
          <w:szCs w:val="21"/>
        </w:rPr>
        <w:t>四．验收方式、标准及提出异议期限：</w:t>
      </w:r>
    </w:p>
    <w:p w14:paraId="6AB86EBC">
      <w:pPr>
        <w:tabs>
          <w:tab w:val="left" w:pos="720"/>
        </w:tabs>
        <w:spacing w:line="360" w:lineRule="auto"/>
        <w:rPr>
          <w:rFonts w:hint="eastAsia" w:ascii="仿宋_GB2312" w:hAnsi="仿宋"/>
          <w:sz w:val="21"/>
          <w:szCs w:val="21"/>
          <w:highlight w:val="none"/>
        </w:rPr>
      </w:pPr>
      <w:bookmarkStart w:id="0" w:name="_Hlk229389677"/>
      <w:r>
        <w:rPr>
          <w:rFonts w:hint="eastAsia" w:ascii="仿宋_GB2312" w:hAnsi="仿宋"/>
          <w:sz w:val="21"/>
          <w:szCs w:val="21"/>
          <w:highlight w:val="none"/>
        </w:rPr>
        <w:t>1、</w:t>
      </w:r>
      <w:r>
        <w:rPr>
          <w:rFonts w:ascii="仿宋_GB2312" w:hAnsi="仿宋"/>
          <w:sz w:val="21"/>
          <w:szCs w:val="21"/>
          <w:highlight w:val="none"/>
        </w:rPr>
        <w:t>验收标准：一次性验收合格。包括：</w:t>
      </w:r>
    </w:p>
    <w:p w14:paraId="407D1D1B">
      <w:pPr>
        <w:spacing w:line="360" w:lineRule="auto"/>
        <w:rPr>
          <w:rFonts w:hint="eastAsia" w:ascii="仿宋_GB2312" w:hAnsi="仿宋"/>
          <w:sz w:val="21"/>
          <w:szCs w:val="21"/>
          <w:highlight w:val="none"/>
        </w:rPr>
      </w:pPr>
      <w:r>
        <w:rPr>
          <w:rFonts w:ascii="仿宋_GB2312" w:hAnsi="仿宋"/>
          <w:sz w:val="21"/>
          <w:szCs w:val="21"/>
          <w:highlight w:val="none"/>
        </w:rPr>
        <w:t>数据完整性：270例样本的原始数据、搜库结果、定量矩阵均交付完整无遗漏；</w:t>
      </w:r>
    </w:p>
    <w:p w14:paraId="1AD2637C">
      <w:pPr>
        <w:spacing w:line="360" w:lineRule="auto"/>
        <w:rPr>
          <w:rFonts w:hint="eastAsia" w:ascii="仿宋_GB2312" w:hAnsi="仿宋"/>
          <w:sz w:val="21"/>
          <w:szCs w:val="21"/>
          <w:highlight w:val="none"/>
        </w:rPr>
      </w:pPr>
      <w:r>
        <w:rPr>
          <w:rFonts w:ascii="仿宋_GB2312" w:hAnsi="仿宋"/>
          <w:sz w:val="21"/>
          <w:szCs w:val="21"/>
          <w:highlight w:val="none"/>
        </w:rPr>
        <w:t>质量达标性：所有QC样本的CV值、PCA分析、Pearson相关性、FDR控制、iRT保留时间对齐等指标，符合招标文件第三部分"质量要求、技术标准"的规定；</w:t>
      </w:r>
    </w:p>
    <w:p w14:paraId="143F5B40">
      <w:pPr>
        <w:spacing w:line="360" w:lineRule="auto"/>
        <w:rPr>
          <w:rFonts w:hint="eastAsia" w:ascii="仿宋_GB2312" w:hAnsi="仿宋"/>
          <w:sz w:val="21"/>
          <w:szCs w:val="21"/>
          <w:highlight w:val="none"/>
        </w:rPr>
      </w:pPr>
      <w:r>
        <w:rPr>
          <w:rFonts w:ascii="仿宋_GB2312" w:hAnsi="仿宋"/>
          <w:sz w:val="21"/>
          <w:szCs w:val="21"/>
          <w:highlight w:val="none"/>
        </w:rPr>
        <w:t>分析成果完整性：招标文件要求的全部生物信息学分析内容（PCA、火山图、聚类分析、GO/KEGG富集、蛋白互作网络等）均已按要求完成交付。</w:t>
      </w:r>
    </w:p>
    <w:p w14:paraId="5D9C5980">
      <w:pPr>
        <w:spacing w:line="360" w:lineRule="auto"/>
        <w:rPr>
          <w:rFonts w:hint="eastAsia" w:ascii="仿宋_GB2312" w:hAnsi="仿宋"/>
          <w:sz w:val="21"/>
          <w:szCs w:val="21"/>
        </w:rPr>
      </w:pPr>
      <w:r>
        <w:rPr>
          <w:rFonts w:hint="eastAsia" w:ascii="仿宋_GB2312" w:hAnsi="仿宋"/>
          <w:sz w:val="21"/>
          <w:szCs w:val="21"/>
        </w:rPr>
        <w:t>2、</w:t>
      </w:r>
      <w:r>
        <w:rPr>
          <w:rFonts w:ascii="仿宋_GB2312" w:hAnsi="仿宋"/>
          <w:sz w:val="21"/>
          <w:szCs w:val="21"/>
        </w:rPr>
        <w:t>异议期限：甲方在收到全部最终交付成果后，如有异议，需在14个工作日内向乙方提出书面异议。若甲方在上述期限内未提出书面异议，则视为验收合格，甲方应按第五条约定的时间支付余款。验收不合格的，甲方有权要求乙方限期补正或按违约条款追究责任。</w:t>
      </w:r>
    </w:p>
    <w:bookmarkEnd w:id="0"/>
    <w:p w14:paraId="522266A1">
      <w:pPr>
        <w:spacing w:line="360" w:lineRule="auto"/>
        <w:rPr>
          <w:rFonts w:hint="eastAsia" w:ascii="仿宋_GB2312" w:hAnsi="仿宋"/>
          <w:sz w:val="21"/>
          <w:szCs w:val="21"/>
        </w:rPr>
      </w:pPr>
      <w:r>
        <w:rPr>
          <w:rFonts w:hint="eastAsia" w:ascii="仿宋_GB2312" w:hAnsi="仿宋"/>
          <w:sz w:val="21"/>
          <w:szCs w:val="21"/>
        </w:rPr>
        <w:t>3、数据保存：乙方在交付最终数据后继续为甲方免费保存原始数据，保存最长不超过3个月。自项目结题之日起满6个月，甲方仍未按照本合同约定的时间结清款项的，乙方有权自行对原始数据进行销毁等处置，届时将由甲方自行承担数据丢失、损毁的全部后果和责任。</w:t>
      </w:r>
    </w:p>
    <w:p w14:paraId="0CC8143F">
      <w:pPr>
        <w:spacing w:line="360" w:lineRule="auto"/>
        <w:rPr>
          <w:rFonts w:hint="eastAsia" w:ascii="仿宋_GB2312" w:hAnsi="仿宋"/>
          <w:sz w:val="21"/>
          <w:szCs w:val="21"/>
        </w:rPr>
      </w:pPr>
      <w:r>
        <w:rPr>
          <w:rFonts w:hint="eastAsia" w:ascii="仿宋_GB2312" w:hAnsi="仿宋"/>
          <w:sz w:val="21"/>
          <w:szCs w:val="21"/>
        </w:rPr>
        <w:t>4、样本保存及返样：</w:t>
      </w:r>
      <w:r>
        <w:rPr>
          <w:rFonts w:ascii="仿宋_GB2312" w:hAnsi="仿宋"/>
          <w:sz w:val="21"/>
          <w:szCs w:val="21"/>
        </w:rPr>
        <w:t>中标方须对采购人提供的全部血清样本建立规范化管理台账，完整记录样本从接收到返还全过程的流转信息。样本应保存于满足生物样本长期稳定存储要求的超低温环境（如-80℃），并配备温度实时监控与报警装置，确保保存期间样本不发生反复冻融或降解。项目检测完成后，中标方须在10个工作日内将剩余全部样本（含备份样）通过干冰冷链等方式无偿返还采购人，运输所需条件及费用由中标方承担，同时一并提供样本流转记录及保存期间的温度监控数据。若采购方提出继续保存样本的需求，双方可另行协商保存期限与条件并签订补充协议。</w:t>
      </w:r>
    </w:p>
    <w:p w14:paraId="72BD5B9F">
      <w:pPr>
        <w:spacing w:line="360" w:lineRule="auto"/>
        <w:rPr>
          <w:rFonts w:hint="eastAsia" w:ascii="仿宋_GB2312" w:hAnsi="仿宋"/>
          <w:sz w:val="21"/>
          <w:szCs w:val="21"/>
        </w:rPr>
      </w:pPr>
      <w:r>
        <w:rPr>
          <w:rFonts w:hint="eastAsia" w:ascii="仿宋_GB2312" w:hAnsi="仿宋"/>
          <w:sz w:val="21"/>
          <w:szCs w:val="21"/>
        </w:rPr>
        <w:t>:</w:t>
      </w:r>
    </w:p>
    <w:p w14:paraId="6570DF71">
      <w:pPr>
        <w:spacing w:line="360" w:lineRule="auto"/>
        <w:ind w:left="524" w:hanging="524" w:hangingChars="200"/>
        <w:rPr>
          <w:rFonts w:hint="eastAsia" w:ascii="仿宋_GB2312" w:hAnsi="仿宋" w:cs="仿宋"/>
          <w:b/>
          <w:bCs/>
          <w:sz w:val="21"/>
          <w:szCs w:val="21"/>
          <w:highlight w:val="none"/>
        </w:rPr>
      </w:pPr>
      <w:r>
        <w:rPr>
          <w:rFonts w:hint="eastAsia" w:ascii="仿宋_GB2312" w:hAnsi="仿宋" w:cs="仿宋"/>
          <w:b/>
          <w:bCs/>
          <w:sz w:val="21"/>
          <w:szCs w:val="21"/>
          <w:highlight w:val="none"/>
        </w:rPr>
        <w:t>五、结算方式：</w:t>
      </w:r>
    </w:p>
    <w:p w14:paraId="3638D57B">
      <w:pPr>
        <w:spacing w:line="360" w:lineRule="auto"/>
        <w:rPr>
          <w:rFonts w:hint="eastAsia" w:ascii="仿宋_GB2312" w:hAnsi="仿宋"/>
          <w:sz w:val="21"/>
          <w:szCs w:val="21"/>
          <w:highlight w:val="none"/>
        </w:rPr>
      </w:pPr>
      <w:r>
        <w:rPr>
          <w:rFonts w:hint="eastAsia" w:ascii="仿宋_GB2312" w:hAnsi="仿宋"/>
          <w:sz w:val="21"/>
          <w:szCs w:val="21"/>
          <w:highlight w:val="none"/>
        </w:rPr>
        <w:t>1、在合同生效后20个工作日内，甲方凭乙方开具的增值税专用发票向乙方支付合同总额30%的款项，作为项目启动预付款。</w:t>
      </w:r>
    </w:p>
    <w:p w14:paraId="3D62AAF2">
      <w:pPr>
        <w:spacing w:line="360" w:lineRule="auto"/>
        <w:rPr>
          <w:rFonts w:hint="eastAsia" w:ascii="仿宋_GB2312" w:hAnsi="仿宋"/>
          <w:sz w:val="21"/>
          <w:szCs w:val="21"/>
          <w:highlight w:val="none"/>
        </w:rPr>
      </w:pPr>
      <w:r>
        <w:rPr>
          <w:rFonts w:hint="eastAsia" w:ascii="仿宋_GB2312" w:hAnsi="仿宋"/>
          <w:sz w:val="21"/>
          <w:szCs w:val="21"/>
          <w:highlight w:val="none"/>
        </w:rPr>
        <w:t>2、全部余款支付条件：乙方完成全部270例样本的DIA蛋白组学检测及生物信息学分析，向甲方完整交付招标文件第二部分第四条所列全部数据、图表及分析报告。甲方按照第四条约定的验收标准组织验收并出具书面验收合格确认后，凭乙方开具的增值税专用发票，在20个工作日内向乙方支付合同总额70%的剩余款项。</w:t>
      </w:r>
    </w:p>
    <w:p w14:paraId="0D44E8E6">
      <w:pPr>
        <w:spacing w:line="360" w:lineRule="auto"/>
        <w:rPr>
          <w:rFonts w:hint="eastAsia" w:ascii="仿宋_GB2312" w:hAnsi="仿宋"/>
          <w:sz w:val="21"/>
          <w:szCs w:val="21"/>
          <w:highlight w:val="none"/>
        </w:rPr>
      </w:pPr>
      <w:r>
        <w:rPr>
          <w:rFonts w:hint="eastAsia" w:ascii="仿宋_GB2312" w:hAnsi="仿宋"/>
          <w:sz w:val="21"/>
          <w:szCs w:val="21"/>
          <w:highlight w:val="none"/>
        </w:rPr>
        <w:t>3、未通过验收的处理：若最终交付成果未通过验收，根据第六条（乙方责任）的约定处理。在验收合格之前，甲方有权暂停支付剩余全部款项。</w:t>
      </w:r>
    </w:p>
    <w:p w14:paraId="27A77102">
      <w:pPr>
        <w:spacing w:line="360" w:lineRule="auto"/>
        <w:rPr>
          <w:rFonts w:hint="eastAsia" w:ascii="仿宋_GB2312" w:hAnsi="仿宋"/>
          <w:sz w:val="21"/>
          <w:szCs w:val="21"/>
        </w:rPr>
      </w:pPr>
    </w:p>
    <w:p w14:paraId="5DA72F12">
      <w:pPr>
        <w:spacing w:line="360" w:lineRule="auto"/>
        <w:rPr>
          <w:rFonts w:hint="eastAsia" w:ascii="仿宋_GB2312" w:hAnsi="仿宋" w:cs="仿宋"/>
          <w:sz w:val="21"/>
          <w:szCs w:val="21"/>
        </w:rPr>
      </w:pPr>
      <w:r>
        <w:rPr>
          <w:rFonts w:hint="eastAsia" w:ascii="仿宋_GB2312" w:hAnsi="仿宋" w:cs="仿宋"/>
          <w:sz w:val="21"/>
          <w:szCs w:val="21"/>
        </w:rPr>
        <w:t>六、</w:t>
      </w:r>
      <w:r>
        <w:rPr>
          <w:rFonts w:hint="eastAsia" w:ascii="仿宋_GB2312" w:hAnsi="仿宋"/>
          <w:b/>
          <w:bCs/>
          <w:sz w:val="21"/>
          <w:szCs w:val="21"/>
        </w:rPr>
        <w:t>双方责任与违约条款</w:t>
      </w:r>
      <w:r>
        <w:rPr>
          <w:rFonts w:hint="eastAsia" w:ascii="仿宋_GB2312" w:hAnsi="仿宋" w:cs="仿宋"/>
          <w:b/>
          <w:bCs/>
          <w:sz w:val="21"/>
          <w:szCs w:val="21"/>
        </w:rPr>
        <w:t>：</w:t>
      </w:r>
      <w:r>
        <w:rPr>
          <w:rFonts w:hint="eastAsia" w:ascii="仿宋_GB2312" w:hAnsi="仿宋" w:cs="仿宋"/>
          <w:sz w:val="21"/>
          <w:szCs w:val="21"/>
        </w:rPr>
        <w:t xml:space="preserve"> </w:t>
      </w:r>
    </w:p>
    <w:p w14:paraId="71C59B1B">
      <w:pPr>
        <w:spacing w:line="360" w:lineRule="auto"/>
        <w:rPr>
          <w:rFonts w:hint="eastAsia" w:ascii="仿宋_GB2312" w:hAnsi="仿宋" w:cs="仿宋"/>
          <w:sz w:val="21"/>
          <w:szCs w:val="21"/>
        </w:rPr>
      </w:pPr>
      <w:r>
        <w:rPr>
          <w:rFonts w:hint="eastAsia" w:ascii="仿宋_GB2312" w:hAnsi="仿宋" w:cs="仿宋"/>
          <w:sz w:val="21"/>
          <w:szCs w:val="21"/>
        </w:rPr>
        <w:t xml:space="preserve">（一）甲方责任 </w:t>
      </w:r>
    </w:p>
    <w:p w14:paraId="44DC4548">
      <w:pPr>
        <w:spacing w:line="360" w:lineRule="auto"/>
        <w:rPr>
          <w:rFonts w:hint="eastAsia" w:ascii="仿宋_GB2312" w:hAnsi="仿宋" w:cs="仿宋"/>
          <w:sz w:val="21"/>
          <w:szCs w:val="21"/>
        </w:rPr>
      </w:pPr>
      <w:r>
        <w:rPr>
          <w:rFonts w:hint="eastAsia" w:ascii="仿宋_GB2312" w:hAnsi="仿宋" w:cs="仿宋"/>
          <w:sz w:val="21"/>
          <w:szCs w:val="21"/>
        </w:rPr>
        <w:t>1、甲方迟延提供、不能或不提供本合同中约定的样品材料等，导致项目或合同中止或终止时，甲方应支付乙方实际发生的费用。 2、甲方若以本合同项下产生或乙方向甲方交付的成果为基础而进行后续利用或开发，该等行为或活动均与乙方无关。</w:t>
      </w:r>
    </w:p>
    <w:p w14:paraId="515AB957">
      <w:pPr>
        <w:spacing w:line="360" w:lineRule="auto"/>
        <w:rPr>
          <w:rFonts w:hint="eastAsia" w:ascii="仿宋_GB2312" w:hAnsi="仿宋" w:cs="仿宋"/>
          <w:sz w:val="21"/>
          <w:szCs w:val="21"/>
        </w:rPr>
      </w:pPr>
    </w:p>
    <w:p w14:paraId="208524CF">
      <w:pPr>
        <w:spacing w:line="360" w:lineRule="auto"/>
        <w:rPr>
          <w:rFonts w:hint="eastAsia" w:ascii="仿宋_GB2312" w:hAnsi="仿宋" w:cs="仿宋"/>
          <w:sz w:val="21"/>
          <w:szCs w:val="21"/>
          <w:highlight w:val="none"/>
        </w:rPr>
      </w:pPr>
      <w:r>
        <w:rPr>
          <w:rFonts w:hint="eastAsia" w:ascii="仿宋_GB2312" w:hAnsi="仿宋" w:cs="仿宋"/>
          <w:sz w:val="21"/>
          <w:szCs w:val="21"/>
          <w:highlight w:val="none"/>
        </w:rPr>
        <w:t xml:space="preserve">（二）乙方责任 </w:t>
      </w:r>
    </w:p>
    <w:p w14:paraId="2EE1E9C0">
      <w:pPr>
        <w:spacing w:line="360" w:lineRule="auto"/>
        <w:rPr>
          <w:rFonts w:hint="eastAsia" w:ascii="仿宋_GB2312" w:hAnsi="仿宋" w:cs="仿宋"/>
          <w:sz w:val="21"/>
          <w:szCs w:val="21"/>
          <w:highlight w:val="none"/>
        </w:rPr>
      </w:pPr>
      <w:r>
        <w:rPr>
          <w:rFonts w:hint="eastAsia" w:ascii="仿宋_GB2312" w:hAnsi="仿宋" w:cs="仿宋"/>
          <w:sz w:val="21"/>
          <w:szCs w:val="21"/>
          <w:highlight w:val="none"/>
        </w:rPr>
        <w:t>1、如因乙方过错导致项目迟延交付，每迟延一周，甲方有权扣除合同总金额的1%作为违约金（不超过合同总额的10%）。迟延超过45天的，甲方有权单方解除合同，乙方除全额退还已支付全部款项外，还应支付合同总额20%的惩罚性违约金。 2、</w:t>
      </w:r>
      <w:r>
        <w:rPr>
          <w:rFonts w:ascii="仿宋_GB2312" w:hAnsi="仿宋" w:cs="仿宋"/>
          <w:sz w:val="21"/>
          <w:szCs w:val="21"/>
          <w:highlight w:val="none"/>
        </w:rPr>
        <w:t>如最终交付成果未通过甲方验收（含追溯发现），乙方应免费重新提供服务直至合格；若乙方在30日内仍无法交付合格成果，甲方有权解除合同，乙方应全额退回已支付款项，并支付合同总金额的20%作为惩罚性违约金。</w:t>
      </w:r>
      <w:r>
        <w:rPr>
          <w:rFonts w:hint="eastAsia" w:ascii="仿宋_GB2312" w:hAnsi="仿宋" w:cs="仿宋"/>
          <w:sz w:val="21"/>
          <w:szCs w:val="21"/>
          <w:highlight w:val="none"/>
        </w:rPr>
        <w:t xml:space="preserve"> 3、</w:t>
      </w:r>
      <w:r>
        <w:rPr>
          <w:rFonts w:ascii="仿宋_GB2312" w:hAnsi="仿宋" w:cs="仿宋"/>
          <w:sz w:val="21"/>
          <w:szCs w:val="21"/>
          <w:highlight w:val="none"/>
        </w:rPr>
        <w:t>乙方违反保密约定或未能妥善保管甲方数据及样本，导致数据泄露、损毁或样本不可逆损坏的，应支付合同总金额30%的惩罚性违约金，并赔偿甲方全部损失；构成违法犯罪的移送相关机关处理。</w:t>
      </w:r>
      <w:r>
        <w:rPr>
          <w:rFonts w:hint="eastAsia" w:ascii="仿宋_GB2312" w:hAnsi="仿宋" w:cs="仿宋"/>
          <w:sz w:val="21"/>
          <w:szCs w:val="21"/>
        </w:rPr>
        <w:t>4、乙方应当保证其交付给甲方的研究开发成果不侵犯任何第三人的合法权益；非经甲方事先书面同意，乙方不得在向甲方交付研究开发成果之前，自行将研究开发成果转让给第三人。 5、乙方按照项目约定告知甲方项目进度情况，并以甲方确认后的进度为依据开具相应的发票。 6、乙方承诺遵循国家法律法规，甲方所提供样本仅用于本合同约定技术服务所需，如有违法违规或违反约定，乙方将承担全部责任。</w:t>
      </w:r>
      <w:r>
        <w:rPr>
          <w:rFonts w:hint="eastAsia" w:ascii="仿宋_GB2312" w:hAnsi="仿宋" w:cs="仿宋"/>
          <w:sz w:val="21"/>
          <w:szCs w:val="21"/>
          <w:highlight w:val="none"/>
        </w:rPr>
        <w:t>7、</w:t>
      </w:r>
      <w:r>
        <w:rPr>
          <w:rFonts w:ascii="仿宋_GB2312" w:hAnsi="仿宋" w:cs="仿宋"/>
          <w:sz w:val="21"/>
          <w:szCs w:val="21"/>
          <w:highlight w:val="none"/>
        </w:rPr>
        <w:t>乙方未经甲方书面同意将本项目转包或变相转包给第三方的，甲方有权单方解除合同，乙方应全额退回已支付款项，并支付合同总金额20%的惩罚性违约金。</w:t>
      </w:r>
    </w:p>
    <w:p w14:paraId="2BD12858">
      <w:pPr>
        <w:spacing w:line="360" w:lineRule="auto"/>
        <w:rPr>
          <w:rFonts w:hint="eastAsia" w:ascii="仿宋_GB2312" w:hAnsi="仿宋" w:cs="仿宋"/>
          <w:sz w:val="21"/>
          <w:szCs w:val="21"/>
          <w:highlight w:val="none"/>
        </w:rPr>
      </w:pPr>
    </w:p>
    <w:p w14:paraId="12057749">
      <w:pPr>
        <w:spacing w:line="360" w:lineRule="auto"/>
        <w:rPr>
          <w:rFonts w:hint="eastAsia" w:ascii="仿宋_GB2312" w:hAnsi="仿宋" w:cs="仿宋"/>
          <w:sz w:val="21"/>
          <w:szCs w:val="21"/>
          <w:highlight w:val="none"/>
        </w:rPr>
      </w:pPr>
      <w:r>
        <w:rPr>
          <w:rFonts w:ascii="仿宋_GB2312" w:hAnsi="仿宋" w:cs="仿宋"/>
          <w:sz w:val="21"/>
          <w:szCs w:val="21"/>
          <w:highlight w:val="none"/>
        </w:rPr>
        <w:t>（三）</w:t>
      </w:r>
      <w:r>
        <w:rPr>
          <w:rFonts w:ascii="仿宋_GB2312" w:hAnsi="仿宋" w:cs="仿宋"/>
          <w:b/>
          <w:bCs/>
          <w:sz w:val="21"/>
          <w:szCs w:val="21"/>
          <w:highlight w:val="none"/>
        </w:rPr>
        <w:t>服务的追溯追责条款</w:t>
      </w:r>
    </w:p>
    <w:p w14:paraId="76BDF1A6">
      <w:pPr>
        <w:spacing w:line="360" w:lineRule="auto"/>
        <w:rPr>
          <w:rFonts w:hint="eastAsia" w:ascii="仿宋_GB2312" w:hAnsi="仿宋" w:cs="仿宋"/>
          <w:sz w:val="21"/>
          <w:szCs w:val="21"/>
          <w:highlight w:val="none"/>
        </w:rPr>
      </w:pPr>
      <w:r>
        <w:rPr>
          <w:rFonts w:hint="eastAsia" w:ascii="仿宋_GB2312" w:hAnsi="仿宋" w:cs="仿宋"/>
          <w:sz w:val="21"/>
          <w:szCs w:val="21"/>
          <w:highlight w:val="none"/>
        </w:rPr>
        <w:t>1、</w:t>
      </w:r>
      <w:r>
        <w:rPr>
          <w:rFonts w:ascii="仿宋_GB2312" w:hAnsi="仿宋" w:cs="仿宋"/>
          <w:sz w:val="21"/>
          <w:szCs w:val="21"/>
          <w:highlight w:val="none"/>
        </w:rPr>
        <w:t>若甲方在合同履行完毕后发现乙方交付的技术服务成果存在根本性缺陷（包括但不限于数据造假、关键实验步骤未执行、交付数据与原始实验结果严重不符等），导致甲方后续科学研究、论文发表、专利申请等遭受重大损失的，乙方的合格交付自始无效。甲方有权要求乙方全额退还已支付的全部合同款项，并赔偿甲方因此遭受的全部直接和间接损失。</w:t>
      </w:r>
    </w:p>
    <w:p w14:paraId="6FEC6E1B">
      <w:pPr>
        <w:spacing w:line="360" w:lineRule="auto"/>
        <w:rPr>
          <w:rFonts w:hint="eastAsia" w:ascii="仿宋_GB2312" w:hAnsi="仿宋" w:cs="仿宋"/>
          <w:sz w:val="21"/>
          <w:szCs w:val="21"/>
          <w:highlight w:val="none"/>
        </w:rPr>
      </w:pPr>
      <w:r>
        <w:rPr>
          <w:rFonts w:hint="eastAsia" w:ascii="仿宋_GB2312" w:hAnsi="仿宋" w:cs="仿宋"/>
          <w:sz w:val="21"/>
          <w:szCs w:val="21"/>
          <w:highlight w:val="none"/>
        </w:rPr>
        <w:t>2、</w:t>
      </w:r>
      <w:r>
        <w:rPr>
          <w:rFonts w:ascii="仿宋_GB2312" w:hAnsi="仿宋" w:cs="仿宋"/>
          <w:sz w:val="21"/>
          <w:szCs w:val="21"/>
          <w:highlight w:val="none"/>
        </w:rPr>
        <w:t>若甲方在论文投稿或发表后，因乙方交付的数据存在学术不端问题（如图片重复、数据篡改等）导致论文被撤稿或被质疑，乙方除按第1款承担责任外，还应协助甲方进行调查，并无条件免费重新进行相关部分的实验验证。</w:t>
      </w:r>
    </w:p>
    <w:p w14:paraId="5C48E4F0">
      <w:pPr>
        <w:spacing w:line="360" w:lineRule="auto"/>
        <w:rPr>
          <w:rFonts w:hint="eastAsia" w:ascii="仿宋_GB2312" w:hAnsi="仿宋" w:cs="仿宋"/>
          <w:sz w:val="21"/>
          <w:szCs w:val="21"/>
          <w:highlight w:val="none"/>
        </w:rPr>
      </w:pPr>
      <w:r>
        <w:rPr>
          <w:rFonts w:hint="eastAsia" w:ascii="仿宋_GB2312" w:hAnsi="仿宋" w:cs="仿宋"/>
          <w:sz w:val="21"/>
          <w:szCs w:val="21"/>
          <w:highlight w:val="none"/>
        </w:rPr>
        <w:t>3、</w:t>
      </w:r>
      <w:r>
        <w:rPr>
          <w:rFonts w:ascii="仿宋_GB2312" w:hAnsi="仿宋" w:cs="仿宋"/>
          <w:sz w:val="21"/>
          <w:szCs w:val="21"/>
          <w:highlight w:val="none"/>
        </w:rPr>
        <w:t>乙方保证交付的技术服务成果不侵犯任何第三方知识产权。如发生第三方就本项目成果向甲方主张权利，无论本合同履行完毕与否，乙方均应承担全部法律责任，并赔偿甲方因此遭受的全部损失。</w:t>
      </w:r>
    </w:p>
    <w:p w14:paraId="7383B103">
      <w:pPr>
        <w:spacing w:line="360" w:lineRule="auto"/>
        <w:rPr>
          <w:rFonts w:hint="eastAsia" w:ascii="仿宋_GB2312" w:hAnsi="仿宋" w:cs="仿宋"/>
          <w:sz w:val="21"/>
          <w:szCs w:val="21"/>
        </w:rPr>
      </w:pPr>
    </w:p>
    <w:p w14:paraId="1E2ABA86">
      <w:pPr>
        <w:spacing w:line="360" w:lineRule="auto"/>
        <w:rPr>
          <w:rFonts w:hint="eastAsia" w:ascii="仿宋_GB2312" w:hAnsi="仿宋"/>
          <w:b/>
          <w:bCs/>
          <w:sz w:val="21"/>
          <w:szCs w:val="21"/>
        </w:rPr>
      </w:pPr>
      <w:r>
        <w:rPr>
          <w:rFonts w:hint="eastAsia" w:ascii="仿宋_GB2312" w:hAnsi="仿宋"/>
          <w:b/>
          <w:bCs/>
          <w:sz w:val="21"/>
          <w:szCs w:val="21"/>
        </w:rPr>
        <w:t>七、知识产权：</w:t>
      </w:r>
    </w:p>
    <w:p w14:paraId="68427906">
      <w:pPr>
        <w:spacing w:line="360" w:lineRule="auto"/>
        <w:rPr>
          <w:rFonts w:hint="eastAsia" w:ascii="仿宋_GB2312" w:hAnsi="仿宋"/>
          <w:sz w:val="21"/>
          <w:szCs w:val="21"/>
        </w:rPr>
      </w:pPr>
      <w:r>
        <w:rPr>
          <w:rFonts w:hint="eastAsia" w:ascii="仿宋_GB2312" w:hAnsi="仿宋"/>
          <w:sz w:val="21"/>
          <w:szCs w:val="21"/>
        </w:rPr>
        <w:t>1、本委托项目下产生的技术服务成果为甲方所有，甲方拥有本委托项目下专利技术服务成果的专利申请权。</w:t>
      </w:r>
    </w:p>
    <w:p w14:paraId="5929CCEB">
      <w:pPr>
        <w:spacing w:line="360" w:lineRule="auto"/>
        <w:rPr>
          <w:rFonts w:hint="eastAsia" w:ascii="仿宋_GB2312" w:hAnsi="仿宋"/>
          <w:sz w:val="21"/>
          <w:szCs w:val="21"/>
        </w:rPr>
      </w:pPr>
      <w:r>
        <w:rPr>
          <w:rFonts w:hint="eastAsia" w:ascii="仿宋_GB2312" w:hAnsi="仿宋"/>
          <w:sz w:val="21"/>
          <w:szCs w:val="21"/>
        </w:rPr>
        <w:t>2、本委托项目中所使用的属于甲方的知识产权，仍为甲方所有，甲方对这类知识产权的使用承担全部法律责任。甲方保证“甲方知识产权”不会侵犯任何第三方的知识产权。</w:t>
      </w:r>
    </w:p>
    <w:p w14:paraId="33A7493C">
      <w:pPr>
        <w:spacing w:line="360" w:lineRule="auto"/>
        <w:rPr>
          <w:rFonts w:hint="eastAsia" w:ascii="仿宋_GB2312" w:hAnsi="仿宋"/>
          <w:sz w:val="21"/>
          <w:szCs w:val="21"/>
        </w:rPr>
      </w:pPr>
      <w:r>
        <w:rPr>
          <w:rFonts w:hint="eastAsia" w:ascii="仿宋_GB2312" w:hAnsi="仿宋"/>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33B151EC">
      <w:pPr>
        <w:spacing w:line="360" w:lineRule="auto"/>
        <w:rPr>
          <w:rFonts w:hint="eastAsia" w:ascii="仿宋_GB2312" w:hAnsi="仿宋"/>
          <w:b/>
          <w:bCs/>
          <w:sz w:val="21"/>
          <w:szCs w:val="21"/>
        </w:rPr>
      </w:pPr>
      <w:r>
        <w:rPr>
          <w:rFonts w:hint="eastAsia" w:ascii="仿宋_GB2312" w:hAnsi="仿宋"/>
          <w:b/>
          <w:bCs/>
          <w:sz w:val="21"/>
          <w:szCs w:val="21"/>
        </w:rPr>
        <w:t>八．售后服务</w:t>
      </w:r>
    </w:p>
    <w:p w14:paraId="34A09D62">
      <w:pPr>
        <w:spacing w:line="360" w:lineRule="auto"/>
        <w:rPr>
          <w:rFonts w:hint="eastAsia" w:ascii="仿宋_GB2312" w:hAnsi="仿宋"/>
          <w:sz w:val="21"/>
          <w:szCs w:val="21"/>
        </w:rPr>
      </w:pPr>
      <w:r>
        <w:rPr>
          <w:rFonts w:hint="eastAsia" w:ascii="仿宋_GB2312" w:hAnsi="仿宋"/>
          <w:sz w:val="21"/>
          <w:szCs w:val="21"/>
        </w:rPr>
        <w:t>课题交付验收后可免费提供工作时间的售后服务和技术支持，免费进行疑难问题解答，并通过技术人员上门、往来信函、电话、传真、电子邮件等，解答客户遇到的各种技术问题。</w:t>
      </w:r>
    </w:p>
    <w:p w14:paraId="10C2797E">
      <w:pPr>
        <w:spacing w:line="360" w:lineRule="auto"/>
        <w:rPr>
          <w:rFonts w:ascii="仿宋_GB2312"/>
          <w:sz w:val="21"/>
          <w:szCs w:val="21"/>
        </w:rPr>
      </w:pPr>
      <w:r>
        <w:rPr>
          <w:rFonts w:hint="eastAsia" w:ascii="仿宋_GB2312"/>
          <w:sz w:val="21"/>
          <w:szCs w:val="21"/>
        </w:rPr>
        <w:t>九．技术支持及培训</w:t>
      </w:r>
    </w:p>
    <w:p w14:paraId="0FBB95CB">
      <w:pPr>
        <w:spacing w:line="360" w:lineRule="auto"/>
        <w:rPr>
          <w:rFonts w:ascii="仿宋_GB2312"/>
          <w:sz w:val="21"/>
          <w:szCs w:val="21"/>
        </w:rPr>
      </w:pPr>
      <w:r>
        <w:rPr>
          <w:rFonts w:hint="eastAsia" w:ascii="仿宋_GB2312"/>
          <w:sz w:val="21"/>
          <w:szCs w:val="21"/>
        </w:rPr>
        <w:t>专业的技术支持，辅助设计实验方案，提供及时的项目进展汇报。</w:t>
      </w:r>
    </w:p>
    <w:p w14:paraId="2A6E3702">
      <w:pPr>
        <w:spacing w:line="360" w:lineRule="auto"/>
        <w:rPr>
          <w:rFonts w:ascii="仿宋_GB2312"/>
          <w:sz w:val="21"/>
          <w:szCs w:val="21"/>
        </w:rPr>
      </w:pPr>
      <w:r>
        <w:rPr>
          <w:rFonts w:hint="eastAsia" w:ascii="仿宋_GB2312"/>
          <w:sz w:val="21"/>
          <w:szCs w:val="21"/>
        </w:rPr>
        <w:t>十. 合同的仲裁</w:t>
      </w:r>
    </w:p>
    <w:p w14:paraId="61410C49">
      <w:pPr>
        <w:spacing w:line="360" w:lineRule="auto"/>
        <w:rPr>
          <w:rFonts w:ascii="仿宋_GB2312"/>
          <w:sz w:val="21"/>
          <w:szCs w:val="21"/>
        </w:rPr>
      </w:pPr>
      <w:r>
        <w:rPr>
          <w:rFonts w:hint="eastAsia" w:ascii="仿宋_GB2312"/>
          <w:sz w:val="21"/>
          <w:szCs w:val="21"/>
        </w:rPr>
        <w:t>本合同发生争议，由双方协商或调解解决，协商或调解不成时向签订合同所在地人民法院起诉。</w:t>
      </w:r>
    </w:p>
    <w:p w14:paraId="17812E14">
      <w:pPr>
        <w:widowControl/>
        <w:jc w:val="left"/>
        <w:rPr>
          <w:rFonts w:ascii="仿宋_GB2312"/>
          <w:sz w:val="21"/>
          <w:szCs w:val="21"/>
        </w:rPr>
      </w:pPr>
      <w:r>
        <w:rPr>
          <w:rFonts w:hint="eastAsia" w:ascii="仿宋_GB2312"/>
          <w:sz w:val="21"/>
          <w:szCs w:val="21"/>
        </w:rPr>
        <w:t>十一．本合同一式     份，双方各持     份，具有同等法律效力。</w:t>
      </w:r>
    </w:p>
    <w:p w14:paraId="51D17BC6">
      <w:pPr>
        <w:widowControl/>
        <w:jc w:val="left"/>
        <w:rPr>
          <w:rFonts w:ascii="仿宋_GB2312"/>
          <w:sz w:val="21"/>
          <w:szCs w:val="21"/>
        </w:rPr>
      </w:pPr>
      <w:r>
        <w:rPr>
          <w:rFonts w:ascii="仿宋_GB2312"/>
          <w:sz w:val="21"/>
          <w:szCs w:val="21"/>
        </w:rPr>
        <w:br w:type="page"/>
      </w:r>
    </w:p>
    <w:tbl>
      <w:tblPr>
        <w:tblStyle w:val="2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0B6A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6C8631D8">
            <w:pPr>
              <w:spacing w:line="360" w:lineRule="auto"/>
              <w:ind w:firstLine="524" w:firstLineChars="200"/>
              <w:rPr>
                <w:sz w:val="21"/>
                <w:szCs w:val="21"/>
              </w:rPr>
            </w:pPr>
            <w:r>
              <w:rPr>
                <w:rFonts w:hint="eastAsia"/>
                <w:sz w:val="21"/>
                <w:szCs w:val="21"/>
              </w:rPr>
              <w:t>甲方（盖章）：汕头大学医学院</w:t>
            </w:r>
          </w:p>
        </w:tc>
        <w:tc>
          <w:tcPr>
            <w:tcW w:w="4986" w:type="dxa"/>
            <w:vAlign w:val="center"/>
          </w:tcPr>
          <w:p w14:paraId="73332047">
            <w:pPr>
              <w:spacing w:line="360" w:lineRule="auto"/>
              <w:ind w:firstLine="524" w:firstLineChars="200"/>
              <w:rPr>
                <w:sz w:val="21"/>
                <w:szCs w:val="21"/>
              </w:rPr>
            </w:pPr>
            <w:r>
              <w:rPr>
                <w:rFonts w:hint="eastAsia"/>
                <w:sz w:val="21"/>
                <w:szCs w:val="21"/>
              </w:rPr>
              <w:t xml:space="preserve">乙方（盖章）： </w:t>
            </w:r>
          </w:p>
        </w:tc>
      </w:tr>
      <w:tr w14:paraId="3140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07C7D37D">
            <w:pPr>
              <w:spacing w:line="360" w:lineRule="auto"/>
              <w:ind w:firstLine="524" w:firstLineChars="200"/>
              <w:rPr>
                <w:sz w:val="21"/>
                <w:szCs w:val="21"/>
              </w:rPr>
            </w:pPr>
            <w:r>
              <w:rPr>
                <w:rFonts w:hint="eastAsia"/>
                <w:sz w:val="21"/>
                <w:szCs w:val="21"/>
              </w:rPr>
              <w:t>地址：汕头市金平区新陵路22号</w:t>
            </w:r>
          </w:p>
        </w:tc>
        <w:tc>
          <w:tcPr>
            <w:tcW w:w="4986" w:type="dxa"/>
            <w:vAlign w:val="center"/>
          </w:tcPr>
          <w:p w14:paraId="180920E7">
            <w:pPr>
              <w:spacing w:line="360" w:lineRule="auto"/>
              <w:ind w:firstLine="524" w:firstLineChars="200"/>
              <w:rPr>
                <w:sz w:val="21"/>
                <w:szCs w:val="21"/>
              </w:rPr>
            </w:pPr>
            <w:r>
              <w:rPr>
                <w:rFonts w:hint="eastAsia"/>
                <w:sz w:val="21"/>
                <w:szCs w:val="21"/>
              </w:rPr>
              <w:t xml:space="preserve">地址： </w:t>
            </w:r>
          </w:p>
        </w:tc>
      </w:tr>
      <w:tr w14:paraId="2BC9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FEB2107">
            <w:pPr>
              <w:spacing w:line="360" w:lineRule="auto"/>
              <w:ind w:firstLine="524" w:firstLineChars="200"/>
              <w:rPr>
                <w:sz w:val="21"/>
                <w:szCs w:val="21"/>
              </w:rPr>
            </w:pPr>
            <w:r>
              <w:rPr>
                <w:rFonts w:hint="eastAsia"/>
                <w:sz w:val="21"/>
                <w:szCs w:val="21"/>
              </w:rPr>
              <w:t>法定代表人： 夏欧东</w:t>
            </w:r>
          </w:p>
        </w:tc>
        <w:tc>
          <w:tcPr>
            <w:tcW w:w="4986" w:type="dxa"/>
            <w:vAlign w:val="center"/>
          </w:tcPr>
          <w:p w14:paraId="7A5F0ED6">
            <w:pPr>
              <w:spacing w:line="360" w:lineRule="auto"/>
              <w:ind w:firstLine="524" w:firstLineChars="200"/>
              <w:rPr>
                <w:sz w:val="21"/>
                <w:szCs w:val="21"/>
              </w:rPr>
            </w:pPr>
            <w:r>
              <w:rPr>
                <w:rFonts w:hint="eastAsia"/>
                <w:sz w:val="21"/>
                <w:szCs w:val="21"/>
              </w:rPr>
              <w:t>法定代表人：</w:t>
            </w:r>
          </w:p>
        </w:tc>
      </w:tr>
      <w:tr w14:paraId="7883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FDD3759">
            <w:pPr>
              <w:spacing w:line="360" w:lineRule="auto"/>
              <w:ind w:firstLine="524" w:firstLineChars="200"/>
              <w:rPr>
                <w:sz w:val="21"/>
                <w:szCs w:val="21"/>
              </w:rPr>
            </w:pPr>
            <w:r>
              <w:rPr>
                <w:rFonts w:hint="eastAsia"/>
                <w:sz w:val="21"/>
                <w:szCs w:val="21"/>
              </w:rPr>
              <w:t>委托代理人：</w:t>
            </w:r>
          </w:p>
        </w:tc>
        <w:tc>
          <w:tcPr>
            <w:tcW w:w="4986" w:type="dxa"/>
            <w:vAlign w:val="center"/>
          </w:tcPr>
          <w:p w14:paraId="44A13BE1">
            <w:pPr>
              <w:spacing w:line="360" w:lineRule="auto"/>
              <w:ind w:firstLine="524" w:firstLineChars="200"/>
              <w:rPr>
                <w:sz w:val="21"/>
                <w:szCs w:val="21"/>
              </w:rPr>
            </w:pPr>
            <w:r>
              <w:rPr>
                <w:rFonts w:hint="eastAsia"/>
                <w:sz w:val="21"/>
                <w:szCs w:val="21"/>
              </w:rPr>
              <w:t>委托代理人：</w:t>
            </w:r>
          </w:p>
        </w:tc>
      </w:tr>
      <w:tr w14:paraId="61E2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56692C0A">
            <w:pPr>
              <w:spacing w:line="360" w:lineRule="auto"/>
              <w:ind w:firstLine="524" w:firstLineChars="200"/>
              <w:rPr>
                <w:sz w:val="21"/>
                <w:szCs w:val="21"/>
              </w:rPr>
            </w:pPr>
            <w:r>
              <w:rPr>
                <w:rFonts w:hint="eastAsia"/>
                <w:sz w:val="21"/>
                <w:szCs w:val="21"/>
              </w:rPr>
              <w:t>电话：0754-88900477</w:t>
            </w:r>
          </w:p>
        </w:tc>
        <w:tc>
          <w:tcPr>
            <w:tcW w:w="4986" w:type="dxa"/>
            <w:vAlign w:val="center"/>
          </w:tcPr>
          <w:p w14:paraId="1BCB50AE">
            <w:pPr>
              <w:spacing w:line="360" w:lineRule="auto"/>
              <w:ind w:firstLine="524" w:firstLineChars="200"/>
              <w:rPr>
                <w:sz w:val="21"/>
                <w:szCs w:val="21"/>
              </w:rPr>
            </w:pPr>
            <w:r>
              <w:rPr>
                <w:rFonts w:hint="eastAsia"/>
                <w:sz w:val="21"/>
                <w:szCs w:val="21"/>
              </w:rPr>
              <w:t>电话：</w:t>
            </w:r>
          </w:p>
        </w:tc>
      </w:tr>
      <w:tr w14:paraId="3C22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74184E0">
            <w:pPr>
              <w:spacing w:line="360" w:lineRule="auto"/>
              <w:ind w:firstLine="524" w:firstLineChars="200"/>
              <w:rPr>
                <w:sz w:val="21"/>
                <w:szCs w:val="21"/>
              </w:rPr>
            </w:pPr>
            <w:r>
              <w:rPr>
                <w:rFonts w:hint="eastAsia"/>
                <w:sz w:val="21"/>
                <w:szCs w:val="21"/>
              </w:rPr>
              <w:t>传真：0754-88900305</w:t>
            </w:r>
          </w:p>
        </w:tc>
        <w:tc>
          <w:tcPr>
            <w:tcW w:w="4986" w:type="dxa"/>
            <w:vAlign w:val="center"/>
          </w:tcPr>
          <w:p w14:paraId="079361FD">
            <w:pPr>
              <w:spacing w:line="360" w:lineRule="auto"/>
              <w:ind w:firstLine="524" w:firstLineChars="200"/>
              <w:rPr>
                <w:sz w:val="21"/>
                <w:szCs w:val="21"/>
              </w:rPr>
            </w:pPr>
            <w:r>
              <w:rPr>
                <w:rFonts w:hint="eastAsia"/>
                <w:sz w:val="21"/>
                <w:szCs w:val="21"/>
              </w:rPr>
              <w:t>传真：</w:t>
            </w:r>
          </w:p>
        </w:tc>
      </w:tr>
      <w:tr w14:paraId="3A93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230C3804">
            <w:pPr>
              <w:spacing w:line="360" w:lineRule="auto"/>
              <w:ind w:firstLine="524" w:firstLineChars="200"/>
              <w:rPr>
                <w:sz w:val="21"/>
                <w:szCs w:val="21"/>
              </w:rPr>
            </w:pPr>
            <w:r>
              <w:rPr>
                <w:rFonts w:hint="eastAsia"/>
                <w:sz w:val="21"/>
                <w:szCs w:val="21"/>
              </w:rPr>
              <w:t>邮政编码：515041</w:t>
            </w:r>
          </w:p>
        </w:tc>
        <w:tc>
          <w:tcPr>
            <w:tcW w:w="4986" w:type="dxa"/>
            <w:vAlign w:val="center"/>
          </w:tcPr>
          <w:p w14:paraId="26CDA72E">
            <w:pPr>
              <w:spacing w:line="360" w:lineRule="auto"/>
              <w:ind w:firstLine="524" w:firstLineChars="200"/>
              <w:rPr>
                <w:sz w:val="21"/>
                <w:szCs w:val="21"/>
              </w:rPr>
            </w:pPr>
            <w:r>
              <w:rPr>
                <w:rFonts w:hint="eastAsia"/>
                <w:sz w:val="21"/>
                <w:szCs w:val="21"/>
              </w:rPr>
              <w:t>邮政编码：</w:t>
            </w:r>
          </w:p>
        </w:tc>
      </w:tr>
      <w:tr w14:paraId="372C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3FE12A76">
            <w:pPr>
              <w:spacing w:line="360" w:lineRule="auto"/>
              <w:ind w:firstLine="524" w:firstLineChars="200"/>
              <w:rPr>
                <w:sz w:val="21"/>
                <w:szCs w:val="21"/>
              </w:rPr>
            </w:pPr>
            <w:r>
              <w:rPr>
                <w:rFonts w:hint="eastAsia"/>
                <w:sz w:val="21"/>
                <w:szCs w:val="21"/>
              </w:rPr>
              <w:t>开户银行：中行嘉泰支行</w:t>
            </w:r>
          </w:p>
        </w:tc>
        <w:tc>
          <w:tcPr>
            <w:tcW w:w="4986" w:type="dxa"/>
            <w:vAlign w:val="center"/>
          </w:tcPr>
          <w:p w14:paraId="3C26CA55">
            <w:pPr>
              <w:spacing w:line="360" w:lineRule="auto"/>
              <w:ind w:firstLine="524" w:firstLineChars="200"/>
              <w:rPr>
                <w:sz w:val="21"/>
                <w:szCs w:val="21"/>
              </w:rPr>
            </w:pPr>
            <w:r>
              <w:rPr>
                <w:rFonts w:hint="eastAsia"/>
                <w:sz w:val="21"/>
                <w:szCs w:val="21"/>
              </w:rPr>
              <w:t xml:space="preserve">开户银行： </w:t>
            </w:r>
          </w:p>
        </w:tc>
      </w:tr>
      <w:tr w14:paraId="5F8A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29C4488">
            <w:pPr>
              <w:spacing w:line="360" w:lineRule="auto"/>
              <w:ind w:firstLine="524" w:firstLineChars="200"/>
              <w:rPr>
                <w:sz w:val="21"/>
                <w:szCs w:val="21"/>
              </w:rPr>
            </w:pPr>
            <w:r>
              <w:rPr>
                <w:rFonts w:hint="eastAsia"/>
                <w:sz w:val="21"/>
                <w:szCs w:val="21"/>
              </w:rPr>
              <w:t>开户账号：7055 5774 4822</w:t>
            </w:r>
          </w:p>
        </w:tc>
        <w:tc>
          <w:tcPr>
            <w:tcW w:w="4986" w:type="dxa"/>
            <w:vAlign w:val="center"/>
          </w:tcPr>
          <w:p w14:paraId="4FFE081F">
            <w:pPr>
              <w:spacing w:line="360" w:lineRule="auto"/>
              <w:ind w:firstLine="524" w:firstLineChars="200"/>
              <w:rPr>
                <w:sz w:val="21"/>
                <w:szCs w:val="21"/>
              </w:rPr>
            </w:pPr>
            <w:r>
              <w:rPr>
                <w:rFonts w:hint="eastAsia"/>
                <w:sz w:val="21"/>
                <w:szCs w:val="21"/>
              </w:rPr>
              <w:t>开户账号：</w:t>
            </w:r>
          </w:p>
        </w:tc>
      </w:tr>
      <w:tr w14:paraId="21DE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C293C0A">
            <w:pPr>
              <w:spacing w:line="360" w:lineRule="auto"/>
              <w:ind w:firstLine="524" w:firstLineChars="200"/>
              <w:rPr>
                <w:sz w:val="21"/>
                <w:szCs w:val="21"/>
              </w:rPr>
            </w:pPr>
            <w:r>
              <w:rPr>
                <w:rFonts w:hint="eastAsia"/>
                <w:sz w:val="21"/>
                <w:szCs w:val="21"/>
              </w:rPr>
              <w:t>统一社会信用代码：12440000455861456K</w:t>
            </w:r>
          </w:p>
        </w:tc>
        <w:tc>
          <w:tcPr>
            <w:tcW w:w="4986" w:type="dxa"/>
            <w:vAlign w:val="center"/>
          </w:tcPr>
          <w:p w14:paraId="34F12326">
            <w:pPr>
              <w:spacing w:line="360" w:lineRule="auto"/>
              <w:ind w:firstLine="524" w:firstLineChars="200"/>
              <w:rPr>
                <w:sz w:val="21"/>
                <w:szCs w:val="21"/>
              </w:rPr>
            </w:pPr>
            <w:r>
              <w:rPr>
                <w:rFonts w:hint="eastAsia"/>
                <w:sz w:val="21"/>
                <w:szCs w:val="21"/>
              </w:rPr>
              <w:t>统一社会信用代码：</w:t>
            </w:r>
          </w:p>
        </w:tc>
      </w:tr>
      <w:tr w14:paraId="556D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67957B44">
            <w:pPr>
              <w:spacing w:line="360" w:lineRule="auto"/>
              <w:ind w:firstLine="524" w:firstLineChars="200"/>
              <w:rPr>
                <w:sz w:val="21"/>
                <w:szCs w:val="21"/>
              </w:rPr>
            </w:pPr>
            <w:r>
              <w:rPr>
                <w:rFonts w:hint="eastAsia"/>
                <w:sz w:val="21"/>
                <w:szCs w:val="21"/>
              </w:rPr>
              <w:t>签订日期：       年     月     日</w:t>
            </w:r>
          </w:p>
        </w:tc>
        <w:tc>
          <w:tcPr>
            <w:tcW w:w="4986" w:type="dxa"/>
            <w:vAlign w:val="center"/>
          </w:tcPr>
          <w:p w14:paraId="6CA6C8AD">
            <w:pPr>
              <w:spacing w:line="360" w:lineRule="auto"/>
              <w:ind w:firstLine="524" w:firstLineChars="200"/>
              <w:rPr>
                <w:sz w:val="21"/>
                <w:szCs w:val="21"/>
              </w:rPr>
            </w:pPr>
            <w:r>
              <w:rPr>
                <w:rFonts w:hint="eastAsia"/>
                <w:sz w:val="21"/>
                <w:szCs w:val="21"/>
              </w:rPr>
              <w:t>签订日期：       年     月     日</w:t>
            </w:r>
          </w:p>
        </w:tc>
      </w:tr>
    </w:tbl>
    <w:p w14:paraId="64FC67EC">
      <w:pPr>
        <w:kinsoku w:val="0"/>
        <w:wordWrap w:val="0"/>
        <w:topLinePunct/>
        <w:spacing w:line="360" w:lineRule="atLeast"/>
        <w:ind w:firstLine="186" w:firstLineChars="50"/>
        <w:rPr>
          <w:rFonts w:hint="eastAsia" w:ascii="仿宋" w:hAnsi="仿宋" w:eastAsia="仿宋" w:cs="仿宋"/>
          <w:b/>
          <w:sz w:val="32"/>
        </w:rPr>
      </w:pPr>
    </w:p>
    <w:p w14:paraId="422BBC46">
      <w:pPr>
        <w:kinsoku w:val="0"/>
        <w:wordWrap w:val="0"/>
        <w:topLinePunct/>
        <w:spacing w:line="360" w:lineRule="atLeast"/>
        <w:ind w:firstLine="186" w:firstLineChars="50"/>
        <w:rPr>
          <w:rFonts w:hint="eastAsia" w:ascii="仿宋" w:hAnsi="仿宋" w:eastAsia="仿宋" w:cs="仿宋"/>
          <w:b/>
          <w:sz w:val="32"/>
        </w:rPr>
      </w:pPr>
    </w:p>
    <w:p w14:paraId="22E2A6B8">
      <w:pPr>
        <w:widowControl/>
        <w:jc w:val="left"/>
        <w:rPr>
          <w:rFonts w:hint="eastAsia" w:ascii="仿宋" w:hAnsi="仿宋" w:eastAsia="仿宋" w:cs="仿宋"/>
          <w:b/>
          <w:sz w:val="32"/>
        </w:rPr>
      </w:pPr>
      <w:r>
        <w:rPr>
          <w:rFonts w:hint="eastAsia" w:ascii="仿宋" w:hAnsi="仿宋" w:eastAsia="仿宋" w:cs="仿宋"/>
          <w:b/>
          <w:sz w:val="32"/>
        </w:rPr>
        <w:br w:type="page"/>
      </w:r>
    </w:p>
    <w:p w14:paraId="6C2299C9">
      <w:pPr>
        <w:kinsoku w:val="0"/>
        <w:wordWrap w:val="0"/>
        <w:topLinePunct/>
        <w:spacing w:line="360" w:lineRule="atLeast"/>
        <w:ind w:firstLine="186" w:firstLineChars="50"/>
        <w:rPr>
          <w:rFonts w:hint="eastAsia" w:ascii="仿宋" w:hAnsi="仿宋" w:eastAsia="仿宋" w:cs="仿宋"/>
          <w:b/>
          <w:sz w:val="32"/>
        </w:rPr>
      </w:pPr>
      <w:r>
        <w:rPr>
          <w:rFonts w:hint="eastAsia" w:ascii="仿宋" w:hAnsi="仿宋" w:eastAsia="仿宋" w:cs="仿宋"/>
          <w:b/>
          <w:sz w:val="32"/>
        </w:rPr>
        <w:t>第四部分    投  标  书（格式）</w:t>
      </w:r>
    </w:p>
    <w:p w14:paraId="0672B606">
      <w:pPr>
        <w:kinsoku w:val="0"/>
        <w:wordWrap w:val="0"/>
        <w:topLinePunct/>
        <w:spacing w:after="120" w:line="360" w:lineRule="atLeast"/>
        <w:rPr>
          <w:rFonts w:hint="eastAsia" w:ascii="仿宋" w:hAnsi="仿宋" w:eastAsia="仿宋" w:cs="仿宋"/>
          <w:sz w:val="24"/>
        </w:rPr>
      </w:pPr>
      <w:r>
        <w:rPr>
          <w:rFonts w:hint="eastAsia" w:ascii="仿宋" w:hAnsi="仿宋" w:eastAsia="仿宋" w:cs="仿宋"/>
          <w:sz w:val="24"/>
        </w:rPr>
        <w:t>致：汕头大学医学院：</w:t>
      </w:r>
    </w:p>
    <w:p w14:paraId="79BDBD59">
      <w:pPr>
        <w:kinsoku w:val="0"/>
        <w:wordWrap w:val="0"/>
        <w:topLinePunct/>
        <w:spacing w:after="120" w:line="240" w:lineRule="atLeast"/>
        <w:ind w:firstLine="585"/>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7F15EFDF">
      <w:pPr>
        <w:pStyle w:val="6"/>
        <w:numPr>
          <w:ilvl w:val="3"/>
          <w:numId w:val="11"/>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投标书；</w:t>
      </w:r>
    </w:p>
    <w:p w14:paraId="07A037A0">
      <w:pPr>
        <w:pStyle w:val="6"/>
        <w:numPr>
          <w:ilvl w:val="3"/>
          <w:numId w:val="11"/>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开标一览表；</w:t>
      </w:r>
    </w:p>
    <w:p w14:paraId="2882A11C">
      <w:pPr>
        <w:pStyle w:val="6"/>
        <w:numPr>
          <w:ilvl w:val="3"/>
          <w:numId w:val="11"/>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设备配置一览表；</w:t>
      </w:r>
    </w:p>
    <w:p w14:paraId="366B7A8D">
      <w:pPr>
        <w:pStyle w:val="6"/>
        <w:numPr>
          <w:ilvl w:val="3"/>
          <w:numId w:val="11"/>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服务承诺书；</w:t>
      </w:r>
    </w:p>
    <w:p w14:paraId="544942B8">
      <w:pPr>
        <w:pStyle w:val="6"/>
        <w:kinsoku w:val="0"/>
        <w:wordWrap w:val="0"/>
        <w:topLinePunct/>
        <w:autoSpaceDE/>
        <w:autoSpaceDN/>
        <w:spacing w:line="200" w:lineRule="atLeast"/>
        <w:ind w:left="1328" w:leftChars="0" w:firstLine="0" w:firstLineChars="0"/>
        <w:rPr>
          <w:rFonts w:hint="eastAsia" w:ascii="仿宋" w:hAnsi="仿宋" w:eastAsia="仿宋" w:cs="仿宋"/>
          <w:sz w:val="24"/>
        </w:rPr>
      </w:pPr>
    </w:p>
    <w:p w14:paraId="19918255">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签字代表在此声明并同意：</w:t>
      </w:r>
    </w:p>
    <w:p w14:paraId="7E41C985">
      <w:pPr>
        <w:kinsoku w:val="0"/>
        <w:wordWrap w:val="0"/>
        <w:topLinePunct/>
        <w:spacing w:line="360" w:lineRule="atLeast"/>
        <w:ind w:left="830" w:hanging="830"/>
        <w:rPr>
          <w:rFonts w:hint="eastAsia"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3CDD00EE">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05798FFE">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2395BB79">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４.我们同意提供招标人要求的有关投标的其他资料。</w:t>
      </w:r>
    </w:p>
    <w:p w14:paraId="4245CD4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0AE0D8BD">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6EE78A1F">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43AAC1B2">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08D59C04">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05CEEA79">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6E05CD1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w:t>
      </w:r>
    </w:p>
    <w:p w14:paraId="6F99E0D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电  话：           传  真：            E_mail:</w:t>
      </w:r>
    </w:p>
    <w:p w14:paraId="7D53911C">
      <w:pPr>
        <w:kinsoku w:val="0"/>
        <w:wordWrap w:val="0"/>
        <w:topLinePunct/>
        <w:spacing w:line="360" w:lineRule="exact"/>
        <w:rPr>
          <w:rFonts w:hint="eastAsia" w:ascii="仿宋" w:hAnsi="仿宋" w:eastAsia="仿宋" w:cs="仿宋"/>
          <w:sz w:val="24"/>
        </w:rPr>
      </w:pPr>
    </w:p>
    <w:p w14:paraId="09F2ECDD">
      <w:pPr>
        <w:kinsoku w:val="0"/>
        <w:wordWrap w:val="0"/>
        <w:topLinePunct/>
        <w:spacing w:line="360" w:lineRule="exact"/>
        <w:rPr>
          <w:rFonts w:hint="eastAsia" w:ascii="仿宋" w:hAnsi="仿宋" w:eastAsia="仿宋" w:cs="仿宋"/>
          <w:sz w:val="24"/>
        </w:rPr>
      </w:pPr>
    </w:p>
    <w:p w14:paraId="4775A058">
      <w:pPr>
        <w:kinsoku w:val="0"/>
        <w:wordWrap w:val="0"/>
        <w:topLinePunct/>
        <w:spacing w:line="360" w:lineRule="exact"/>
        <w:rPr>
          <w:rFonts w:hint="eastAsia" w:ascii="仿宋" w:hAnsi="仿宋" w:eastAsia="仿宋" w:cs="仿宋"/>
          <w:sz w:val="24"/>
        </w:rPr>
      </w:pPr>
    </w:p>
    <w:p w14:paraId="06952371">
      <w:pPr>
        <w:kinsoku w:val="0"/>
        <w:wordWrap w:val="0"/>
        <w:topLinePunct/>
        <w:spacing w:line="360" w:lineRule="exact"/>
        <w:rPr>
          <w:rFonts w:hint="eastAsia" w:ascii="仿宋" w:hAnsi="仿宋" w:eastAsia="仿宋" w:cs="仿宋"/>
          <w:sz w:val="24"/>
        </w:rPr>
      </w:pPr>
    </w:p>
    <w:p w14:paraId="227D66DE">
      <w:pPr>
        <w:kinsoku w:val="0"/>
        <w:wordWrap w:val="0"/>
        <w:topLinePunct/>
        <w:spacing w:line="360" w:lineRule="exact"/>
        <w:rPr>
          <w:rFonts w:hint="eastAsia" w:ascii="仿宋" w:hAnsi="仿宋" w:eastAsia="仿宋" w:cs="仿宋"/>
          <w:sz w:val="24"/>
        </w:rPr>
      </w:pPr>
    </w:p>
    <w:p w14:paraId="3FE00AB2">
      <w:pPr>
        <w:kinsoku w:val="0"/>
        <w:wordWrap w:val="0"/>
        <w:topLinePunct/>
        <w:spacing w:line="360" w:lineRule="exact"/>
        <w:rPr>
          <w:rFonts w:hint="eastAsia" w:ascii="仿宋" w:hAnsi="仿宋" w:eastAsia="仿宋" w:cs="仿宋"/>
          <w:sz w:val="24"/>
        </w:rPr>
      </w:pPr>
    </w:p>
    <w:p w14:paraId="11072369">
      <w:pPr>
        <w:kinsoku w:val="0"/>
        <w:wordWrap w:val="0"/>
        <w:topLinePunct/>
        <w:spacing w:line="360" w:lineRule="exact"/>
        <w:rPr>
          <w:rFonts w:hint="eastAsia" w:ascii="仿宋" w:hAnsi="仿宋" w:eastAsia="仿宋" w:cs="仿宋"/>
          <w:sz w:val="24"/>
        </w:rPr>
      </w:pPr>
    </w:p>
    <w:p w14:paraId="59E63754">
      <w:pPr>
        <w:kinsoku w:val="0"/>
        <w:wordWrap w:val="0"/>
        <w:topLinePunct/>
        <w:spacing w:line="360" w:lineRule="exact"/>
        <w:rPr>
          <w:rFonts w:hint="eastAsia" w:ascii="仿宋" w:hAnsi="仿宋" w:eastAsia="仿宋" w:cs="仿宋"/>
          <w:sz w:val="24"/>
        </w:rPr>
      </w:pPr>
      <w:r>
        <w:rPr>
          <w:rFonts w:hint="eastAsia" w:ascii="仿宋" w:hAnsi="仿宋" w:eastAsia="仿宋" w:cs="仿宋"/>
          <w:sz w:val="24"/>
        </w:rPr>
        <w:t>投标书附件1：</w:t>
      </w:r>
    </w:p>
    <w:p w14:paraId="6FE57697">
      <w:pPr>
        <w:kinsoku w:val="0"/>
        <w:wordWrap w:val="0"/>
        <w:topLinePunct/>
        <w:spacing w:line="360" w:lineRule="exact"/>
        <w:jc w:val="center"/>
        <w:rPr>
          <w:rFonts w:hint="eastAsia" w:ascii="仿宋" w:hAnsi="仿宋" w:eastAsia="仿宋" w:cs="仿宋"/>
          <w:b/>
          <w:sz w:val="32"/>
        </w:rPr>
      </w:pPr>
    </w:p>
    <w:p w14:paraId="51038055">
      <w:pPr>
        <w:kinsoku w:val="0"/>
        <w:wordWrap w:val="0"/>
        <w:topLinePunct/>
        <w:spacing w:line="360" w:lineRule="exact"/>
        <w:jc w:val="center"/>
        <w:rPr>
          <w:rFonts w:hint="eastAsia" w:ascii="仿宋" w:hAnsi="仿宋" w:eastAsia="仿宋" w:cs="仿宋"/>
          <w:b/>
          <w:sz w:val="32"/>
        </w:rPr>
      </w:pPr>
    </w:p>
    <w:p w14:paraId="0E5F11ED">
      <w:pPr>
        <w:kinsoku w:val="0"/>
        <w:wordWrap w:val="0"/>
        <w:topLinePunct/>
        <w:spacing w:line="360" w:lineRule="exact"/>
        <w:jc w:val="center"/>
        <w:rPr>
          <w:rFonts w:hint="eastAsia" w:ascii="仿宋" w:hAnsi="仿宋" w:eastAsia="仿宋" w:cs="仿宋"/>
          <w:b/>
          <w:sz w:val="32"/>
        </w:rPr>
      </w:pPr>
      <w:r>
        <w:rPr>
          <w:rFonts w:hint="eastAsia" w:ascii="仿宋" w:hAnsi="仿宋" w:eastAsia="仿宋" w:cs="仿宋"/>
          <w:b/>
          <w:sz w:val="32"/>
        </w:rPr>
        <w:t>开标一览表</w:t>
      </w:r>
    </w:p>
    <w:p w14:paraId="703F6ACA">
      <w:pPr>
        <w:kinsoku w:val="0"/>
        <w:wordWrap w:val="0"/>
        <w:topLinePunct/>
        <w:spacing w:line="360" w:lineRule="exact"/>
        <w:rPr>
          <w:rFonts w:hint="eastAsia" w:ascii="仿宋" w:hAnsi="仿宋" w:eastAsia="仿宋" w:cs="仿宋"/>
          <w:sz w:val="24"/>
        </w:rPr>
      </w:pPr>
    </w:p>
    <w:p w14:paraId="4BF0C257">
      <w:pPr>
        <w:kinsoku w:val="0"/>
        <w:wordWrap w:val="0"/>
        <w:topLinePunct/>
        <w:spacing w:line="360" w:lineRule="exact"/>
        <w:rPr>
          <w:rFonts w:hint="eastAsia"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6E5C604A">
      <w:pPr>
        <w:kinsoku w:val="0"/>
        <w:wordWrap w:val="0"/>
        <w:topLinePunct/>
        <w:spacing w:line="360" w:lineRule="exact"/>
        <w:rPr>
          <w:rFonts w:hint="eastAsia" w:ascii="仿宋" w:hAnsi="仿宋" w:eastAsia="仿宋" w:cs="仿宋"/>
          <w:sz w:val="21"/>
        </w:rPr>
      </w:pPr>
      <w:r>
        <w:rPr>
          <w:rFonts w:hint="eastAsia" w:ascii="仿宋" w:hAnsi="仿宋" w:eastAsia="仿宋" w:cs="仿宋"/>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122D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8E6EB2B">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序号</w:t>
            </w:r>
          </w:p>
        </w:tc>
        <w:tc>
          <w:tcPr>
            <w:tcW w:w="3652" w:type="dxa"/>
            <w:vAlign w:val="center"/>
          </w:tcPr>
          <w:p w14:paraId="7DD8CD39">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项目名称</w:t>
            </w:r>
          </w:p>
        </w:tc>
        <w:tc>
          <w:tcPr>
            <w:tcW w:w="1992" w:type="dxa"/>
            <w:vAlign w:val="center"/>
          </w:tcPr>
          <w:p w14:paraId="01460689">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投标总报价</w:t>
            </w:r>
          </w:p>
        </w:tc>
        <w:tc>
          <w:tcPr>
            <w:tcW w:w="2656" w:type="dxa"/>
            <w:vAlign w:val="center"/>
          </w:tcPr>
          <w:p w14:paraId="76756EF0">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备注</w:t>
            </w:r>
          </w:p>
        </w:tc>
      </w:tr>
      <w:tr w14:paraId="0B73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04A02D9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一</w:t>
            </w:r>
          </w:p>
        </w:tc>
        <w:tc>
          <w:tcPr>
            <w:tcW w:w="3652" w:type="dxa"/>
            <w:vAlign w:val="center"/>
          </w:tcPr>
          <w:p w14:paraId="1000FD54">
            <w:pPr>
              <w:kinsoku w:val="0"/>
              <w:wordWrap w:val="0"/>
              <w:topLinePunct/>
              <w:spacing w:line="360" w:lineRule="exact"/>
              <w:rPr>
                <w:rFonts w:hint="eastAsia" w:ascii="仿宋" w:hAnsi="仿宋" w:eastAsia="仿宋" w:cs="仿宋"/>
                <w:sz w:val="18"/>
              </w:rPr>
            </w:pPr>
          </w:p>
        </w:tc>
        <w:tc>
          <w:tcPr>
            <w:tcW w:w="1992" w:type="dxa"/>
            <w:vAlign w:val="center"/>
          </w:tcPr>
          <w:p w14:paraId="11033757">
            <w:pPr>
              <w:kinsoku w:val="0"/>
              <w:wordWrap w:val="0"/>
              <w:topLinePunct/>
              <w:spacing w:line="360" w:lineRule="exact"/>
              <w:jc w:val="center"/>
              <w:rPr>
                <w:rFonts w:hint="eastAsia" w:ascii="仿宋" w:hAnsi="仿宋" w:eastAsia="仿宋" w:cs="仿宋"/>
                <w:sz w:val="18"/>
              </w:rPr>
            </w:pPr>
          </w:p>
        </w:tc>
        <w:tc>
          <w:tcPr>
            <w:tcW w:w="2656" w:type="dxa"/>
            <w:vAlign w:val="center"/>
          </w:tcPr>
          <w:p w14:paraId="436EC472">
            <w:pPr>
              <w:kinsoku w:val="0"/>
              <w:wordWrap w:val="0"/>
              <w:topLinePunct/>
              <w:spacing w:line="360" w:lineRule="exact"/>
              <w:jc w:val="center"/>
              <w:rPr>
                <w:rFonts w:hint="eastAsia" w:ascii="仿宋" w:hAnsi="仿宋" w:eastAsia="仿宋" w:cs="仿宋"/>
                <w:sz w:val="18"/>
              </w:rPr>
            </w:pPr>
          </w:p>
        </w:tc>
      </w:tr>
      <w:tr w14:paraId="6A7C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9B7D65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二</w:t>
            </w:r>
          </w:p>
        </w:tc>
        <w:tc>
          <w:tcPr>
            <w:tcW w:w="3652" w:type="dxa"/>
            <w:vAlign w:val="center"/>
          </w:tcPr>
          <w:p w14:paraId="7CA5ED77">
            <w:pPr>
              <w:kinsoku w:val="0"/>
              <w:wordWrap w:val="0"/>
              <w:topLinePunct/>
              <w:spacing w:line="360" w:lineRule="exact"/>
              <w:rPr>
                <w:rFonts w:hint="eastAsia" w:ascii="仿宋" w:hAnsi="仿宋" w:eastAsia="仿宋" w:cs="仿宋"/>
                <w:sz w:val="18"/>
              </w:rPr>
            </w:pPr>
          </w:p>
        </w:tc>
        <w:tc>
          <w:tcPr>
            <w:tcW w:w="1992" w:type="dxa"/>
            <w:vAlign w:val="center"/>
          </w:tcPr>
          <w:p w14:paraId="0493DABB">
            <w:pPr>
              <w:kinsoku w:val="0"/>
              <w:wordWrap w:val="0"/>
              <w:topLinePunct/>
              <w:spacing w:line="360" w:lineRule="exact"/>
              <w:jc w:val="center"/>
              <w:rPr>
                <w:rFonts w:hint="eastAsia" w:ascii="仿宋" w:hAnsi="仿宋" w:eastAsia="仿宋" w:cs="仿宋"/>
                <w:sz w:val="18"/>
              </w:rPr>
            </w:pPr>
          </w:p>
        </w:tc>
        <w:tc>
          <w:tcPr>
            <w:tcW w:w="2656" w:type="dxa"/>
            <w:vAlign w:val="center"/>
          </w:tcPr>
          <w:p w14:paraId="373AEC02">
            <w:pPr>
              <w:kinsoku w:val="0"/>
              <w:wordWrap w:val="0"/>
              <w:topLinePunct/>
              <w:spacing w:line="360" w:lineRule="exact"/>
              <w:jc w:val="center"/>
              <w:rPr>
                <w:rFonts w:hint="eastAsia" w:ascii="仿宋" w:hAnsi="仿宋" w:eastAsia="仿宋" w:cs="仿宋"/>
                <w:sz w:val="18"/>
              </w:rPr>
            </w:pPr>
          </w:p>
        </w:tc>
      </w:tr>
      <w:tr w14:paraId="420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56E3671">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三</w:t>
            </w:r>
          </w:p>
        </w:tc>
        <w:tc>
          <w:tcPr>
            <w:tcW w:w="3652" w:type="dxa"/>
            <w:vAlign w:val="center"/>
          </w:tcPr>
          <w:p w14:paraId="002B5E47">
            <w:pPr>
              <w:kinsoku w:val="0"/>
              <w:wordWrap w:val="0"/>
              <w:topLinePunct/>
              <w:spacing w:line="360" w:lineRule="exact"/>
              <w:rPr>
                <w:rFonts w:hint="eastAsia" w:ascii="仿宋" w:hAnsi="仿宋" w:eastAsia="仿宋" w:cs="仿宋"/>
                <w:sz w:val="18"/>
              </w:rPr>
            </w:pPr>
          </w:p>
        </w:tc>
        <w:tc>
          <w:tcPr>
            <w:tcW w:w="1992" w:type="dxa"/>
            <w:vAlign w:val="center"/>
          </w:tcPr>
          <w:p w14:paraId="1ACC7960">
            <w:pPr>
              <w:kinsoku w:val="0"/>
              <w:wordWrap w:val="0"/>
              <w:topLinePunct/>
              <w:spacing w:line="360" w:lineRule="exact"/>
              <w:jc w:val="center"/>
              <w:rPr>
                <w:rFonts w:hint="eastAsia" w:ascii="仿宋" w:hAnsi="仿宋" w:eastAsia="仿宋" w:cs="仿宋"/>
                <w:sz w:val="18"/>
              </w:rPr>
            </w:pPr>
          </w:p>
        </w:tc>
        <w:tc>
          <w:tcPr>
            <w:tcW w:w="2656" w:type="dxa"/>
            <w:vAlign w:val="center"/>
          </w:tcPr>
          <w:p w14:paraId="31591877">
            <w:pPr>
              <w:kinsoku w:val="0"/>
              <w:wordWrap w:val="0"/>
              <w:topLinePunct/>
              <w:spacing w:line="360" w:lineRule="exact"/>
              <w:jc w:val="center"/>
              <w:rPr>
                <w:rFonts w:hint="eastAsia" w:ascii="仿宋" w:hAnsi="仿宋" w:eastAsia="仿宋" w:cs="仿宋"/>
                <w:sz w:val="18"/>
              </w:rPr>
            </w:pPr>
          </w:p>
        </w:tc>
      </w:tr>
      <w:tr w14:paraId="52A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7090329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四</w:t>
            </w:r>
          </w:p>
        </w:tc>
        <w:tc>
          <w:tcPr>
            <w:tcW w:w="3652" w:type="dxa"/>
            <w:vAlign w:val="center"/>
          </w:tcPr>
          <w:p w14:paraId="66F102D9">
            <w:pPr>
              <w:kinsoku w:val="0"/>
              <w:wordWrap w:val="0"/>
              <w:topLinePunct/>
              <w:spacing w:line="360" w:lineRule="exact"/>
              <w:rPr>
                <w:rFonts w:hint="eastAsia" w:ascii="仿宋" w:hAnsi="仿宋" w:eastAsia="仿宋" w:cs="仿宋"/>
                <w:sz w:val="18"/>
              </w:rPr>
            </w:pPr>
          </w:p>
        </w:tc>
        <w:tc>
          <w:tcPr>
            <w:tcW w:w="1992" w:type="dxa"/>
            <w:vAlign w:val="center"/>
          </w:tcPr>
          <w:p w14:paraId="470729C1">
            <w:pPr>
              <w:kinsoku w:val="0"/>
              <w:wordWrap w:val="0"/>
              <w:topLinePunct/>
              <w:spacing w:line="360" w:lineRule="exact"/>
              <w:jc w:val="center"/>
              <w:rPr>
                <w:rFonts w:hint="eastAsia" w:ascii="仿宋" w:hAnsi="仿宋" w:eastAsia="仿宋" w:cs="仿宋"/>
                <w:sz w:val="18"/>
              </w:rPr>
            </w:pPr>
          </w:p>
        </w:tc>
        <w:tc>
          <w:tcPr>
            <w:tcW w:w="2656" w:type="dxa"/>
            <w:vAlign w:val="center"/>
          </w:tcPr>
          <w:p w14:paraId="78D9B2AB">
            <w:pPr>
              <w:kinsoku w:val="0"/>
              <w:wordWrap w:val="0"/>
              <w:topLinePunct/>
              <w:spacing w:line="360" w:lineRule="exact"/>
              <w:jc w:val="center"/>
              <w:rPr>
                <w:rFonts w:hint="eastAsia" w:ascii="仿宋" w:hAnsi="仿宋" w:eastAsia="仿宋" w:cs="仿宋"/>
                <w:sz w:val="18"/>
              </w:rPr>
            </w:pPr>
          </w:p>
        </w:tc>
      </w:tr>
      <w:tr w14:paraId="20BC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1A528545">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五</w:t>
            </w:r>
          </w:p>
        </w:tc>
        <w:tc>
          <w:tcPr>
            <w:tcW w:w="3652" w:type="dxa"/>
            <w:vAlign w:val="center"/>
          </w:tcPr>
          <w:p w14:paraId="6ACF571E">
            <w:pPr>
              <w:kinsoku w:val="0"/>
              <w:wordWrap w:val="0"/>
              <w:topLinePunct/>
              <w:spacing w:line="360" w:lineRule="exact"/>
              <w:rPr>
                <w:rFonts w:hint="eastAsia" w:ascii="仿宋" w:hAnsi="仿宋" w:eastAsia="仿宋" w:cs="仿宋"/>
                <w:sz w:val="18"/>
              </w:rPr>
            </w:pPr>
          </w:p>
        </w:tc>
        <w:tc>
          <w:tcPr>
            <w:tcW w:w="1992" w:type="dxa"/>
            <w:vAlign w:val="center"/>
          </w:tcPr>
          <w:p w14:paraId="2F4E1CCD">
            <w:pPr>
              <w:kinsoku w:val="0"/>
              <w:wordWrap w:val="0"/>
              <w:topLinePunct/>
              <w:spacing w:line="360" w:lineRule="exact"/>
              <w:jc w:val="center"/>
              <w:rPr>
                <w:rFonts w:hint="eastAsia" w:ascii="仿宋" w:hAnsi="仿宋" w:eastAsia="仿宋" w:cs="仿宋"/>
                <w:sz w:val="18"/>
              </w:rPr>
            </w:pPr>
          </w:p>
        </w:tc>
        <w:tc>
          <w:tcPr>
            <w:tcW w:w="2656" w:type="dxa"/>
            <w:vAlign w:val="center"/>
          </w:tcPr>
          <w:p w14:paraId="62B3A489">
            <w:pPr>
              <w:kinsoku w:val="0"/>
              <w:wordWrap w:val="0"/>
              <w:topLinePunct/>
              <w:spacing w:line="360" w:lineRule="exact"/>
              <w:jc w:val="center"/>
              <w:rPr>
                <w:rFonts w:hint="eastAsia" w:ascii="仿宋" w:hAnsi="仿宋" w:eastAsia="仿宋" w:cs="仿宋"/>
                <w:sz w:val="18"/>
              </w:rPr>
            </w:pPr>
          </w:p>
        </w:tc>
      </w:tr>
      <w:tr w14:paraId="15AF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787BF4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六</w:t>
            </w:r>
          </w:p>
        </w:tc>
        <w:tc>
          <w:tcPr>
            <w:tcW w:w="3652" w:type="dxa"/>
            <w:vAlign w:val="center"/>
          </w:tcPr>
          <w:p w14:paraId="5DC2AD69">
            <w:pPr>
              <w:kinsoku w:val="0"/>
              <w:wordWrap w:val="0"/>
              <w:topLinePunct/>
              <w:spacing w:line="360" w:lineRule="exact"/>
              <w:rPr>
                <w:rFonts w:hint="eastAsia" w:ascii="仿宋" w:hAnsi="仿宋" w:eastAsia="仿宋" w:cs="仿宋"/>
                <w:sz w:val="18"/>
              </w:rPr>
            </w:pPr>
          </w:p>
        </w:tc>
        <w:tc>
          <w:tcPr>
            <w:tcW w:w="1992" w:type="dxa"/>
            <w:vAlign w:val="center"/>
          </w:tcPr>
          <w:p w14:paraId="10837714">
            <w:pPr>
              <w:kinsoku w:val="0"/>
              <w:wordWrap w:val="0"/>
              <w:topLinePunct/>
              <w:spacing w:line="360" w:lineRule="exact"/>
              <w:jc w:val="center"/>
              <w:rPr>
                <w:rFonts w:hint="eastAsia" w:ascii="仿宋" w:hAnsi="仿宋" w:eastAsia="仿宋" w:cs="仿宋"/>
                <w:sz w:val="18"/>
              </w:rPr>
            </w:pPr>
          </w:p>
        </w:tc>
        <w:tc>
          <w:tcPr>
            <w:tcW w:w="2656" w:type="dxa"/>
            <w:vAlign w:val="center"/>
          </w:tcPr>
          <w:p w14:paraId="1E7BFD41">
            <w:pPr>
              <w:kinsoku w:val="0"/>
              <w:wordWrap w:val="0"/>
              <w:topLinePunct/>
              <w:spacing w:line="360" w:lineRule="exact"/>
              <w:jc w:val="center"/>
              <w:rPr>
                <w:rFonts w:hint="eastAsia" w:ascii="仿宋" w:hAnsi="仿宋" w:eastAsia="仿宋" w:cs="仿宋"/>
                <w:sz w:val="18"/>
              </w:rPr>
            </w:pPr>
          </w:p>
        </w:tc>
      </w:tr>
      <w:tr w14:paraId="4894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05591C6D">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七</w:t>
            </w:r>
          </w:p>
        </w:tc>
        <w:tc>
          <w:tcPr>
            <w:tcW w:w="3652" w:type="dxa"/>
            <w:vAlign w:val="center"/>
          </w:tcPr>
          <w:p w14:paraId="46A42A49">
            <w:pPr>
              <w:kinsoku w:val="0"/>
              <w:wordWrap w:val="0"/>
              <w:topLinePunct/>
              <w:spacing w:line="360" w:lineRule="exact"/>
              <w:rPr>
                <w:rFonts w:hint="eastAsia" w:ascii="仿宋" w:hAnsi="仿宋" w:eastAsia="仿宋" w:cs="仿宋"/>
                <w:sz w:val="18"/>
              </w:rPr>
            </w:pPr>
          </w:p>
        </w:tc>
        <w:tc>
          <w:tcPr>
            <w:tcW w:w="1992" w:type="dxa"/>
            <w:vAlign w:val="center"/>
          </w:tcPr>
          <w:p w14:paraId="22F6FE33">
            <w:pPr>
              <w:kinsoku w:val="0"/>
              <w:wordWrap w:val="0"/>
              <w:topLinePunct/>
              <w:spacing w:line="360" w:lineRule="exact"/>
              <w:jc w:val="center"/>
              <w:rPr>
                <w:rFonts w:hint="eastAsia" w:ascii="仿宋" w:hAnsi="仿宋" w:eastAsia="仿宋" w:cs="仿宋"/>
                <w:sz w:val="18"/>
              </w:rPr>
            </w:pPr>
          </w:p>
        </w:tc>
        <w:tc>
          <w:tcPr>
            <w:tcW w:w="2656" w:type="dxa"/>
            <w:vAlign w:val="center"/>
          </w:tcPr>
          <w:p w14:paraId="7882AF88">
            <w:pPr>
              <w:kinsoku w:val="0"/>
              <w:wordWrap w:val="0"/>
              <w:topLinePunct/>
              <w:spacing w:line="360" w:lineRule="exact"/>
              <w:jc w:val="center"/>
              <w:rPr>
                <w:rFonts w:hint="eastAsia" w:ascii="仿宋" w:hAnsi="仿宋" w:eastAsia="仿宋" w:cs="仿宋"/>
                <w:sz w:val="18"/>
              </w:rPr>
            </w:pPr>
          </w:p>
        </w:tc>
      </w:tr>
      <w:tr w14:paraId="7471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1725231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八</w:t>
            </w:r>
          </w:p>
        </w:tc>
        <w:tc>
          <w:tcPr>
            <w:tcW w:w="3652" w:type="dxa"/>
            <w:vAlign w:val="center"/>
          </w:tcPr>
          <w:p w14:paraId="06BF6912">
            <w:pPr>
              <w:kinsoku w:val="0"/>
              <w:wordWrap w:val="0"/>
              <w:topLinePunct/>
              <w:spacing w:line="360" w:lineRule="exact"/>
              <w:rPr>
                <w:rFonts w:hint="eastAsia" w:ascii="仿宋" w:hAnsi="仿宋" w:eastAsia="仿宋" w:cs="仿宋"/>
                <w:sz w:val="18"/>
              </w:rPr>
            </w:pPr>
          </w:p>
        </w:tc>
        <w:tc>
          <w:tcPr>
            <w:tcW w:w="1992" w:type="dxa"/>
            <w:vAlign w:val="center"/>
          </w:tcPr>
          <w:p w14:paraId="782E90DB">
            <w:pPr>
              <w:kinsoku w:val="0"/>
              <w:wordWrap w:val="0"/>
              <w:topLinePunct/>
              <w:spacing w:line="360" w:lineRule="exact"/>
              <w:jc w:val="center"/>
              <w:rPr>
                <w:rFonts w:hint="eastAsia" w:ascii="仿宋" w:hAnsi="仿宋" w:eastAsia="仿宋" w:cs="仿宋"/>
                <w:sz w:val="18"/>
              </w:rPr>
            </w:pPr>
          </w:p>
        </w:tc>
        <w:tc>
          <w:tcPr>
            <w:tcW w:w="2656" w:type="dxa"/>
            <w:vAlign w:val="center"/>
          </w:tcPr>
          <w:p w14:paraId="2D78200A">
            <w:pPr>
              <w:kinsoku w:val="0"/>
              <w:wordWrap w:val="0"/>
              <w:topLinePunct/>
              <w:spacing w:line="360" w:lineRule="exact"/>
              <w:jc w:val="center"/>
              <w:rPr>
                <w:rFonts w:hint="eastAsia" w:ascii="仿宋" w:hAnsi="仿宋" w:eastAsia="仿宋" w:cs="仿宋"/>
                <w:sz w:val="18"/>
              </w:rPr>
            </w:pPr>
          </w:p>
        </w:tc>
      </w:tr>
    </w:tbl>
    <w:p w14:paraId="513D827E">
      <w:pPr>
        <w:kinsoku w:val="0"/>
        <w:wordWrap w:val="0"/>
        <w:topLinePunct/>
        <w:spacing w:line="360" w:lineRule="exact"/>
        <w:rPr>
          <w:rFonts w:hint="eastAsia" w:ascii="仿宋" w:hAnsi="仿宋" w:eastAsia="仿宋" w:cs="仿宋"/>
          <w:sz w:val="24"/>
        </w:rPr>
      </w:pPr>
    </w:p>
    <w:p w14:paraId="3FC407E5">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5E6FBA26">
      <w:pPr>
        <w:kinsoku w:val="0"/>
        <w:wordWrap w:val="0"/>
        <w:topLinePunct/>
        <w:rPr>
          <w:rFonts w:hint="eastAsia" w:ascii="仿宋" w:hAnsi="仿宋" w:eastAsia="仿宋" w:cs="仿宋"/>
        </w:rPr>
      </w:pPr>
    </w:p>
    <w:p w14:paraId="7F453B76">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服务承诺书（格式）</w:t>
      </w:r>
    </w:p>
    <w:p w14:paraId="1E072125">
      <w:pPr>
        <w:kinsoku w:val="0"/>
        <w:wordWrap w:val="0"/>
        <w:topLinePunct/>
        <w:ind w:left="851" w:hanging="851"/>
        <w:jc w:val="center"/>
        <w:rPr>
          <w:rFonts w:hint="eastAsia" w:ascii="仿宋" w:hAnsi="仿宋" w:eastAsia="仿宋" w:cs="仿宋"/>
        </w:rPr>
      </w:pPr>
    </w:p>
    <w:p w14:paraId="128F44E9">
      <w:pPr>
        <w:kinsoku w:val="0"/>
        <w:wordWrap w:val="0"/>
        <w:topLinePunct/>
        <w:ind w:left="851" w:hanging="851"/>
        <w:rPr>
          <w:rFonts w:hint="eastAsia" w:ascii="仿宋" w:hAnsi="仿宋" w:eastAsia="仿宋" w:cs="仿宋"/>
          <w:sz w:val="24"/>
        </w:rPr>
      </w:pPr>
      <w:r>
        <w:rPr>
          <w:rFonts w:hint="eastAsia" w:ascii="仿宋" w:hAnsi="仿宋" w:eastAsia="仿宋" w:cs="仿宋"/>
          <w:sz w:val="24"/>
        </w:rPr>
        <w:t>致：汕头大学医学院：</w:t>
      </w:r>
    </w:p>
    <w:p w14:paraId="1D536887">
      <w:pPr>
        <w:kinsoku w:val="0"/>
        <w:wordWrap w:val="0"/>
        <w:topLinePunct/>
        <w:ind w:firstLine="664"/>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23DDBA44">
      <w:pPr>
        <w:kinsoku w:val="0"/>
        <w:wordWrap w:val="0"/>
        <w:topLinePunct/>
        <w:ind w:firstLine="664"/>
        <w:rPr>
          <w:rFonts w:hint="eastAsia" w:ascii="仿宋" w:hAnsi="仿宋" w:eastAsia="仿宋" w:cs="仿宋"/>
          <w:sz w:val="24"/>
        </w:rPr>
      </w:pPr>
    </w:p>
    <w:p w14:paraId="0C3F9787">
      <w:pPr>
        <w:kinsoku w:val="0"/>
        <w:wordWrap w:val="0"/>
        <w:topLinePunct/>
        <w:ind w:firstLine="664"/>
        <w:rPr>
          <w:rFonts w:hint="eastAsia" w:ascii="仿宋" w:hAnsi="仿宋" w:eastAsia="仿宋" w:cs="仿宋"/>
          <w:sz w:val="24"/>
        </w:rPr>
      </w:pPr>
    </w:p>
    <w:p w14:paraId="7EA4BAD4">
      <w:pPr>
        <w:kinsoku w:val="0"/>
        <w:wordWrap w:val="0"/>
        <w:topLinePunct/>
        <w:ind w:firstLine="664"/>
        <w:rPr>
          <w:rFonts w:hint="eastAsia" w:ascii="仿宋" w:hAnsi="仿宋" w:eastAsia="仿宋" w:cs="仿宋"/>
          <w:sz w:val="24"/>
        </w:rPr>
      </w:pPr>
    </w:p>
    <w:p w14:paraId="10A05E57">
      <w:pPr>
        <w:kinsoku w:val="0"/>
        <w:wordWrap w:val="0"/>
        <w:topLinePunct/>
        <w:ind w:firstLine="664"/>
        <w:rPr>
          <w:rFonts w:hint="eastAsia" w:ascii="仿宋" w:hAnsi="仿宋" w:eastAsia="仿宋" w:cs="仿宋"/>
          <w:sz w:val="24"/>
        </w:rPr>
      </w:pPr>
    </w:p>
    <w:p w14:paraId="734FE4E0">
      <w:pPr>
        <w:kinsoku w:val="0"/>
        <w:wordWrap w:val="0"/>
        <w:topLinePunct/>
        <w:ind w:firstLine="664"/>
        <w:rPr>
          <w:rFonts w:hint="eastAsia" w:ascii="仿宋" w:hAnsi="仿宋" w:eastAsia="仿宋" w:cs="仿宋"/>
          <w:sz w:val="24"/>
        </w:rPr>
      </w:pPr>
    </w:p>
    <w:p w14:paraId="5B0C6B32">
      <w:pPr>
        <w:kinsoku w:val="0"/>
        <w:wordWrap w:val="0"/>
        <w:topLinePunct/>
        <w:ind w:firstLine="664"/>
        <w:rPr>
          <w:rFonts w:hint="eastAsia" w:ascii="仿宋" w:hAnsi="仿宋" w:eastAsia="仿宋" w:cs="仿宋"/>
          <w:sz w:val="24"/>
        </w:rPr>
      </w:pPr>
    </w:p>
    <w:p w14:paraId="067946E4">
      <w:pPr>
        <w:kinsoku w:val="0"/>
        <w:wordWrap w:val="0"/>
        <w:topLinePunct/>
        <w:ind w:firstLine="664"/>
        <w:rPr>
          <w:rFonts w:hint="eastAsia" w:ascii="仿宋" w:hAnsi="仿宋" w:eastAsia="仿宋" w:cs="仿宋"/>
          <w:sz w:val="24"/>
        </w:rPr>
      </w:pPr>
    </w:p>
    <w:p w14:paraId="75A1579D">
      <w:pPr>
        <w:kinsoku w:val="0"/>
        <w:wordWrap w:val="0"/>
        <w:topLinePunct/>
        <w:ind w:firstLine="664"/>
        <w:rPr>
          <w:rFonts w:hint="eastAsia" w:ascii="仿宋" w:hAnsi="仿宋" w:eastAsia="仿宋" w:cs="仿宋"/>
          <w:sz w:val="24"/>
        </w:rPr>
      </w:pPr>
    </w:p>
    <w:p w14:paraId="49AB2A7B">
      <w:pPr>
        <w:kinsoku w:val="0"/>
        <w:wordWrap w:val="0"/>
        <w:topLinePunct/>
        <w:ind w:firstLine="664"/>
        <w:rPr>
          <w:rFonts w:hint="eastAsia" w:ascii="仿宋" w:hAnsi="仿宋" w:eastAsia="仿宋" w:cs="仿宋"/>
          <w:sz w:val="24"/>
        </w:rPr>
      </w:pPr>
    </w:p>
    <w:p w14:paraId="468981AE">
      <w:pPr>
        <w:kinsoku w:val="0"/>
        <w:wordWrap w:val="0"/>
        <w:topLinePunct/>
        <w:ind w:firstLine="664"/>
        <w:rPr>
          <w:rFonts w:hint="eastAsia" w:ascii="仿宋" w:hAnsi="仿宋" w:eastAsia="仿宋" w:cs="仿宋"/>
          <w:sz w:val="24"/>
        </w:rPr>
      </w:pPr>
      <w:r>
        <w:rPr>
          <w:rFonts w:hint="eastAsia" w:ascii="仿宋" w:hAnsi="仿宋" w:eastAsia="仿宋" w:cs="仿宋"/>
          <w:sz w:val="24"/>
        </w:rPr>
        <w:t>特此承诺！</w:t>
      </w:r>
    </w:p>
    <w:p w14:paraId="2440D79D">
      <w:pPr>
        <w:kinsoku w:val="0"/>
        <w:wordWrap w:val="0"/>
        <w:topLinePunct/>
        <w:ind w:firstLine="664"/>
        <w:rPr>
          <w:rFonts w:hint="eastAsia" w:ascii="仿宋" w:hAnsi="仿宋" w:eastAsia="仿宋" w:cs="仿宋"/>
          <w:sz w:val="24"/>
        </w:rPr>
      </w:pPr>
    </w:p>
    <w:p w14:paraId="669C6EFC">
      <w:pPr>
        <w:kinsoku w:val="0"/>
        <w:wordWrap w:val="0"/>
        <w:topLinePunct/>
        <w:rPr>
          <w:rFonts w:hint="eastAsia"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1A5AA84B">
      <w:pPr>
        <w:kinsoku w:val="0"/>
        <w:wordWrap w:val="0"/>
        <w:topLinePunct/>
        <w:rPr>
          <w:rFonts w:hint="eastAsia"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22F70A8F">
      <w:pPr>
        <w:kinsoku w:val="0"/>
        <w:wordWrap w:val="0"/>
        <w:topLinePunct/>
        <w:rPr>
          <w:rFonts w:hint="eastAsia"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7A5CC419">
      <w:pPr>
        <w:kinsoku w:val="0"/>
        <w:wordWrap w:val="0"/>
        <w:topLinePunct/>
        <w:rPr>
          <w:rFonts w:hint="eastAsia"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53DBDD1B">
      <w:pPr>
        <w:kinsoku w:val="0"/>
        <w:wordWrap w:val="0"/>
        <w:topLinePunct/>
        <w:rPr>
          <w:rFonts w:hint="eastAsia" w:ascii="仿宋" w:hAnsi="仿宋" w:eastAsia="仿宋" w:cs="仿宋"/>
          <w:sz w:val="24"/>
        </w:rPr>
      </w:pPr>
      <w:r>
        <w:rPr>
          <w:rFonts w:hint="eastAsia" w:ascii="仿宋" w:hAnsi="仿宋" w:eastAsia="仿宋" w:cs="仿宋"/>
          <w:sz w:val="24"/>
        </w:rPr>
        <w:t xml:space="preserve">   </w:t>
      </w:r>
    </w:p>
    <w:p w14:paraId="34BE2F8C">
      <w:pPr>
        <w:kinsoku w:val="0"/>
        <w:wordWrap w:val="0"/>
        <w:topLinePunct/>
        <w:ind w:firstLine="735"/>
        <w:rPr>
          <w:rFonts w:hint="eastAsia" w:ascii="仿宋" w:hAnsi="仿宋" w:eastAsia="仿宋" w:cs="仿宋"/>
          <w:sz w:val="24"/>
        </w:rPr>
      </w:pPr>
      <w:r>
        <w:rPr>
          <w:rFonts w:hint="eastAsia" w:ascii="仿宋" w:hAnsi="仿宋" w:eastAsia="仿宋" w:cs="仿宋"/>
          <w:sz w:val="24"/>
        </w:rPr>
        <w:t>地  址：</w:t>
      </w:r>
    </w:p>
    <w:p w14:paraId="7F32E66C">
      <w:pPr>
        <w:kinsoku w:val="0"/>
        <w:wordWrap w:val="0"/>
        <w:topLinePunct/>
        <w:ind w:firstLine="735"/>
        <w:rPr>
          <w:rFonts w:hint="eastAsia" w:ascii="仿宋" w:hAnsi="仿宋" w:eastAsia="仿宋" w:cs="仿宋"/>
          <w:sz w:val="24"/>
        </w:rPr>
      </w:pPr>
      <w:r>
        <w:rPr>
          <w:rFonts w:hint="eastAsia" w:ascii="仿宋" w:hAnsi="仿宋" w:eastAsia="仿宋" w:cs="仿宋"/>
          <w:sz w:val="24"/>
        </w:rPr>
        <w:t>邮  编：</w:t>
      </w:r>
    </w:p>
    <w:p w14:paraId="5EBEB1E5">
      <w:pPr>
        <w:kinsoku w:val="0"/>
        <w:wordWrap w:val="0"/>
        <w:topLinePunct/>
        <w:ind w:firstLine="735"/>
        <w:rPr>
          <w:rFonts w:hint="eastAsia" w:ascii="仿宋" w:hAnsi="仿宋" w:eastAsia="仿宋" w:cs="仿宋"/>
          <w:sz w:val="24"/>
        </w:rPr>
      </w:pPr>
      <w:r>
        <w:rPr>
          <w:rFonts w:hint="eastAsia" w:ascii="仿宋" w:hAnsi="仿宋" w:eastAsia="仿宋" w:cs="仿宋"/>
          <w:sz w:val="24"/>
        </w:rPr>
        <w:t>电  话：</w:t>
      </w:r>
    </w:p>
    <w:p w14:paraId="54BB9759">
      <w:pPr>
        <w:kinsoku w:val="0"/>
        <w:wordWrap w:val="0"/>
        <w:topLinePunct/>
        <w:ind w:firstLine="735"/>
        <w:rPr>
          <w:rFonts w:hint="eastAsia" w:ascii="仿宋" w:hAnsi="仿宋" w:eastAsia="仿宋" w:cs="仿宋"/>
          <w:sz w:val="24"/>
        </w:rPr>
      </w:pPr>
      <w:r>
        <w:rPr>
          <w:rFonts w:hint="eastAsia" w:ascii="仿宋" w:hAnsi="仿宋" w:eastAsia="仿宋" w:cs="仿宋"/>
          <w:sz w:val="24"/>
        </w:rPr>
        <w:t>传  真：</w:t>
      </w:r>
    </w:p>
    <w:p w14:paraId="3BAA2685">
      <w:pPr>
        <w:kinsoku w:val="0"/>
        <w:wordWrap w:val="0"/>
        <w:topLinePunct/>
        <w:rPr>
          <w:rFonts w:hint="eastAsia" w:ascii="仿宋" w:hAnsi="仿宋" w:eastAsia="仿宋" w:cs="仿宋"/>
          <w:sz w:val="24"/>
        </w:rPr>
      </w:pPr>
    </w:p>
    <w:p w14:paraId="09949975">
      <w:pPr>
        <w:kinsoku w:val="0"/>
        <w:wordWrap w:val="0"/>
        <w:topLinePunct/>
        <w:rPr>
          <w:rFonts w:hint="eastAsia" w:ascii="仿宋" w:hAnsi="仿宋" w:eastAsia="仿宋" w:cs="仿宋"/>
          <w:sz w:val="24"/>
        </w:rPr>
      </w:pPr>
    </w:p>
    <w:p w14:paraId="24CFC884">
      <w:pPr>
        <w:kinsoku w:val="0"/>
        <w:wordWrap w:val="0"/>
        <w:topLinePunct/>
        <w:rPr>
          <w:rFonts w:hint="eastAsia" w:ascii="仿宋" w:hAnsi="仿宋" w:eastAsia="仿宋" w:cs="仿宋"/>
          <w:sz w:val="24"/>
        </w:rPr>
      </w:pPr>
    </w:p>
    <w:p w14:paraId="524C2D78">
      <w:pPr>
        <w:kinsoku w:val="0"/>
        <w:wordWrap w:val="0"/>
        <w:topLinePunct/>
        <w:rPr>
          <w:rFonts w:hint="eastAsia" w:ascii="仿宋" w:hAnsi="仿宋" w:eastAsia="仿宋" w:cs="仿宋"/>
          <w:sz w:val="24"/>
        </w:rPr>
      </w:pPr>
    </w:p>
    <w:p w14:paraId="4F79334D">
      <w:pPr>
        <w:kinsoku w:val="0"/>
        <w:wordWrap w:val="0"/>
        <w:topLinePunct/>
        <w:ind w:left="851" w:hanging="851"/>
        <w:rPr>
          <w:rFonts w:hint="eastAsia" w:ascii="仿宋" w:hAnsi="仿宋" w:eastAsia="仿宋" w:cs="仿宋"/>
          <w:sz w:val="24"/>
        </w:rPr>
      </w:pPr>
      <w:r>
        <w:rPr>
          <w:rFonts w:hint="eastAsia" w:ascii="仿宋" w:hAnsi="仿宋" w:eastAsia="仿宋" w:cs="仿宋"/>
          <w:sz w:val="24"/>
        </w:rPr>
        <w:t xml:space="preserve"> </w:t>
      </w:r>
    </w:p>
    <w:p w14:paraId="77B20196">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02F3D7EC">
      <w:pPr>
        <w:kinsoku w:val="0"/>
        <w:wordWrap w:val="0"/>
        <w:topLinePunct/>
        <w:ind w:left="851" w:hanging="851"/>
        <w:rPr>
          <w:rFonts w:hint="eastAsia" w:ascii="仿宋" w:hAnsi="仿宋" w:eastAsia="仿宋" w:cs="仿宋"/>
          <w:sz w:val="24"/>
        </w:rPr>
      </w:pPr>
    </w:p>
    <w:p w14:paraId="5FAF3919">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关于资格文件声明的函</w:t>
      </w:r>
    </w:p>
    <w:p w14:paraId="602E4F0C">
      <w:pPr>
        <w:kinsoku w:val="0"/>
        <w:wordWrap w:val="0"/>
        <w:topLinePunct/>
        <w:ind w:left="851" w:hanging="851"/>
        <w:rPr>
          <w:rFonts w:hint="eastAsia" w:ascii="仿宋" w:hAnsi="仿宋" w:eastAsia="仿宋" w:cs="仿宋"/>
          <w:sz w:val="24"/>
        </w:rPr>
      </w:pPr>
    </w:p>
    <w:p w14:paraId="6B9B5D78">
      <w:pPr>
        <w:kinsoku w:val="0"/>
        <w:wordWrap w:val="0"/>
        <w:topLinePunct/>
        <w:spacing w:after="180"/>
        <w:ind w:left="850" w:hanging="266"/>
        <w:rPr>
          <w:rFonts w:hint="eastAsia" w:ascii="仿宋" w:hAnsi="仿宋" w:eastAsia="仿宋" w:cs="仿宋"/>
          <w:sz w:val="24"/>
        </w:rPr>
      </w:pPr>
      <w:r>
        <w:rPr>
          <w:rFonts w:hint="eastAsia" w:ascii="仿宋" w:hAnsi="仿宋" w:eastAsia="仿宋" w:cs="仿宋"/>
          <w:sz w:val="24"/>
        </w:rPr>
        <w:t>致：汕头大学医学院</w:t>
      </w:r>
    </w:p>
    <w:p w14:paraId="425DA3D4">
      <w:pPr>
        <w:kinsoku w:val="0"/>
        <w:wordWrap w:val="0"/>
        <w:topLinePunct/>
        <w:spacing w:after="180"/>
        <w:ind w:firstLine="585"/>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1D62D0C3">
      <w:pPr>
        <w:kinsoku w:val="0"/>
        <w:wordWrap w:val="0"/>
        <w:topLinePunct/>
        <w:spacing w:after="180"/>
        <w:rPr>
          <w:rFonts w:hint="eastAsia" w:ascii="仿宋" w:hAnsi="仿宋" w:eastAsia="仿宋" w:cs="仿宋"/>
          <w:sz w:val="24"/>
        </w:rPr>
      </w:pPr>
    </w:p>
    <w:p w14:paraId="72EF8D06">
      <w:pPr>
        <w:kinsoku w:val="0"/>
        <w:wordWrap w:val="0"/>
        <w:topLinePunct/>
        <w:spacing w:after="180"/>
        <w:rPr>
          <w:rFonts w:hint="eastAsia" w:ascii="仿宋" w:hAnsi="仿宋" w:eastAsia="仿宋" w:cs="仿宋"/>
          <w:sz w:val="24"/>
        </w:rPr>
      </w:pPr>
    </w:p>
    <w:p w14:paraId="6B020441">
      <w:pPr>
        <w:kinsoku w:val="0"/>
        <w:wordWrap w:val="0"/>
        <w:topLinePunct/>
        <w:spacing w:after="180"/>
        <w:rPr>
          <w:rFonts w:hint="eastAsia" w:ascii="仿宋" w:hAnsi="仿宋" w:eastAsia="仿宋" w:cs="仿宋"/>
          <w:sz w:val="24"/>
        </w:rPr>
      </w:pPr>
      <w:r>
        <w:rPr>
          <w:rFonts w:hint="eastAsia" w:ascii="仿宋" w:hAnsi="仿宋" w:eastAsia="仿宋" w:cs="仿宋"/>
          <w:sz w:val="24"/>
        </w:rPr>
        <w:t>单位名称和地址：              授权签署本资格文件人：</w:t>
      </w:r>
    </w:p>
    <w:p w14:paraId="476A332A">
      <w:pPr>
        <w:kinsoku w:val="0"/>
        <w:wordWrap w:val="0"/>
        <w:topLinePunct/>
        <w:spacing w:after="180"/>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5039AE58">
      <w:pPr>
        <w:kinsoku w:val="0"/>
        <w:wordWrap w:val="0"/>
        <w:topLinePunct/>
        <w:spacing w:after="18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4FE248E0">
      <w:pPr>
        <w:kinsoku w:val="0"/>
        <w:wordWrap w:val="0"/>
        <w:topLinePunct/>
        <w:spacing w:after="180"/>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37128A39">
      <w:pPr>
        <w:kinsoku w:val="0"/>
        <w:wordWrap w:val="0"/>
        <w:topLinePunct/>
        <w:spacing w:after="180"/>
        <w:rPr>
          <w:rFonts w:hint="eastAsia"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5D4D862C">
      <w:pPr>
        <w:kinsoku w:val="0"/>
        <w:wordWrap w:val="0"/>
        <w:topLinePunct/>
        <w:spacing w:after="180"/>
        <w:rPr>
          <w:rFonts w:hint="eastAsia" w:ascii="仿宋" w:hAnsi="仿宋" w:eastAsia="仿宋" w:cs="仿宋"/>
          <w:sz w:val="24"/>
        </w:rPr>
      </w:pPr>
    </w:p>
    <w:p w14:paraId="02211B2F">
      <w:pPr>
        <w:kinsoku w:val="0"/>
        <w:wordWrap w:val="0"/>
        <w:topLinePunct/>
        <w:spacing w:after="180"/>
        <w:rPr>
          <w:rFonts w:hint="eastAsia" w:ascii="仿宋" w:hAnsi="仿宋" w:eastAsia="仿宋" w:cs="仿宋"/>
          <w:sz w:val="24"/>
        </w:rPr>
      </w:pPr>
    </w:p>
    <w:p w14:paraId="4B1C7B58">
      <w:pPr>
        <w:kinsoku w:val="0"/>
        <w:wordWrap w:val="0"/>
        <w:topLinePunct/>
        <w:spacing w:after="180"/>
        <w:rPr>
          <w:rFonts w:hint="eastAsia" w:ascii="仿宋" w:hAnsi="仿宋" w:eastAsia="仿宋" w:cs="仿宋"/>
          <w:sz w:val="24"/>
        </w:rPr>
      </w:pPr>
    </w:p>
    <w:p w14:paraId="1EB4AB53">
      <w:pPr>
        <w:kinsoku w:val="0"/>
        <w:wordWrap w:val="0"/>
        <w:topLinePunct/>
        <w:spacing w:after="180"/>
        <w:rPr>
          <w:rFonts w:hint="eastAsia" w:ascii="仿宋" w:hAnsi="仿宋" w:eastAsia="仿宋" w:cs="仿宋"/>
          <w:sz w:val="24"/>
        </w:rPr>
      </w:pPr>
    </w:p>
    <w:p w14:paraId="141D5D28">
      <w:pPr>
        <w:kinsoku w:val="0"/>
        <w:wordWrap w:val="0"/>
        <w:topLinePunct/>
        <w:spacing w:after="180"/>
        <w:rPr>
          <w:rFonts w:hint="eastAsia" w:ascii="仿宋" w:hAnsi="仿宋" w:eastAsia="仿宋" w:cs="仿宋"/>
          <w:sz w:val="24"/>
        </w:rPr>
      </w:pPr>
    </w:p>
    <w:p w14:paraId="458B7E61">
      <w:pPr>
        <w:kinsoku w:val="0"/>
        <w:wordWrap w:val="0"/>
        <w:topLinePunct/>
        <w:spacing w:after="180"/>
        <w:rPr>
          <w:rFonts w:hint="eastAsia" w:ascii="仿宋" w:hAnsi="仿宋" w:eastAsia="仿宋" w:cs="仿宋"/>
          <w:sz w:val="24"/>
        </w:rPr>
      </w:pPr>
    </w:p>
    <w:p w14:paraId="137C2795">
      <w:pPr>
        <w:kinsoku w:val="0"/>
        <w:wordWrap w:val="0"/>
        <w:topLinePunct/>
        <w:spacing w:after="180"/>
        <w:rPr>
          <w:rFonts w:hint="eastAsia" w:ascii="仿宋" w:hAnsi="仿宋" w:eastAsia="仿宋" w:cs="仿宋"/>
          <w:sz w:val="24"/>
        </w:rPr>
      </w:pPr>
    </w:p>
    <w:p w14:paraId="1D073887">
      <w:pPr>
        <w:kinsoku w:val="0"/>
        <w:wordWrap w:val="0"/>
        <w:topLinePunct/>
        <w:spacing w:after="180"/>
        <w:rPr>
          <w:rFonts w:hint="eastAsia" w:ascii="仿宋" w:hAnsi="仿宋" w:eastAsia="仿宋" w:cs="仿宋"/>
          <w:sz w:val="24"/>
        </w:rPr>
      </w:pPr>
    </w:p>
    <w:p w14:paraId="39104BC4">
      <w:pPr>
        <w:kinsoku w:val="0"/>
        <w:wordWrap w:val="0"/>
        <w:topLinePunct/>
        <w:spacing w:after="180"/>
        <w:rPr>
          <w:rFonts w:hint="eastAsia" w:ascii="仿宋" w:hAnsi="仿宋" w:eastAsia="仿宋" w:cs="仿宋"/>
          <w:sz w:val="24"/>
        </w:rPr>
      </w:pPr>
    </w:p>
    <w:p w14:paraId="413764F0">
      <w:pPr>
        <w:kinsoku w:val="0"/>
        <w:wordWrap w:val="0"/>
        <w:topLinePunct/>
        <w:spacing w:after="180"/>
        <w:rPr>
          <w:rFonts w:hint="eastAsia" w:ascii="仿宋" w:hAnsi="仿宋" w:eastAsia="仿宋" w:cs="仿宋"/>
          <w:sz w:val="24"/>
        </w:rPr>
      </w:pPr>
    </w:p>
    <w:p w14:paraId="052810A6">
      <w:pPr>
        <w:kinsoku w:val="0"/>
        <w:wordWrap w:val="0"/>
        <w:topLinePunct/>
        <w:spacing w:after="180"/>
        <w:rPr>
          <w:rFonts w:hint="eastAsia" w:ascii="仿宋" w:hAnsi="仿宋" w:eastAsia="仿宋" w:cs="仿宋"/>
          <w:sz w:val="24"/>
        </w:rPr>
      </w:pPr>
    </w:p>
    <w:p w14:paraId="6D137264">
      <w:pPr>
        <w:kinsoku w:val="0"/>
        <w:wordWrap w:val="0"/>
        <w:topLinePunct/>
        <w:spacing w:after="180"/>
        <w:rPr>
          <w:rFonts w:hint="eastAsia" w:ascii="仿宋" w:hAnsi="仿宋" w:eastAsia="仿宋" w:cs="仿宋"/>
          <w:sz w:val="24"/>
        </w:rPr>
      </w:pPr>
    </w:p>
    <w:p w14:paraId="1E18481D">
      <w:pPr>
        <w:kinsoku w:val="0"/>
        <w:wordWrap w:val="0"/>
        <w:topLinePunct/>
        <w:spacing w:after="180"/>
        <w:rPr>
          <w:rFonts w:hint="eastAsia" w:ascii="仿宋" w:hAnsi="仿宋" w:eastAsia="仿宋" w:cs="仿宋"/>
          <w:sz w:val="24"/>
        </w:rPr>
      </w:pPr>
    </w:p>
    <w:p w14:paraId="249335A9">
      <w:pPr>
        <w:kinsoku w:val="0"/>
        <w:wordWrap w:val="0"/>
        <w:topLinePunct/>
        <w:spacing w:after="180"/>
        <w:rPr>
          <w:rFonts w:hint="eastAsia" w:ascii="仿宋" w:hAnsi="仿宋" w:eastAsia="仿宋" w:cs="仿宋"/>
          <w:sz w:val="24"/>
        </w:rPr>
      </w:pPr>
      <w:r>
        <w:rPr>
          <w:rFonts w:hint="eastAsia" w:ascii="仿宋" w:hAnsi="仿宋" w:eastAsia="仿宋" w:cs="仿宋"/>
          <w:sz w:val="24"/>
        </w:rPr>
        <w:t>投标书附件4：</w:t>
      </w:r>
    </w:p>
    <w:p w14:paraId="3E7E65EB">
      <w:pPr>
        <w:kinsoku w:val="0"/>
        <w:wordWrap w:val="0"/>
        <w:topLinePunct/>
        <w:spacing w:after="180"/>
        <w:rPr>
          <w:rFonts w:hint="eastAsia" w:ascii="仿宋" w:hAnsi="仿宋" w:eastAsia="仿宋" w:cs="仿宋"/>
          <w:sz w:val="24"/>
        </w:rPr>
      </w:pPr>
    </w:p>
    <w:p w14:paraId="1218B3D4">
      <w:pPr>
        <w:kinsoku w:val="0"/>
        <w:wordWrap w:val="0"/>
        <w:topLinePunct/>
        <w:spacing w:after="180"/>
        <w:jc w:val="center"/>
        <w:rPr>
          <w:rFonts w:hint="eastAsia" w:ascii="仿宋" w:hAnsi="仿宋" w:eastAsia="仿宋" w:cs="仿宋"/>
          <w:b/>
          <w:sz w:val="32"/>
        </w:rPr>
      </w:pPr>
      <w:r>
        <w:rPr>
          <w:rFonts w:hint="eastAsia" w:ascii="仿宋" w:hAnsi="仿宋" w:eastAsia="仿宋" w:cs="仿宋"/>
          <w:b/>
          <w:sz w:val="32"/>
        </w:rPr>
        <w:t>资 格 文 件</w:t>
      </w:r>
    </w:p>
    <w:p w14:paraId="58B77C1E">
      <w:pPr>
        <w:kinsoku w:val="0"/>
        <w:wordWrap w:val="0"/>
        <w:topLinePunct/>
        <w:spacing w:after="180"/>
        <w:rPr>
          <w:rFonts w:hint="eastAsia" w:ascii="仿宋" w:hAnsi="仿宋" w:eastAsia="仿宋" w:cs="仿宋"/>
          <w:sz w:val="24"/>
        </w:rPr>
      </w:pPr>
    </w:p>
    <w:p w14:paraId="12217C45">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投标人应按下列要求提交资格文件：</w:t>
      </w:r>
    </w:p>
    <w:p w14:paraId="29A90FBA">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1. 投标人全称和注册国。</w:t>
      </w:r>
    </w:p>
    <w:p w14:paraId="55CD0FF0">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2. 营业执照和工商局签发的销售许可证（复印件）。</w:t>
      </w:r>
    </w:p>
    <w:p w14:paraId="36E93AF6">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3. 开户银行名称和帐号。</w:t>
      </w:r>
    </w:p>
    <w:p w14:paraId="2C87C1DD">
      <w:pPr>
        <w:kinsoku w:val="0"/>
        <w:wordWrap w:val="0"/>
        <w:topLinePunct/>
        <w:spacing w:after="180"/>
        <w:ind w:firstLine="292" w:firstLineChars="100"/>
        <w:rPr>
          <w:rFonts w:hint="eastAsia" w:ascii="仿宋" w:hAnsi="仿宋" w:eastAsia="仿宋" w:cs="仿宋"/>
          <w:sz w:val="24"/>
        </w:rPr>
      </w:pPr>
      <w:r>
        <w:rPr>
          <w:rFonts w:hint="eastAsia" w:ascii="仿宋" w:hAnsi="仿宋" w:eastAsia="仿宋" w:cs="仿宋"/>
          <w:sz w:val="24"/>
        </w:rPr>
        <w:t xml:space="preserve">  4. 参加本项目招标采购活动前三年内，在经营活动中没有重大违法记录书面声明。</w:t>
      </w:r>
    </w:p>
    <w:p w14:paraId="6F251499">
      <w:pPr>
        <w:kinsoku w:val="0"/>
        <w:wordWrap w:val="0"/>
        <w:topLinePunct/>
        <w:spacing w:after="180"/>
        <w:ind w:left="332" w:leftChars="100" w:firstLine="292" w:firstLineChars="100"/>
        <w:rPr>
          <w:rFonts w:hint="eastAsia" w:ascii="仿宋" w:hAnsi="仿宋" w:eastAsia="仿宋" w:cs="仿宋"/>
          <w:sz w:val="24"/>
        </w:rPr>
      </w:pPr>
      <w:r>
        <w:rPr>
          <w:rFonts w:hint="eastAsia" w:ascii="仿宋" w:hAnsi="仿宋" w:eastAsia="仿宋" w:cs="仿宋"/>
          <w:sz w:val="24"/>
        </w:rPr>
        <w:t>5. 投标人未被列入“信用中国”网站失信被执行人、重大税收违法案件严重违法失信行为记录名单 (截图）。</w:t>
      </w:r>
    </w:p>
    <w:p w14:paraId="45CBC7BD">
      <w:pPr>
        <w:spacing w:line="360" w:lineRule="auto"/>
        <w:outlineLvl w:val="1"/>
        <w:rPr>
          <w:rFonts w:hint="eastAsia" w:ascii="仿宋" w:hAnsi="仿宋" w:eastAsia="仿宋" w:cs="仿宋"/>
          <w:sz w:val="24"/>
        </w:rPr>
      </w:pPr>
    </w:p>
    <w:p w14:paraId="35BA65D1">
      <w:pPr>
        <w:kinsoku w:val="0"/>
        <w:wordWrap w:val="0"/>
        <w:topLinePunct/>
        <w:spacing w:after="180"/>
        <w:ind w:left="332" w:leftChars="100"/>
        <w:rPr>
          <w:rFonts w:hint="eastAsia" w:ascii="仿宋" w:hAnsi="仿宋" w:eastAsia="仿宋" w:cs="仿宋"/>
          <w:sz w:val="24"/>
        </w:rPr>
      </w:pPr>
    </w:p>
    <w:p w14:paraId="4AE0D9B1">
      <w:pPr>
        <w:kinsoku w:val="0"/>
        <w:wordWrap w:val="0"/>
        <w:topLinePunct/>
        <w:spacing w:after="180"/>
        <w:ind w:left="332" w:leftChars="100"/>
        <w:rPr>
          <w:rFonts w:hint="eastAsia"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97F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14:paraId="2CCCDFE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915A">
    <w:pPr>
      <w:pStyle w:val="14"/>
      <w:framePr w:wrap="around" w:vAnchor="text" w:hAnchor="margin" w:xAlign="center" w:y="1"/>
      <w:rPr>
        <w:rStyle w:val="26"/>
      </w:rPr>
    </w:pPr>
    <w:r>
      <w:fldChar w:fldCharType="begin"/>
    </w:r>
    <w:r>
      <w:rPr>
        <w:rStyle w:val="26"/>
      </w:rPr>
      <w:instrText xml:space="preserve">PAGE  </w:instrText>
    </w:r>
    <w:r>
      <w:fldChar w:fldCharType="end"/>
    </w:r>
  </w:p>
  <w:p w14:paraId="403CE9D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B2D5">
    <w:pPr>
      <w:pStyle w:val="15"/>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B6864"/>
    <w:multiLevelType w:val="singleLevel"/>
    <w:tmpl w:val="C11B6864"/>
    <w:lvl w:ilvl="0" w:tentative="0">
      <w:start w:val="2"/>
      <w:numFmt w:val="chineseCounting"/>
      <w:suff w:val="nothing"/>
      <w:lvlText w:val="（%1）"/>
      <w:lvlJc w:val="left"/>
      <w:rPr>
        <w:rFonts w:hint="eastAsia"/>
      </w:rPr>
    </w:lvl>
  </w:abstractNum>
  <w:abstractNum w:abstractNumId="1">
    <w:nsid w:val="E4024278"/>
    <w:multiLevelType w:val="singleLevel"/>
    <w:tmpl w:val="E4024278"/>
    <w:lvl w:ilvl="0" w:tentative="0">
      <w:start w:val="2026"/>
      <w:numFmt w:val="decimal"/>
      <w:suff w:val="space"/>
      <w:lvlText w:val="%1."/>
      <w:lvlJc w:val="left"/>
    </w:lvl>
  </w:abstractNum>
  <w:abstractNum w:abstractNumId="2">
    <w:nsid w:val="EAB01A2B"/>
    <w:multiLevelType w:val="singleLevel"/>
    <w:tmpl w:val="EAB01A2B"/>
    <w:lvl w:ilvl="0" w:tentative="0">
      <w:start w:val="3"/>
      <w:numFmt w:val="chineseCounting"/>
      <w:suff w:val="space"/>
      <w:lvlText w:val="%1."/>
      <w:lvlJc w:val="left"/>
      <w:rPr>
        <w:rFonts w:hint="eastAsia"/>
      </w:rPr>
    </w:lvl>
  </w:abstractNum>
  <w:abstractNum w:abstractNumId="3">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4">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6">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7">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9">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0">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num w:numId="1">
    <w:abstractNumId w:val="5"/>
  </w:num>
  <w:num w:numId="2">
    <w:abstractNumId w:val="4"/>
  </w:num>
  <w:num w:numId="3">
    <w:abstractNumId w:val="1"/>
  </w:num>
  <w:num w:numId="4">
    <w:abstractNumId w:val="10"/>
  </w:num>
  <w:num w:numId="5">
    <w:abstractNumId w:val="6"/>
  </w:num>
  <w:num w:numId="6">
    <w:abstractNumId w:val="8"/>
  </w:num>
  <w:num w:numId="7">
    <w:abstractNumId w:val="9"/>
  </w:num>
  <w:num w:numId="8">
    <w:abstractNumId w:val="3"/>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66"/>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jlhODNjYjM4NGFlZjVhNWM3NjIxNmE4ZjU5ZjcifQ=="/>
  </w:docVars>
  <w:rsids>
    <w:rsidRoot w:val="00A64781"/>
    <w:rsid w:val="0000204A"/>
    <w:rsid w:val="00003B22"/>
    <w:rsid w:val="00004020"/>
    <w:rsid w:val="00005041"/>
    <w:rsid w:val="000059AA"/>
    <w:rsid w:val="0001407A"/>
    <w:rsid w:val="00021081"/>
    <w:rsid w:val="000224C3"/>
    <w:rsid w:val="000231B0"/>
    <w:rsid w:val="00024209"/>
    <w:rsid w:val="00025FD5"/>
    <w:rsid w:val="00026985"/>
    <w:rsid w:val="00031083"/>
    <w:rsid w:val="00034FA8"/>
    <w:rsid w:val="000364E5"/>
    <w:rsid w:val="000401B7"/>
    <w:rsid w:val="00044606"/>
    <w:rsid w:val="0004568B"/>
    <w:rsid w:val="00051179"/>
    <w:rsid w:val="00066F22"/>
    <w:rsid w:val="00070D89"/>
    <w:rsid w:val="00071AA3"/>
    <w:rsid w:val="00071C62"/>
    <w:rsid w:val="00075CAF"/>
    <w:rsid w:val="00076A72"/>
    <w:rsid w:val="000770C6"/>
    <w:rsid w:val="0008093C"/>
    <w:rsid w:val="00080CD9"/>
    <w:rsid w:val="00080E22"/>
    <w:rsid w:val="00081A3D"/>
    <w:rsid w:val="000840BC"/>
    <w:rsid w:val="00084B04"/>
    <w:rsid w:val="00086F7D"/>
    <w:rsid w:val="000915D9"/>
    <w:rsid w:val="000A015E"/>
    <w:rsid w:val="000A2EDC"/>
    <w:rsid w:val="000A77AB"/>
    <w:rsid w:val="000B6AED"/>
    <w:rsid w:val="000C16D3"/>
    <w:rsid w:val="000C3941"/>
    <w:rsid w:val="000C3B61"/>
    <w:rsid w:val="000C7F51"/>
    <w:rsid w:val="000D470E"/>
    <w:rsid w:val="000E0A87"/>
    <w:rsid w:val="000F0981"/>
    <w:rsid w:val="000F1FE5"/>
    <w:rsid w:val="000F29B1"/>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25CE"/>
    <w:rsid w:val="001F7EAA"/>
    <w:rsid w:val="0020285D"/>
    <w:rsid w:val="002077D4"/>
    <w:rsid w:val="00211E6E"/>
    <w:rsid w:val="00213925"/>
    <w:rsid w:val="00213E67"/>
    <w:rsid w:val="00221E77"/>
    <w:rsid w:val="00224A9B"/>
    <w:rsid w:val="00251A05"/>
    <w:rsid w:val="0025483C"/>
    <w:rsid w:val="00262EA9"/>
    <w:rsid w:val="002643A4"/>
    <w:rsid w:val="002719DF"/>
    <w:rsid w:val="00273904"/>
    <w:rsid w:val="00277403"/>
    <w:rsid w:val="00277EDE"/>
    <w:rsid w:val="002824BB"/>
    <w:rsid w:val="00283F3C"/>
    <w:rsid w:val="00285904"/>
    <w:rsid w:val="00285BD4"/>
    <w:rsid w:val="0029552F"/>
    <w:rsid w:val="002A165C"/>
    <w:rsid w:val="002A24D4"/>
    <w:rsid w:val="002A4782"/>
    <w:rsid w:val="002A5244"/>
    <w:rsid w:val="002A565D"/>
    <w:rsid w:val="002A5C3F"/>
    <w:rsid w:val="002B0E09"/>
    <w:rsid w:val="002B240A"/>
    <w:rsid w:val="002B5510"/>
    <w:rsid w:val="002C6E6A"/>
    <w:rsid w:val="002C7F85"/>
    <w:rsid w:val="002D49F5"/>
    <w:rsid w:val="002D4F3E"/>
    <w:rsid w:val="002E2062"/>
    <w:rsid w:val="002F51B5"/>
    <w:rsid w:val="002F6C3F"/>
    <w:rsid w:val="00300818"/>
    <w:rsid w:val="003012B4"/>
    <w:rsid w:val="00301EDE"/>
    <w:rsid w:val="003042C1"/>
    <w:rsid w:val="0030762D"/>
    <w:rsid w:val="00307759"/>
    <w:rsid w:val="0031113C"/>
    <w:rsid w:val="00312E44"/>
    <w:rsid w:val="003139DA"/>
    <w:rsid w:val="003164AC"/>
    <w:rsid w:val="00320C2E"/>
    <w:rsid w:val="00321D03"/>
    <w:rsid w:val="003239AE"/>
    <w:rsid w:val="00331FB9"/>
    <w:rsid w:val="00361561"/>
    <w:rsid w:val="00364C94"/>
    <w:rsid w:val="003665E8"/>
    <w:rsid w:val="00367CCA"/>
    <w:rsid w:val="00370198"/>
    <w:rsid w:val="003707A2"/>
    <w:rsid w:val="00370A1A"/>
    <w:rsid w:val="00382F1B"/>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9B6"/>
    <w:rsid w:val="003F5C69"/>
    <w:rsid w:val="003F632A"/>
    <w:rsid w:val="004034F6"/>
    <w:rsid w:val="00403D68"/>
    <w:rsid w:val="00406C93"/>
    <w:rsid w:val="00411193"/>
    <w:rsid w:val="00412BC3"/>
    <w:rsid w:val="00413124"/>
    <w:rsid w:val="004209CB"/>
    <w:rsid w:val="00421609"/>
    <w:rsid w:val="00423C35"/>
    <w:rsid w:val="00424A8F"/>
    <w:rsid w:val="0043039D"/>
    <w:rsid w:val="00432833"/>
    <w:rsid w:val="0043563E"/>
    <w:rsid w:val="00436760"/>
    <w:rsid w:val="00437122"/>
    <w:rsid w:val="0044386D"/>
    <w:rsid w:val="00445397"/>
    <w:rsid w:val="00445D96"/>
    <w:rsid w:val="00450A7C"/>
    <w:rsid w:val="00453283"/>
    <w:rsid w:val="004546DC"/>
    <w:rsid w:val="0046041C"/>
    <w:rsid w:val="004605AF"/>
    <w:rsid w:val="00464B10"/>
    <w:rsid w:val="004718DE"/>
    <w:rsid w:val="00474F8D"/>
    <w:rsid w:val="00483252"/>
    <w:rsid w:val="00483D43"/>
    <w:rsid w:val="00485CF4"/>
    <w:rsid w:val="00487E57"/>
    <w:rsid w:val="0049387D"/>
    <w:rsid w:val="00493E3B"/>
    <w:rsid w:val="004966EF"/>
    <w:rsid w:val="004970F3"/>
    <w:rsid w:val="00497654"/>
    <w:rsid w:val="00497859"/>
    <w:rsid w:val="004A4A74"/>
    <w:rsid w:val="004A7DE2"/>
    <w:rsid w:val="004B38E5"/>
    <w:rsid w:val="004B638C"/>
    <w:rsid w:val="004C435A"/>
    <w:rsid w:val="004C661E"/>
    <w:rsid w:val="004D035D"/>
    <w:rsid w:val="004D2F20"/>
    <w:rsid w:val="004D7ED7"/>
    <w:rsid w:val="004E04F6"/>
    <w:rsid w:val="004F1E00"/>
    <w:rsid w:val="004F2003"/>
    <w:rsid w:val="004F2B8D"/>
    <w:rsid w:val="004F630F"/>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7A85"/>
    <w:rsid w:val="005506A5"/>
    <w:rsid w:val="00550E7D"/>
    <w:rsid w:val="00551500"/>
    <w:rsid w:val="00557CBB"/>
    <w:rsid w:val="00560062"/>
    <w:rsid w:val="00570682"/>
    <w:rsid w:val="00573CF8"/>
    <w:rsid w:val="0057407B"/>
    <w:rsid w:val="00575F96"/>
    <w:rsid w:val="00576E99"/>
    <w:rsid w:val="005822AA"/>
    <w:rsid w:val="00583525"/>
    <w:rsid w:val="00590573"/>
    <w:rsid w:val="00590B41"/>
    <w:rsid w:val="00591B71"/>
    <w:rsid w:val="00593ECB"/>
    <w:rsid w:val="00594A03"/>
    <w:rsid w:val="00597C83"/>
    <w:rsid w:val="005A19EE"/>
    <w:rsid w:val="005A27E5"/>
    <w:rsid w:val="005A2815"/>
    <w:rsid w:val="005A3389"/>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0203A"/>
    <w:rsid w:val="006062CE"/>
    <w:rsid w:val="00612E0C"/>
    <w:rsid w:val="00616747"/>
    <w:rsid w:val="00620697"/>
    <w:rsid w:val="00623B84"/>
    <w:rsid w:val="00626C0A"/>
    <w:rsid w:val="006311FE"/>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11BB"/>
    <w:rsid w:val="00675BDC"/>
    <w:rsid w:val="00675CF1"/>
    <w:rsid w:val="006763EE"/>
    <w:rsid w:val="006804DF"/>
    <w:rsid w:val="006A180E"/>
    <w:rsid w:val="006A2D1B"/>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54DA"/>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02C6"/>
    <w:rsid w:val="0074185A"/>
    <w:rsid w:val="00750827"/>
    <w:rsid w:val="00752970"/>
    <w:rsid w:val="007537CC"/>
    <w:rsid w:val="00753D53"/>
    <w:rsid w:val="007548A8"/>
    <w:rsid w:val="00755CC9"/>
    <w:rsid w:val="00765314"/>
    <w:rsid w:val="00766B63"/>
    <w:rsid w:val="00771F91"/>
    <w:rsid w:val="007721A7"/>
    <w:rsid w:val="0077432D"/>
    <w:rsid w:val="00777BF4"/>
    <w:rsid w:val="00777C6E"/>
    <w:rsid w:val="0078212C"/>
    <w:rsid w:val="0078401C"/>
    <w:rsid w:val="007842EC"/>
    <w:rsid w:val="0078485E"/>
    <w:rsid w:val="0078487E"/>
    <w:rsid w:val="00785609"/>
    <w:rsid w:val="00786D80"/>
    <w:rsid w:val="007900DB"/>
    <w:rsid w:val="0079124E"/>
    <w:rsid w:val="00793B82"/>
    <w:rsid w:val="007A367B"/>
    <w:rsid w:val="007A7A03"/>
    <w:rsid w:val="007B6849"/>
    <w:rsid w:val="007C032B"/>
    <w:rsid w:val="007C0F0B"/>
    <w:rsid w:val="007C12C5"/>
    <w:rsid w:val="007C4D09"/>
    <w:rsid w:val="007C7791"/>
    <w:rsid w:val="007C7B5F"/>
    <w:rsid w:val="007D1D44"/>
    <w:rsid w:val="007D6608"/>
    <w:rsid w:val="007D6E55"/>
    <w:rsid w:val="007D6F3F"/>
    <w:rsid w:val="007D7AA4"/>
    <w:rsid w:val="007E0C40"/>
    <w:rsid w:val="007E0EE4"/>
    <w:rsid w:val="007E3ADF"/>
    <w:rsid w:val="007E6054"/>
    <w:rsid w:val="007E782D"/>
    <w:rsid w:val="007F07C7"/>
    <w:rsid w:val="007F5DDD"/>
    <w:rsid w:val="007F5F99"/>
    <w:rsid w:val="00800E0C"/>
    <w:rsid w:val="008017B9"/>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A5D66"/>
    <w:rsid w:val="008B3399"/>
    <w:rsid w:val="008C1D5E"/>
    <w:rsid w:val="008C3A5B"/>
    <w:rsid w:val="008C40DC"/>
    <w:rsid w:val="008C797F"/>
    <w:rsid w:val="008D20B9"/>
    <w:rsid w:val="008D297D"/>
    <w:rsid w:val="008D2C4D"/>
    <w:rsid w:val="008D3D23"/>
    <w:rsid w:val="008E3F55"/>
    <w:rsid w:val="008F31AB"/>
    <w:rsid w:val="008F5468"/>
    <w:rsid w:val="0090162D"/>
    <w:rsid w:val="0090206E"/>
    <w:rsid w:val="00907A41"/>
    <w:rsid w:val="009125C9"/>
    <w:rsid w:val="00912E99"/>
    <w:rsid w:val="00913781"/>
    <w:rsid w:val="00921907"/>
    <w:rsid w:val="00922E6F"/>
    <w:rsid w:val="00923A1E"/>
    <w:rsid w:val="00923FAA"/>
    <w:rsid w:val="009250E3"/>
    <w:rsid w:val="00937153"/>
    <w:rsid w:val="00940115"/>
    <w:rsid w:val="00940140"/>
    <w:rsid w:val="009422A2"/>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F4023"/>
    <w:rsid w:val="009F471B"/>
    <w:rsid w:val="009F7F9F"/>
    <w:rsid w:val="00A01ECF"/>
    <w:rsid w:val="00A022D7"/>
    <w:rsid w:val="00A03CD9"/>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3FFA"/>
    <w:rsid w:val="00A90005"/>
    <w:rsid w:val="00A91508"/>
    <w:rsid w:val="00A91DA7"/>
    <w:rsid w:val="00A920C9"/>
    <w:rsid w:val="00A94887"/>
    <w:rsid w:val="00A94CF9"/>
    <w:rsid w:val="00A97A08"/>
    <w:rsid w:val="00AA08AC"/>
    <w:rsid w:val="00AA377F"/>
    <w:rsid w:val="00AA489E"/>
    <w:rsid w:val="00AA4A15"/>
    <w:rsid w:val="00AA5873"/>
    <w:rsid w:val="00AB3CF8"/>
    <w:rsid w:val="00AB721A"/>
    <w:rsid w:val="00AC2909"/>
    <w:rsid w:val="00AC5155"/>
    <w:rsid w:val="00AD07F8"/>
    <w:rsid w:val="00AD19C5"/>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5757C"/>
    <w:rsid w:val="00B61194"/>
    <w:rsid w:val="00B6156F"/>
    <w:rsid w:val="00B72ADD"/>
    <w:rsid w:val="00B77C24"/>
    <w:rsid w:val="00B87660"/>
    <w:rsid w:val="00B92C98"/>
    <w:rsid w:val="00BA2814"/>
    <w:rsid w:val="00BA5D01"/>
    <w:rsid w:val="00BB0660"/>
    <w:rsid w:val="00BB6D42"/>
    <w:rsid w:val="00BB7E55"/>
    <w:rsid w:val="00BC1B59"/>
    <w:rsid w:val="00BC3209"/>
    <w:rsid w:val="00BC7BE0"/>
    <w:rsid w:val="00BD1DE0"/>
    <w:rsid w:val="00BD3BDC"/>
    <w:rsid w:val="00BD5D63"/>
    <w:rsid w:val="00BD629C"/>
    <w:rsid w:val="00BE0403"/>
    <w:rsid w:val="00BE04EE"/>
    <w:rsid w:val="00BE4239"/>
    <w:rsid w:val="00BF3F40"/>
    <w:rsid w:val="00C041A2"/>
    <w:rsid w:val="00C0563C"/>
    <w:rsid w:val="00C057D5"/>
    <w:rsid w:val="00C06570"/>
    <w:rsid w:val="00C07185"/>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57570"/>
    <w:rsid w:val="00C57705"/>
    <w:rsid w:val="00C72541"/>
    <w:rsid w:val="00C75C45"/>
    <w:rsid w:val="00C8437F"/>
    <w:rsid w:val="00C866F5"/>
    <w:rsid w:val="00C87892"/>
    <w:rsid w:val="00C92360"/>
    <w:rsid w:val="00C94B0C"/>
    <w:rsid w:val="00C94FB2"/>
    <w:rsid w:val="00C959D5"/>
    <w:rsid w:val="00C95A27"/>
    <w:rsid w:val="00C97339"/>
    <w:rsid w:val="00C97E96"/>
    <w:rsid w:val="00CA216C"/>
    <w:rsid w:val="00CA6DD1"/>
    <w:rsid w:val="00CB0CEF"/>
    <w:rsid w:val="00CB5DBA"/>
    <w:rsid w:val="00CB716B"/>
    <w:rsid w:val="00CC0B7B"/>
    <w:rsid w:val="00CC52E4"/>
    <w:rsid w:val="00CC7A80"/>
    <w:rsid w:val="00CD177D"/>
    <w:rsid w:val="00CD2F19"/>
    <w:rsid w:val="00CD3221"/>
    <w:rsid w:val="00CD659D"/>
    <w:rsid w:val="00CD78CF"/>
    <w:rsid w:val="00CE10A8"/>
    <w:rsid w:val="00CE17B8"/>
    <w:rsid w:val="00CE1854"/>
    <w:rsid w:val="00CE2E27"/>
    <w:rsid w:val="00CE31C5"/>
    <w:rsid w:val="00CE46C2"/>
    <w:rsid w:val="00CE72AC"/>
    <w:rsid w:val="00CF2197"/>
    <w:rsid w:val="00CF396D"/>
    <w:rsid w:val="00D02106"/>
    <w:rsid w:val="00D03655"/>
    <w:rsid w:val="00D03F79"/>
    <w:rsid w:val="00D11A94"/>
    <w:rsid w:val="00D12092"/>
    <w:rsid w:val="00D12521"/>
    <w:rsid w:val="00D17650"/>
    <w:rsid w:val="00D26057"/>
    <w:rsid w:val="00D26318"/>
    <w:rsid w:val="00D2662C"/>
    <w:rsid w:val="00D27C71"/>
    <w:rsid w:val="00D321BE"/>
    <w:rsid w:val="00D32723"/>
    <w:rsid w:val="00D367F1"/>
    <w:rsid w:val="00D37F09"/>
    <w:rsid w:val="00D4228C"/>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6AAA"/>
    <w:rsid w:val="00DC75B2"/>
    <w:rsid w:val="00DD4DA5"/>
    <w:rsid w:val="00DD7453"/>
    <w:rsid w:val="00DE42D5"/>
    <w:rsid w:val="00DE5604"/>
    <w:rsid w:val="00DE5FA5"/>
    <w:rsid w:val="00E00794"/>
    <w:rsid w:val="00E015A2"/>
    <w:rsid w:val="00E076E6"/>
    <w:rsid w:val="00E10169"/>
    <w:rsid w:val="00E10452"/>
    <w:rsid w:val="00E137EE"/>
    <w:rsid w:val="00E15224"/>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0C"/>
    <w:rsid w:val="00E80BEB"/>
    <w:rsid w:val="00E81533"/>
    <w:rsid w:val="00E97112"/>
    <w:rsid w:val="00E97121"/>
    <w:rsid w:val="00E97813"/>
    <w:rsid w:val="00EA08E1"/>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3BF1"/>
    <w:rsid w:val="00ED50DD"/>
    <w:rsid w:val="00ED5DA5"/>
    <w:rsid w:val="00ED61EE"/>
    <w:rsid w:val="00EE0DFE"/>
    <w:rsid w:val="00EF0C99"/>
    <w:rsid w:val="00F030AC"/>
    <w:rsid w:val="00F043A6"/>
    <w:rsid w:val="00F04673"/>
    <w:rsid w:val="00F059DD"/>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A3BE6"/>
    <w:rsid w:val="00FB2C8C"/>
    <w:rsid w:val="00FB4617"/>
    <w:rsid w:val="00FB598E"/>
    <w:rsid w:val="00FD56F9"/>
    <w:rsid w:val="00FE50F6"/>
    <w:rsid w:val="00FE7DC3"/>
    <w:rsid w:val="00FE7E5D"/>
    <w:rsid w:val="00FF10DB"/>
    <w:rsid w:val="00FF1FB7"/>
    <w:rsid w:val="00FF299B"/>
    <w:rsid w:val="00FF717A"/>
    <w:rsid w:val="01317F69"/>
    <w:rsid w:val="023D08FC"/>
    <w:rsid w:val="026F331C"/>
    <w:rsid w:val="03206BDA"/>
    <w:rsid w:val="03716D43"/>
    <w:rsid w:val="03775DB5"/>
    <w:rsid w:val="09B94900"/>
    <w:rsid w:val="09C6132E"/>
    <w:rsid w:val="0A1D0E2A"/>
    <w:rsid w:val="0A3B3092"/>
    <w:rsid w:val="0C282FB3"/>
    <w:rsid w:val="0C8E76F7"/>
    <w:rsid w:val="0FB7410F"/>
    <w:rsid w:val="11F019C5"/>
    <w:rsid w:val="12B92680"/>
    <w:rsid w:val="152E4A94"/>
    <w:rsid w:val="19B375B6"/>
    <w:rsid w:val="1C1652FB"/>
    <w:rsid w:val="1D240237"/>
    <w:rsid w:val="202820DF"/>
    <w:rsid w:val="20573810"/>
    <w:rsid w:val="215238B8"/>
    <w:rsid w:val="215C64E4"/>
    <w:rsid w:val="24FF7744"/>
    <w:rsid w:val="2613738E"/>
    <w:rsid w:val="2926384E"/>
    <w:rsid w:val="2BC71179"/>
    <w:rsid w:val="2C9E05DE"/>
    <w:rsid w:val="2DE34591"/>
    <w:rsid w:val="316A76F3"/>
    <w:rsid w:val="31A55AFB"/>
    <w:rsid w:val="31BD23E9"/>
    <w:rsid w:val="331025E4"/>
    <w:rsid w:val="33D13DB6"/>
    <w:rsid w:val="3603653E"/>
    <w:rsid w:val="36D79310"/>
    <w:rsid w:val="3722616E"/>
    <w:rsid w:val="37F457DC"/>
    <w:rsid w:val="38EF3C8A"/>
    <w:rsid w:val="3A853D5A"/>
    <w:rsid w:val="3BFF1BF0"/>
    <w:rsid w:val="3DC92CFC"/>
    <w:rsid w:val="3EC27A88"/>
    <w:rsid w:val="40963817"/>
    <w:rsid w:val="41DE42F4"/>
    <w:rsid w:val="428E4106"/>
    <w:rsid w:val="45AD4CB1"/>
    <w:rsid w:val="48A31ADA"/>
    <w:rsid w:val="498774ED"/>
    <w:rsid w:val="4B45104C"/>
    <w:rsid w:val="4B607184"/>
    <w:rsid w:val="4CA12E77"/>
    <w:rsid w:val="52207D76"/>
    <w:rsid w:val="535E1403"/>
    <w:rsid w:val="54324F24"/>
    <w:rsid w:val="56871D14"/>
    <w:rsid w:val="56BF7C5F"/>
    <w:rsid w:val="57407362"/>
    <w:rsid w:val="5CBA2826"/>
    <w:rsid w:val="60312ADF"/>
    <w:rsid w:val="62051CA5"/>
    <w:rsid w:val="62F16D94"/>
    <w:rsid w:val="682827B6"/>
    <w:rsid w:val="68BB30BE"/>
    <w:rsid w:val="69BBC1A5"/>
    <w:rsid w:val="6AD627DF"/>
    <w:rsid w:val="6AF175B2"/>
    <w:rsid w:val="6B3770AB"/>
    <w:rsid w:val="6C8430D7"/>
    <w:rsid w:val="6FA378A1"/>
    <w:rsid w:val="6FB70371"/>
    <w:rsid w:val="743577CE"/>
    <w:rsid w:val="757A523F"/>
    <w:rsid w:val="76D76A84"/>
    <w:rsid w:val="776E3C1A"/>
    <w:rsid w:val="79A36D9F"/>
    <w:rsid w:val="7C9F63FA"/>
    <w:rsid w:val="7CFF7162"/>
    <w:rsid w:val="7D94D7BF"/>
    <w:rsid w:val="7EFF0E57"/>
    <w:rsid w:val="7F1906E6"/>
    <w:rsid w:val="7F61049C"/>
    <w:rsid w:val="7FC610DE"/>
    <w:rsid w:val="7FF3AA6F"/>
    <w:rsid w:val="9F630494"/>
    <w:rsid w:val="BFA85E09"/>
    <w:rsid w:val="DCDC9AD0"/>
    <w:rsid w:val="EDAF029D"/>
    <w:rsid w:val="FBB33233"/>
    <w:rsid w:val="FBCD2A09"/>
    <w:rsid w:val="FFD5CF30"/>
    <w:rsid w:val="FFEB6D86"/>
    <w:rsid w:val="FFF8E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link w:val="100"/>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7">
    <w:name w:val="Body Text Indent 3"/>
    <w:basedOn w:val="1"/>
    <w:qFormat/>
    <w:uiPriority w:val="0"/>
    <w:pPr>
      <w:ind w:firstLine="777"/>
    </w:pPr>
    <w:rPr>
      <w:rFonts w:ascii="楷体_GB2312" w:hAnsi="Arial Narrow" w:eastAsia="楷体_GB2312"/>
    </w:rPr>
  </w:style>
  <w:style w:type="paragraph" w:styleId="18">
    <w:name w:val="Body Text 2"/>
    <w:basedOn w:val="1"/>
    <w:qFormat/>
    <w:uiPriority w:val="0"/>
    <w:rPr>
      <w:rFonts w:ascii="Arial Narrow" w:hAnsi="Arial Narrow" w:eastAsia="楷体_GB2312"/>
      <w:sz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1">
    <w:name w:val="annotation subject"/>
    <w:basedOn w:val="8"/>
    <w:next w:val="8"/>
    <w:link w:val="101"/>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Emphasis"/>
    <w:basedOn w:val="24"/>
    <w:qFormat/>
    <w:uiPriority w:val="0"/>
    <w:rPr>
      <w:color w:val="CC0033"/>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21"/>
    </w:rPr>
  </w:style>
  <w:style w:type="character" w:customStyle="1" w:styleId="31">
    <w:name w:val="font141"/>
    <w:basedOn w:val="24"/>
    <w:qFormat/>
    <w:uiPriority w:val="0"/>
  </w:style>
  <w:style w:type="character" w:customStyle="1" w:styleId="32">
    <w:name w:val="style31"/>
    <w:basedOn w:val="24"/>
    <w:qFormat/>
    <w:uiPriority w:val="0"/>
    <w:rPr>
      <w:b/>
      <w:bCs/>
      <w:color w:val="A16601"/>
    </w:rPr>
  </w:style>
  <w:style w:type="character" w:customStyle="1" w:styleId="33">
    <w:name w:val="dct-tt"/>
    <w:basedOn w:val="24"/>
    <w:qFormat/>
    <w:uiPriority w:val="0"/>
    <w:rPr>
      <w:rFonts w:hint="default" w:ascii="Arial" w:hAnsi="Arial" w:cs="Arial"/>
    </w:rPr>
  </w:style>
  <w:style w:type="character" w:customStyle="1" w:styleId="34">
    <w:name w:val="style36"/>
    <w:basedOn w:val="24"/>
    <w:qFormat/>
    <w:uiPriority w:val="0"/>
  </w:style>
  <w:style w:type="character" w:customStyle="1" w:styleId="35">
    <w:name w:val="search_highlight2"/>
    <w:basedOn w:val="24"/>
    <w:qFormat/>
    <w:uiPriority w:val="0"/>
    <w:rPr>
      <w:rFonts w:hint="default" w:ascii="Arial" w:hAnsi="Arial" w:cs="Arial"/>
      <w:shd w:val="clear" w:color="auto" w:fill="FFFFB0"/>
    </w:rPr>
  </w:style>
  <w:style w:type="character" w:customStyle="1" w:styleId="36">
    <w:name w:val="style4"/>
    <w:basedOn w:val="24"/>
    <w:qFormat/>
    <w:uiPriority w:val="0"/>
  </w:style>
  <w:style w:type="character" w:customStyle="1" w:styleId="37">
    <w:name w:val="f141"/>
    <w:basedOn w:val="24"/>
    <w:qFormat/>
    <w:uiPriority w:val="0"/>
    <w:rPr>
      <w:b/>
      <w:bCs/>
      <w:sz w:val="21"/>
      <w:szCs w:val="21"/>
    </w:rPr>
  </w:style>
  <w:style w:type="character" w:customStyle="1" w:styleId="38">
    <w:name w:val="hei12b"/>
    <w:basedOn w:val="24"/>
    <w:qFormat/>
    <w:uiPriority w:val="0"/>
  </w:style>
  <w:style w:type="paragraph" w:customStyle="1" w:styleId="39">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3">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5">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7">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48">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0">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2">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4">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5">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6">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9">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0">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1">
    <w:name w:val="Char Char Char Char"/>
    <w:basedOn w:val="1"/>
    <w:qFormat/>
    <w:uiPriority w:val="0"/>
    <w:rPr>
      <w:rFonts w:eastAsia="宋体"/>
      <w:sz w:val="21"/>
    </w:rPr>
  </w:style>
  <w:style w:type="paragraph" w:customStyle="1" w:styleId="62">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6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66">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67">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8">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70">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71">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2">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3">
    <w:name w:val="列出段落1"/>
    <w:basedOn w:val="1"/>
    <w:qFormat/>
    <w:uiPriority w:val="0"/>
    <w:pPr>
      <w:suppressAutoHyphens/>
      <w:ind w:left="720"/>
      <w:jc w:val="left"/>
    </w:pPr>
    <w:rPr>
      <w:rFonts w:eastAsia="Times New Roman"/>
      <w:kern w:val="0"/>
      <w:sz w:val="24"/>
      <w:szCs w:val="24"/>
      <w:lang w:eastAsia="ar-SA"/>
    </w:rPr>
  </w:style>
  <w:style w:type="paragraph" w:customStyle="1" w:styleId="74">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6">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7">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78">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79">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1">
    <w:name w:val="UP标题3"/>
    <w:basedOn w:val="1"/>
    <w:qFormat/>
    <w:uiPriority w:val="0"/>
    <w:pPr>
      <w:spacing w:line="360" w:lineRule="auto"/>
      <w:ind w:firstLine="149" w:firstLineChars="149"/>
    </w:pPr>
    <w:rPr>
      <w:rFonts w:ascii="黑体" w:hAnsi="Calibri" w:eastAsia="黑体" w:cs="宋体"/>
      <w:szCs w:val="28"/>
    </w:rPr>
  </w:style>
  <w:style w:type="paragraph" w:customStyle="1" w:styleId="82">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3">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4">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6">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7">
    <w:name w:val="列表段落1"/>
    <w:basedOn w:val="1"/>
    <w:qFormat/>
    <w:uiPriority w:val="0"/>
    <w:pPr>
      <w:ind w:firstLine="420" w:firstLineChars="200"/>
    </w:pPr>
    <w:rPr>
      <w:rFonts w:eastAsia="Times New Roman"/>
      <w:sz w:val="21"/>
      <w:szCs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89">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1">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2">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4">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5">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96">
    <w:name w:val="列表段落11"/>
    <w:basedOn w:val="1"/>
    <w:qFormat/>
    <w:uiPriority w:val="0"/>
    <w:pPr>
      <w:ind w:firstLine="420" w:firstLineChars="200"/>
    </w:pPr>
    <w:rPr>
      <w:rFonts w:eastAsia="Times New Roman"/>
      <w:szCs w:val="24"/>
    </w:rPr>
  </w:style>
  <w:style w:type="paragraph" w:styleId="97">
    <w:name w:val="List Paragraph"/>
    <w:basedOn w:val="1"/>
    <w:qFormat/>
    <w:uiPriority w:val="99"/>
    <w:pPr>
      <w:ind w:firstLine="420" w:firstLineChars="200"/>
    </w:pPr>
  </w:style>
  <w:style w:type="paragraph" w:customStyle="1" w:styleId="98">
    <w:name w:val="表格文字"/>
    <w:basedOn w:val="1"/>
    <w:autoRedefine/>
    <w:qFormat/>
    <w:uiPriority w:val="0"/>
    <w:pPr>
      <w:spacing w:before="25" w:after="25"/>
      <w:jc w:val="left"/>
    </w:pPr>
    <w:rPr>
      <w:bCs/>
      <w:spacing w:val="10"/>
      <w:kern w:val="0"/>
      <w:sz w:val="24"/>
    </w:rPr>
  </w:style>
  <w:style w:type="paragraph" w:customStyle="1" w:styleId="99">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00">
    <w:name w:val="批注文字 字符"/>
    <w:basedOn w:val="24"/>
    <w:link w:val="8"/>
    <w:semiHidden/>
    <w:qFormat/>
    <w:uiPriority w:val="0"/>
    <w:rPr>
      <w:rFonts w:eastAsia="仿宋_GB2312"/>
      <w:kern w:val="2"/>
      <w:sz w:val="28"/>
    </w:rPr>
  </w:style>
  <w:style w:type="character" w:customStyle="1" w:styleId="101">
    <w:name w:val="批注主题 字符"/>
    <w:basedOn w:val="100"/>
    <w:link w:val="21"/>
    <w:qFormat/>
    <w:uiPriority w:val="0"/>
    <w:rPr>
      <w:rFonts w:eastAsia="仿宋_GB2312"/>
      <w:b/>
      <w:bCs/>
      <w:kern w:val="2"/>
      <w:sz w:val="28"/>
    </w:rPr>
  </w:style>
  <w:style w:type="paragraph" w:customStyle="1" w:styleId="102">
    <w:name w:val="修订2"/>
    <w:hidden/>
    <w:unhideWhenUsed/>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设备办</Company>
  <Pages>22</Pages>
  <Words>932</Words>
  <Characters>1026</Characters>
  <Lines>87</Lines>
  <Paragraphs>24</Paragraphs>
  <TotalTime>94</TotalTime>
  <ScaleCrop>false</ScaleCrop>
  <LinksUpToDate>false</LinksUpToDate>
  <CharactersWithSpaces>1073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2026-04-28T08:57:00Z</dcterms:created>
  <dc:creator>许慰玲</dc:creator>
  <cp:lastModifiedBy>王烔霖</cp:lastModifiedBy>
  <cp:lastPrinted>2015-06-12T16:58:00Z</cp:lastPrinted>
  <dcterms:modified xsi:type="dcterms:W3CDTF">2026-05-12T07:54:34Z</dcterms:modified>
  <dc:title>广东省政府采购中心</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F9033DC0449D4729A8B6984BEB591786_13</vt:lpwstr>
  </property>
  <property fmtid="{D5CDD505-2E9C-101B-9397-08002B2CF9AE}" pid="4" name="KSOTemplateDocerSaveRecord">
    <vt:lpwstr>eyJoZGlkIjoiNzYwNGZhNGFiMzA5MjU4YzlmZTUzMmZhNmJjMTgzOWUiLCJ1c2VySWQiOiIxMTk4OTA5NTEzIn0=</vt:lpwstr>
  </property>
</Properties>
</file>