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3DF30">
      <w:pPr>
        <w:pStyle w:val="2"/>
        <w:kinsoku w:val="0"/>
        <w:wordWrap w:val="0"/>
        <w:topLinePunct/>
        <w:autoSpaceDE/>
        <w:spacing w:line="240" w:lineRule="auto"/>
        <w:ind w:right="-1132" w:rightChars="-341"/>
        <w:jc w:val="center"/>
        <w:rPr>
          <w:rFonts w:hint="eastAsia" w:ascii="仿宋" w:hAnsi="仿宋" w:eastAsia="仿宋" w:cs="仿宋"/>
          <w:sz w:val="32"/>
        </w:rPr>
      </w:pPr>
    </w:p>
    <w:p w14:paraId="68C60F53">
      <w:pPr>
        <w:pStyle w:val="2"/>
        <w:kinsoku w:val="0"/>
        <w:wordWrap w:val="0"/>
        <w:topLinePunct/>
        <w:autoSpaceDE/>
        <w:spacing w:line="240" w:lineRule="auto"/>
        <w:jc w:val="center"/>
        <w:rPr>
          <w:rFonts w:hint="eastAsia" w:ascii="仿宋" w:hAnsi="仿宋" w:eastAsia="仿宋" w:cs="仿宋"/>
          <w:sz w:val="44"/>
        </w:rPr>
      </w:pPr>
      <w:r>
        <w:rPr>
          <w:rFonts w:hint="eastAsia" w:ascii="仿宋" w:hAnsi="仿宋" w:eastAsia="仿宋" w:cs="仿宋"/>
          <w:sz w:val="44"/>
        </w:rPr>
        <w:t>汕头大学医学院技术服务招标项目</w:t>
      </w:r>
    </w:p>
    <w:p w14:paraId="1146C9A8">
      <w:pPr>
        <w:pStyle w:val="2"/>
        <w:kinsoku w:val="0"/>
        <w:wordWrap w:val="0"/>
        <w:topLinePunct/>
        <w:autoSpaceDE/>
        <w:spacing w:line="240" w:lineRule="auto"/>
        <w:jc w:val="center"/>
        <w:rPr>
          <w:rFonts w:hint="eastAsia" w:ascii="仿宋" w:hAnsi="仿宋" w:eastAsia="仿宋" w:cs="仿宋"/>
          <w:sz w:val="44"/>
        </w:rPr>
      </w:pPr>
    </w:p>
    <w:p w14:paraId="63B2F816">
      <w:pPr>
        <w:pStyle w:val="2"/>
        <w:kinsoku w:val="0"/>
        <w:wordWrap w:val="0"/>
        <w:topLinePunct/>
        <w:autoSpaceDE/>
        <w:spacing w:line="240" w:lineRule="auto"/>
        <w:jc w:val="center"/>
      </w:pPr>
      <w:r>
        <w:rPr>
          <w:rFonts w:hint="eastAsia"/>
        </w:rPr>
        <w:t>招   标   文   件</w:t>
      </w:r>
    </w:p>
    <w:p w14:paraId="63E45DD3">
      <w:pPr>
        <w:kinsoku w:val="0"/>
        <w:wordWrap w:val="0"/>
        <w:topLinePunct/>
        <w:rPr>
          <w:rFonts w:hint="eastAsia" w:ascii="仿宋" w:hAnsi="仿宋" w:eastAsia="仿宋" w:cs="仿宋"/>
        </w:rPr>
      </w:pPr>
    </w:p>
    <w:p w14:paraId="4AF04ED4">
      <w:pPr>
        <w:kinsoku w:val="0"/>
        <w:wordWrap w:val="0"/>
        <w:topLinePunct/>
        <w:rPr>
          <w:rFonts w:hint="eastAsia" w:ascii="仿宋" w:hAnsi="仿宋" w:eastAsia="仿宋" w:cs="仿宋"/>
        </w:rPr>
      </w:pPr>
    </w:p>
    <w:p w14:paraId="000CF96E">
      <w:pPr>
        <w:kinsoku w:val="0"/>
        <w:wordWrap w:val="0"/>
        <w:topLinePunct/>
        <w:rPr>
          <w:rFonts w:hint="eastAsia" w:ascii="仿宋" w:hAnsi="仿宋" w:eastAsia="仿宋" w:cs="仿宋"/>
        </w:rPr>
      </w:pPr>
    </w:p>
    <w:p w14:paraId="0CC99F58">
      <w:pPr>
        <w:kinsoku w:val="0"/>
        <w:wordWrap w:val="0"/>
        <w:topLinePunct/>
        <w:rPr>
          <w:rFonts w:hint="eastAsia" w:ascii="仿宋" w:hAnsi="仿宋" w:eastAsia="仿宋" w:cs="仿宋"/>
        </w:rPr>
      </w:pPr>
    </w:p>
    <w:p w14:paraId="2DF2B728">
      <w:pPr>
        <w:kinsoku w:val="0"/>
        <w:wordWrap w:val="0"/>
        <w:topLinePunct/>
        <w:rPr>
          <w:rFonts w:hint="eastAsia" w:ascii="仿宋" w:hAnsi="仿宋" w:eastAsia="仿宋" w:cs="仿宋"/>
        </w:rPr>
      </w:pPr>
    </w:p>
    <w:p w14:paraId="536945E7">
      <w:pPr>
        <w:rPr>
          <w:rFonts w:hint="eastAsia" w:eastAsia="仿宋_GB2312"/>
          <w:lang w:val="en-US" w:eastAsia="zh-CN"/>
        </w:rPr>
      </w:pPr>
      <w:r>
        <w:rPr>
          <w:rFonts w:hint="eastAsia"/>
        </w:rPr>
        <w:t>招标编号：</w:t>
      </w:r>
      <w:r>
        <w:rPr>
          <w:rFonts w:hint="eastAsia"/>
          <w:highlight w:val="yellow"/>
        </w:rPr>
        <w:t xml:space="preserve">汕医招2026- </w:t>
      </w:r>
      <w:r>
        <w:rPr>
          <w:rFonts w:hint="eastAsia"/>
          <w:highlight w:val="yellow"/>
          <w:lang w:val="en-US" w:eastAsia="zh-CN"/>
        </w:rPr>
        <w:t>6</w:t>
      </w:r>
      <w:r>
        <w:rPr>
          <w:highlight w:val="yellow"/>
        </w:rPr>
        <w:t>-</w:t>
      </w:r>
      <w:r>
        <w:rPr>
          <w:rFonts w:hint="eastAsia"/>
        </w:rPr>
        <w:t xml:space="preserve"> </w:t>
      </w:r>
      <w:r>
        <w:rPr>
          <w:rFonts w:hint="eastAsia"/>
          <w:lang w:val="en-US" w:eastAsia="zh-CN"/>
        </w:rPr>
        <w:t>5</w:t>
      </w:r>
    </w:p>
    <w:p w14:paraId="08CD26E8">
      <w:pPr>
        <w:spacing w:line="360" w:lineRule="auto"/>
        <w:jc w:val="center"/>
        <w:rPr>
          <w:rFonts w:hint="eastAsia" w:ascii="仿宋" w:hAnsi="仿宋" w:eastAsia="仿宋" w:cs="仿宋"/>
          <w:sz w:val="30"/>
          <w:szCs w:val="30"/>
        </w:rPr>
      </w:pPr>
      <w:r>
        <w:rPr>
          <w:rFonts w:hint="eastAsia" w:ascii="仿宋" w:hAnsi="仿宋" w:eastAsia="仿宋" w:cs="仿宋"/>
          <w:sz w:val="30"/>
          <w:szCs w:val="30"/>
        </w:rPr>
        <w:t>项目名称：</w:t>
      </w:r>
      <w:bookmarkStart w:id="0" w:name="_Hlk228968752"/>
      <w:r>
        <w:rPr>
          <w:rFonts w:hint="eastAsia" w:ascii="仿宋" w:hAnsi="仿宋" w:eastAsia="仿宋" w:cs="仿宋"/>
          <w:sz w:val="30"/>
          <w:szCs w:val="30"/>
          <w:lang w:eastAsia="zh-CN"/>
        </w:rPr>
        <w:t>汕头大学医学院</w:t>
      </w:r>
      <w:r>
        <w:rPr>
          <w:rFonts w:hint="eastAsia" w:ascii="仿宋" w:hAnsi="仿宋" w:eastAsia="仿宋" w:cs="仿宋"/>
          <w:sz w:val="30"/>
          <w:szCs w:val="30"/>
        </w:rPr>
        <w:t xml:space="preserve"> SDB优化治疗临床决策支持系统</w:t>
      </w:r>
    </w:p>
    <w:p w14:paraId="08AB846A">
      <w:pPr>
        <w:spacing w:line="360" w:lineRule="auto"/>
        <w:jc w:val="both"/>
        <w:rPr>
          <w:rFonts w:hint="eastAsia" w:ascii="仿宋" w:hAnsi="仿宋" w:eastAsia="仿宋" w:cs="仿宋"/>
          <w:sz w:val="30"/>
          <w:szCs w:val="30"/>
          <w:lang w:eastAsia="zh-CN"/>
        </w:rPr>
      </w:pPr>
      <w:r>
        <w:rPr>
          <w:rFonts w:hint="eastAsia" w:ascii="仿宋" w:hAnsi="仿宋" w:eastAsia="仿宋" w:cs="仿宋"/>
          <w:sz w:val="30"/>
          <w:szCs w:val="30"/>
        </w:rPr>
        <w:t>（SDB-CDSS）技术服务</w:t>
      </w:r>
      <w:r>
        <w:rPr>
          <w:rFonts w:hint="eastAsia" w:ascii="仿宋" w:hAnsi="仿宋" w:eastAsia="仿宋" w:cs="仿宋"/>
          <w:sz w:val="30"/>
          <w:szCs w:val="30"/>
          <w:lang w:eastAsia="zh-CN"/>
        </w:rPr>
        <w:t>项目</w:t>
      </w:r>
      <w:bookmarkStart w:id="3" w:name="_GoBack"/>
      <w:bookmarkEnd w:id="3"/>
    </w:p>
    <w:bookmarkEnd w:id="0"/>
    <w:p w14:paraId="370393A6">
      <w:pPr>
        <w:kinsoku w:val="0"/>
        <w:wordWrap w:val="0"/>
        <w:topLinePunct/>
        <w:ind w:firstLine="1494"/>
        <w:rPr>
          <w:rFonts w:hint="eastAsia" w:ascii="仿宋" w:hAnsi="仿宋" w:eastAsia="仿宋" w:cs="仿宋"/>
          <w:sz w:val="24"/>
        </w:rPr>
      </w:pPr>
    </w:p>
    <w:p w14:paraId="1F44298A">
      <w:pPr>
        <w:kinsoku w:val="0"/>
        <w:wordWrap w:val="0"/>
        <w:topLinePunct/>
        <w:rPr>
          <w:rFonts w:hint="eastAsia" w:ascii="仿宋" w:hAnsi="仿宋" w:eastAsia="仿宋" w:cs="仿宋"/>
          <w:sz w:val="24"/>
        </w:rPr>
      </w:pPr>
    </w:p>
    <w:p w14:paraId="14FA4BA2">
      <w:pPr>
        <w:kinsoku w:val="0"/>
        <w:wordWrap w:val="0"/>
        <w:topLinePunct/>
        <w:jc w:val="center"/>
        <w:rPr>
          <w:rFonts w:hint="eastAsia" w:ascii="仿宋" w:hAnsi="仿宋" w:eastAsia="仿宋" w:cs="仿宋"/>
          <w:sz w:val="36"/>
        </w:rPr>
      </w:pPr>
    </w:p>
    <w:p w14:paraId="613437AD">
      <w:pPr>
        <w:kinsoku w:val="0"/>
        <w:wordWrap w:val="0"/>
        <w:topLinePunct/>
        <w:jc w:val="center"/>
        <w:rPr>
          <w:rFonts w:hint="eastAsia" w:ascii="仿宋" w:hAnsi="仿宋" w:eastAsia="仿宋" w:cs="仿宋"/>
          <w:sz w:val="36"/>
        </w:rPr>
      </w:pPr>
      <w:r>
        <w:rPr>
          <w:rFonts w:hint="eastAsia" w:ascii="仿宋" w:hAnsi="仿宋" w:eastAsia="仿宋" w:cs="仿宋"/>
        </w:rPr>
        <w:drawing>
          <wp:inline distT="0" distB="0" distL="114300" distR="114300">
            <wp:extent cx="752475" cy="828675"/>
            <wp:effectExtent l="0" t="0" r="9525" b="9525"/>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7"/>
                    <a:stretch>
                      <a:fillRect/>
                    </a:stretch>
                  </pic:blipFill>
                  <pic:spPr>
                    <a:xfrm>
                      <a:off x="0" y="0"/>
                      <a:ext cx="752475" cy="828675"/>
                    </a:xfrm>
                    <a:prstGeom prst="rect">
                      <a:avLst/>
                    </a:prstGeom>
                    <a:noFill/>
                    <a:ln>
                      <a:noFill/>
                    </a:ln>
                  </pic:spPr>
                </pic:pic>
              </a:graphicData>
            </a:graphic>
          </wp:inline>
        </w:drawing>
      </w:r>
    </w:p>
    <w:p w14:paraId="2B48E009">
      <w:pPr>
        <w:kinsoku w:val="0"/>
        <w:wordWrap w:val="0"/>
        <w:topLinePunct/>
        <w:jc w:val="center"/>
        <w:rPr>
          <w:rFonts w:hint="eastAsia" w:ascii="仿宋" w:hAnsi="仿宋" w:eastAsia="仿宋" w:cs="仿宋"/>
          <w:sz w:val="21"/>
        </w:rPr>
      </w:pPr>
      <w:r>
        <w:rPr>
          <w:rFonts w:hint="eastAsia" w:ascii="仿宋" w:hAnsi="仿宋" w:eastAsia="仿宋" w:cs="仿宋"/>
          <w:sz w:val="21"/>
        </w:rPr>
        <w:t>(欢迎访问我们的网站:http://www.med.stu.edu.cn)</w:t>
      </w:r>
    </w:p>
    <w:p w14:paraId="25C77A3C">
      <w:pPr>
        <w:kinsoku w:val="0"/>
        <w:wordWrap w:val="0"/>
        <w:topLinePunct/>
        <w:jc w:val="center"/>
        <w:rPr>
          <w:rFonts w:hint="eastAsia" w:ascii="仿宋" w:hAnsi="仿宋" w:eastAsia="仿宋" w:cs="仿宋"/>
        </w:rPr>
      </w:pPr>
    </w:p>
    <w:p w14:paraId="70A915C7">
      <w:pPr>
        <w:kinsoku w:val="0"/>
        <w:wordWrap w:val="0"/>
        <w:topLinePunct/>
        <w:jc w:val="center"/>
        <w:rPr>
          <w:rFonts w:hint="eastAsia" w:ascii="仿宋" w:hAnsi="仿宋" w:eastAsia="仿宋" w:cs="仿宋"/>
          <w:sz w:val="36"/>
        </w:rPr>
      </w:pPr>
      <w:r>
        <w:rPr>
          <w:rFonts w:hint="eastAsia" w:ascii="仿宋" w:hAnsi="仿宋" w:eastAsia="仿宋" w:cs="仿宋"/>
          <w:sz w:val="36"/>
        </w:rPr>
        <w:t>汕头大学医学院</w:t>
      </w:r>
    </w:p>
    <w:p w14:paraId="6112CE23">
      <w:pPr>
        <w:kinsoku w:val="0"/>
        <w:wordWrap w:val="0"/>
        <w:topLinePunct/>
        <w:jc w:val="center"/>
        <w:rPr>
          <w:rFonts w:hint="eastAsia" w:ascii="仿宋" w:hAnsi="仿宋" w:eastAsia="仿宋" w:cs="仿宋"/>
          <w:sz w:val="44"/>
          <w:lang w:val="en-US" w:eastAsia="zh-CN"/>
        </w:rPr>
      </w:pPr>
      <w:r>
        <w:rPr>
          <w:rFonts w:hint="eastAsia" w:ascii="仿宋" w:hAnsi="仿宋" w:eastAsia="仿宋" w:cs="仿宋"/>
          <w:sz w:val="44"/>
          <w:highlight w:val="yellow"/>
        </w:rPr>
        <w:t xml:space="preserve">2026. </w:t>
      </w:r>
      <w:r>
        <w:rPr>
          <w:rFonts w:hint="eastAsia" w:ascii="仿宋" w:hAnsi="仿宋" w:eastAsia="仿宋" w:cs="仿宋"/>
          <w:sz w:val="44"/>
          <w:highlight w:val="yellow"/>
          <w:lang w:val="en-US" w:eastAsia="zh-CN"/>
        </w:rPr>
        <w:t>6</w:t>
      </w:r>
      <w:r>
        <w:rPr>
          <w:rFonts w:hint="eastAsia" w:ascii="仿宋" w:hAnsi="仿宋" w:eastAsia="仿宋" w:cs="仿宋"/>
          <w:sz w:val="44"/>
        </w:rPr>
        <w:t>.</w:t>
      </w:r>
      <w:r>
        <w:rPr>
          <w:rFonts w:hint="eastAsia" w:ascii="仿宋" w:hAnsi="仿宋" w:eastAsia="仿宋" w:cs="仿宋"/>
          <w:sz w:val="44"/>
          <w:lang w:val="en-US" w:eastAsia="zh-CN"/>
        </w:rPr>
        <w:t>5</w:t>
      </w:r>
    </w:p>
    <w:p w14:paraId="471CF7E7">
      <w:pPr>
        <w:kinsoku w:val="0"/>
        <w:wordWrap w:val="0"/>
        <w:topLinePunct/>
        <w:rPr>
          <w:rFonts w:hint="eastAsia" w:ascii="仿宋" w:hAnsi="仿宋" w:eastAsia="仿宋" w:cs="仿宋"/>
          <w:sz w:val="24"/>
        </w:rPr>
      </w:pPr>
    </w:p>
    <w:p w14:paraId="3D5F3DEC">
      <w:pPr>
        <w:kinsoku w:val="0"/>
        <w:wordWrap w:val="0"/>
        <w:topLinePunct/>
        <w:rPr>
          <w:rFonts w:hint="eastAsia" w:ascii="仿宋" w:hAnsi="仿宋" w:eastAsia="仿宋" w:cs="仿宋"/>
          <w:sz w:val="24"/>
        </w:rPr>
      </w:pPr>
    </w:p>
    <w:p w14:paraId="09D75AE2">
      <w:pPr>
        <w:pageBreakBefore/>
        <w:kinsoku w:val="0"/>
        <w:wordWrap w:val="0"/>
        <w:topLinePunct/>
        <w:jc w:val="center"/>
        <w:rPr>
          <w:rFonts w:hint="eastAsia" w:ascii="仿宋" w:hAnsi="仿宋" w:eastAsia="仿宋" w:cs="仿宋"/>
          <w:b/>
          <w:sz w:val="44"/>
        </w:rPr>
      </w:pPr>
      <w:r>
        <w:rPr>
          <w:rFonts w:hint="eastAsia" w:ascii="仿宋" w:hAnsi="仿宋" w:eastAsia="仿宋" w:cs="仿宋"/>
          <w:b/>
          <w:sz w:val="44"/>
        </w:rPr>
        <w:t>目  录</w:t>
      </w:r>
    </w:p>
    <w:p w14:paraId="25C642E8">
      <w:pPr>
        <w:kinsoku w:val="0"/>
        <w:wordWrap w:val="0"/>
        <w:topLinePunct/>
        <w:jc w:val="center"/>
        <w:rPr>
          <w:rFonts w:hint="eastAsia" w:ascii="仿宋" w:hAnsi="仿宋" w:eastAsia="仿宋" w:cs="仿宋"/>
          <w:b/>
          <w:sz w:val="44"/>
        </w:rPr>
      </w:pPr>
    </w:p>
    <w:p w14:paraId="4201779A">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第一部分  投标须知、招标项目说明</w:t>
      </w:r>
    </w:p>
    <w:p w14:paraId="4D56270F">
      <w:pPr>
        <w:numPr>
          <w:ilvl w:val="0"/>
          <w:numId w:val="3"/>
        </w:numPr>
        <w:kinsoku w:val="0"/>
        <w:wordWrap w:val="0"/>
        <w:topLinePunct/>
        <w:rPr>
          <w:rFonts w:hint="eastAsia" w:ascii="仿宋" w:hAnsi="仿宋" w:eastAsia="仿宋" w:cs="仿宋"/>
        </w:rPr>
      </w:pPr>
      <w:r>
        <w:rPr>
          <w:rFonts w:hint="eastAsia" w:ascii="仿宋" w:hAnsi="仿宋" w:eastAsia="仿宋" w:cs="仿宋"/>
        </w:rPr>
        <w:t>投标人须知</w:t>
      </w:r>
    </w:p>
    <w:p w14:paraId="7D255BAA">
      <w:pPr>
        <w:numPr>
          <w:ilvl w:val="0"/>
          <w:numId w:val="3"/>
        </w:numPr>
        <w:kinsoku w:val="0"/>
        <w:wordWrap w:val="0"/>
        <w:topLinePunct/>
        <w:rPr>
          <w:rFonts w:hint="eastAsia" w:ascii="仿宋" w:hAnsi="仿宋" w:eastAsia="仿宋" w:cs="仿宋"/>
        </w:rPr>
      </w:pPr>
      <w:r>
        <w:rPr>
          <w:rFonts w:hint="eastAsia" w:ascii="仿宋" w:hAnsi="仿宋" w:eastAsia="仿宋" w:cs="仿宋"/>
        </w:rPr>
        <w:t>招标项目的名称、性质和数量</w:t>
      </w:r>
    </w:p>
    <w:p w14:paraId="1D3A7435">
      <w:pPr>
        <w:numPr>
          <w:ilvl w:val="0"/>
          <w:numId w:val="3"/>
        </w:numPr>
        <w:kinsoku w:val="0"/>
        <w:wordWrap w:val="0"/>
        <w:topLinePunct/>
        <w:rPr>
          <w:rFonts w:hint="eastAsia" w:ascii="仿宋" w:hAnsi="仿宋" w:eastAsia="仿宋" w:cs="仿宋"/>
        </w:rPr>
      </w:pPr>
      <w:r>
        <w:rPr>
          <w:rFonts w:hint="eastAsia" w:ascii="仿宋" w:hAnsi="仿宋" w:eastAsia="仿宋" w:cs="仿宋"/>
        </w:rPr>
        <w:t>投标报价方式及报价要求</w:t>
      </w:r>
    </w:p>
    <w:p w14:paraId="6688DB03">
      <w:pPr>
        <w:numPr>
          <w:ilvl w:val="0"/>
          <w:numId w:val="3"/>
        </w:numPr>
        <w:kinsoku w:val="0"/>
        <w:wordWrap w:val="0"/>
        <w:topLinePunct/>
        <w:rPr>
          <w:rFonts w:hint="eastAsia" w:ascii="仿宋" w:hAnsi="仿宋" w:eastAsia="仿宋" w:cs="仿宋"/>
        </w:rPr>
      </w:pPr>
      <w:r>
        <w:rPr>
          <w:rFonts w:hint="eastAsia" w:ascii="仿宋" w:hAnsi="仿宋" w:eastAsia="仿宋" w:cs="仿宋"/>
        </w:rPr>
        <w:t>提交投标书的方式、地点和截止日期</w:t>
      </w:r>
    </w:p>
    <w:p w14:paraId="2B46E00D">
      <w:pPr>
        <w:numPr>
          <w:ilvl w:val="0"/>
          <w:numId w:val="3"/>
        </w:numPr>
        <w:kinsoku w:val="0"/>
        <w:wordWrap w:val="0"/>
        <w:topLinePunct/>
        <w:rPr>
          <w:rFonts w:hint="eastAsia" w:ascii="仿宋" w:hAnsi="仿宋" w:eastAsia="仿宋" w:cs="仿宋"/>
        </w:rPr>
      </w:pPr>
      <w:r>
        <w:rPr>
          <w:rFonts w:hint="eastAsia" w:ascii="仿宋" w:hAnsi="仿宋" w:eastAsia="仿宋" w:cs="仿宋"/>
        </w:rPr>
        <w:t>评（议）标原则</w:t>
      </w:r>
    </w:p>
    <w:p w14:paraId="590E2405">
      <w:pPr>
        <w:numPr>
          <w:ilvl w:val="0"/>
          <w:numId w:val="3"/>
        </w:numPr>
        <w:kinsoku w:val="0"/>
        <w:wordWrap w:val="0"/>
        <w:topLinePunct/>
        <w:rPr>
          <w:rFonts w:hint="eastAsia" w:ascii="仿宋" w:hAnsi="仿宋" w:eastAsia="仿宋" w:cs="仿宋"/>
        </w:rPr>
      </w:pPr>
      <w:r>
        <w:rPr>
          <w:rFonts w:hint="eastAsia" w:ascii="仿宋" w:hAnsi="仿宋" w:eastAsia="仿宋" w:cs="仿宋"/>
        </w:rPr>
        <w:t>开标、评标、定标</w:t>
      </w:r>
    </w:p>
    <w:p w14:paraId="0E88B0BB">
      <w:pPr>
        <w:numPr>
          <w:ilvl w:val="0"/>
          <w:numId w:val="3"/>
        </w:numPr>
        <w:kinsoku w:val="0"/>
        <w:wordWrap w:val="0"/>
        <w:topLinePunct/>
        <w:rPr>
          <w:rFonts w:hint="eastAsia" w:ascii="仿宋" w:hAnsi="仿宋" w:eastAsia="仿宋" w:cs="仿宋"/>
        </w:rPr>
      </w:pPr>
      <w:r>
        <w:rPr>
          <w:rFonts w:hint="eastAsia" w:ascii="仿宋" w:hAnsi="仿宋" w:eastAsia="仿宋" w:cs="仿宋"/>
        </w:rPr>
        <w:t>评标过程的保密性</w:t>
      </w:r>
    </w:p>
    <w:p w14:paraId="2CF0B267">
      <w:pPr>
        <w:kinsoku w:val="0"/>
        <w:wordWrap w:val="0"/>
        <w:topLinePunct/>
        <w:adjustRightInd w:val="0"/>
        <w:snapToGrid w:val="0"/>
        <w:spacing w:before="50" w:after="50"/>
        <w:rPr>
          <w:rFonts w:hint="eastAsia" w:ascii="仿宋" w:hAnsi="仿宋" w:eastAsia="仿宋" w:cs="仿宋"/>
          <w:sz w:val="32"/>
        </w:rPr>
      </w:pPr>
    </w:p>
    <w:p w14:paraId="28F8E34D">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第二部分  技术规格要求和交货日期等</w:t>
      </w:r>
    </w:p>
    <w:p w14:paraId="6F34B831">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项目内容数量</w:t>
      </w:r>
    </w:p>
    <w:p w14:paraId="548B2AFB">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主要技术指标、技术服务要求、时间</w:t>
      </w:r>
    </w:p>
    <w:p w14:paraId="79FCD0B2">
      <w:pPr>
        <w:numPr>
          <w:ilvl w:val="0"/>
          <w:numId w:val="4"/>
        </w:numPr>
        <w:kinsoku w:val="0"/>
        <w:wordWrap w:val="0"/>
        <w:topLinePunct/>
        <w:adjustRightInd w:val="0"/>
        <w:snapToGrid w:val="0"/>
        <w:spacing w:before="50" w:after="50"/>
        <w:rPr>
          <w:rFonts w:hint="eastAsia" w:ascii="仿宋" w:hAnsi="仿宋" w:eastAsia="仿宋" w:cs="仿宋"/>
        </w:rPr>
      </w:pPr>
      <w:r>
        <w:rPr>
          <w:rFonts w:hint="eastAsia" w:ascii="仿宋" w:hAnsi="仿宋" w:eastAsia="仿宋" w:cs="仿宋"/>
        </w:rPr>
        <w:t>技术服务质量及售后服务要求</w:t>
      </w:r>
    </w:p>
    <w:p w14:paraId="72DF43FB">
      <w:pPr>
        <w:kinsoku w:val="0"/>
        <w:wordWrap w:val="0"/>
        <w:topLinePunct/>
        <w:adjustRightInd w:val="0"/>
        <w:snapToGrid w:val="0"/>
        <w:spacing w:before="50" w:after="50"/>
        <w:rPr>
          <w:rFonts w:hint="eastAsia" w:ascii="仿宋" w:hAnsi="仿宋" w:eastAsia="仿宋" w:cs="仿宋"/>
          <w:sz w:val="32"/>
        </w:rPr>
      </w:pPr>
    </w:p>
    <w:p w14:paraId="7A3FF62E">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第三部分  合同样本</w:t>
      </w:r>
    </w:p>
    <w:p w14:paraId="02D4489D">
      <w:pPr>
        <w:kinsoku w:val="0"/>
        <w:wordWrap w:val="0"/>
        <w:topLinePunct/>
        <w:adjustRightInd w:val="0"/>
        <w:snapToGrid w:val="0"/>
        <w:spacing w:before="50" w:after="50"/>
        <w:rPr>
          <w:rFonts w:hint="eastAsia" w:ascii="仿宋" w:hAnsi="仿宋" w:eastAsia="仿宋" w:cs="仿宋"/>
          <w:b/>
          <w:sz w:val="32"/>
        </w:rPr>
      </w:pPr>
    </w:p>
    <w:p w14:paraId="24F252EE">
      <w:pPr>
        <w:kinsoku w:val="0"/>
        <w:wordWrap w:val="0"/>
        <w:topLinePunct/>
        <w:adjustRightInd w:val="0"/>
        <w:snapToGrid w:val="0"/>
        <w:spacing w:before="50" w:after="50"/>
        <w:rPr>
          <w:rFonts w:hint="eastAsia" w:ascii="仿宋" w:hAnsi="仿宋" w:eastAsia="仿宋" w:cs="仿宋"/>
          <w:b/>
          <w:sz w:val="32"/>
        </w:rPr>
      </w:pPr>
      <w:r>
        <w:rPr>
          <w:rFonts w:hint="eastAsia" w:ascii="仿宋" w:hAnsi="仿宋" w:eastAsia="仿宋" w:cs="仿宋"/>
          <w:b/>
          <w:sz w:val="32"/>
        </w:rPr>
        <w:t>第四部分  投标书格式</w:t>
      </w:r>
    </w:p>
    <w:p w14:paraId="7F642829">
      <w:pPr>
        <w:kinsoku w:val="0"/>
        <w:wordWrap w:val="0"/>
        <w:topLinePunct/>
        <w:adjustRightInd w:val="0"/>
        <w:snapToGrid w:val="0"/>
        <w:spacing w:before="50" w:after="50"/>
        <w:rPr>
          <w:rFonts w:hint="eastAsia" w:ascii="仿宋" w:hAnsi="仿宋" w:eastAsia="仿宋" w:cs="仿宋"/>
          <w:b/>
          <w:sz w:val="32"/>
        </w:rPr>
      </w:pPr>
    </w:p>
    <w:p w14:paraId="4065AA7A">
      <w:pPr>
        <w:kinsoku w:val="0"/>
        <w:wordWrap w:val="0"/>
        <w:topLinePunct/>
        <w:jc w:val="center"/>
        <w:rPr>
          <w:rFonts w:hint="eastAsia" w:ascii="仿宋" w:hAnsi="仿宋" w:eastAsia="仿宋" w:cs="仿宋"/>
          <w:b/>
          <w:sz w:val="30"/>
        </w:rPr>
      </w:pPr>
      <w:r>
        <w:rPr>
          <w:rFonts w:hint="eastAsia" w:ascii="仿宋" w:hAnsi="仿宋" w:eastAsia="仿宋" w:cs="仿宋"/>
        </w:rPr>
        <w:br w:type="page"/>
      </w:r>
      <w:r>
        <w:rPr>
          <w:rFonts w:hint="eastAsia" w:ascii="仿宋" w:hAnsi="仿宋" w:eastAsia="仿宋" w:cs="仿宋"/>
          <w:b/>
          <w:sz w:val="30"/>
        </w:rPr>
        <w:t>第一部分  投标须知、招标项目说明</w:t>
      </w:r>
    </w:p>
    <w:p w14:paraId="1749CE48">
      <w:pPr>
        <w:kinsoku w:val="0"/>
        <w:wordWrap w:val="0"/>
        <w:topLinePunct/>
        <w:rPr>
          <w:rFonts w:hint="eastAsia" w:ascii="仿宋" w:hAnsi="仿宋" w:eastAsia="仿宋" w:cs="仿宋"/>
          <w:b/>
          <w:sz w:val="21"/>
          <w:szCs w:val="21"/>
        </w:rPr>
      </w:pPr>
      <w:r>
        <w:rPr>
          <w:rFonts w:hint="eastAsia" w:ascii="仿宋" w:hAnsi="仿宋" w:eastAsia="仿宋" w:cs="仿宋"/>
          <w:b/>
          <w:sz w:val="21"/>
          <w:szCs w:val="21"/>
        </w:rPr>
        <w:t>一、投标人须知</w:t>
      </w:r>
    </w:p>
    <w:p w14:paraId="057B7055">
      <w:pPr>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b/>
          <w:bCs/>
          <w:sz w:val="21"/>
          <w:szCs w:val="21"/>
        </w:rPr>
        <w:t>1.投标文件要求：正本（含资质文件）一份，副本五份[内容与正本一致]</w:t>
      </w:r>
      <w:r>
        <w:rPr>
          <w:rFonts w:hint="eastAsia" w:ascii="仿宋" w:hAnsi="仿宋" w:eastAsia="仿宋" w:cs="仿宋"/>
          <w:sz w:val="21"/>
          <w:szCs w:val="21"/>
        </w:rPr>
        <w:t>。</w:t>
      </w:r>
    </w:p>
    <w:p w14:paraId="6B912DFD">
      <w:pPr>
        <w:spacing w:line="540" w:lineRule="exact"/>
        <w:ind w:firstLine="524" w:firstLineChars="200"/>
        <w:rPr>
          <w:rFonts w:hint="eastAsia" w:ascii="仿宋" w:hAnsi="仿宋" w:eastAsia="仿宋" w:cs="仿宋"/>
          <w:b/>
          <w:sz w:val="21"/>
          <w:szCs w:val="21"/>
        </w:rPr>
      </w:pPr>
      <w:r>
        <w:rPr>
          <w:rFonts w:hint="eastAsia" w:ascii="仿宋" w:hAnsi="仿宋" w:eastAsia="仿宋" w:cs="仿宋"/>
          <w:b/>
          <w:sz w:val="21"/>
          <w:szCs w:val="21"/>
        </w:rPr>
        <w:t>2.供应商资格要求</w:t>
      </w:r>
    </w:p>
    <w:p w14:paraId="3B9E3D32">
      <w:pPr>
        <w:spacing w:line="540" w:lineRule="exact"/>
        <w:ind w:left="425"/>
        <w:rPr>
          <w:rFonts w:hint="eastAsia" w:ascii="仿宋" w:hAnsi="仿宋" w:eastAsia="仿宋" w:cs="仿宋"/>
          <w:sz w:val="21"/>
          <w:szCs w:val="21"/>
        </w:rPr>
      </w:pPr>
      <w:r>
        <w:rPr>
          <w:rFonts w:hint="eastAsia" w:ascii="仿宋" w:hAnsi="仿宋" w:eastAsia="仿宋" w:cs="仿宋"/>
          <w:sz w:val="21"/>
          <w:szCs w:val="21"/>
        </w:rPr>
        <w:t>（1）具有独立承担民事责任的能力，投标人须在中国境内注册并且经营范围包含本项目内容。</w:t>
      </w:r>
    </w:p>
    <w:p w14:paraId="409E6B6D">
      <w:pPr>
        <w:spacing w:line="540" w:lineRule="exact"/>
        <w:ind w:left="425"/>
        <w:rPr>
          <w:rFonts w:hint="eastAsia" w:ascii="仿宋" w:hAnsi="仿宋" w:eastAsia="仿宋" w:cs="仿宋"/>
          <w:sz w:val="21"/>
          <w:szCs w:val="21"/>
        </w:rPr>
      </w:pPr>
      <w:r>
        <w:rPr>
          <w:rFonts w:hint="eastAsia" w:ascii="仿宋" w:hAnsi="仿宋" w:eastAsia="仿宋" w:cs="仿宋"/>
          <w:sz w:val="21"/>
          <w:szCs w:val="21"/>
        </w:rPr>
        <w:t>（2）参加本项目招标采购活动前三年内，在经营活动中没有重大违法记录（投标人自行提供书面声明）。</w:t>
      </w:r>
    </w:p>
    <w:p w14:paraId="188BFA49">
      <w:pPr>
        <w:spacing w:line="540" w:lineRule="exact"/>
        <w:ind w:left="425"/>
        <w:rPr>
          <w:rFonts w:hint="eastAsia" w:ascii="仿宋" w:hAnsi="仿宋" w:eastAsia="仿宋" w:cs="仿宋"/>
          <w:sz w:val="21"/>
          <w:szCs w:val="21"/>
        </w:rPr>
      </w:pPr>
      <w:r>
        <w:rPr>
          <w:rFonts w:hint="eastAsia" w:ascii="仿宋" w:hAnsi="仿宋" w:eastAsia="仿宋" w:cs="仿宋"/>
          <w:sz w:val="21"/>
          <w:szCs w:val="21"/>
        </w:rPr>
        <w:t>（3）投标人单位负责人为同一人或者存在控股、管理关系的不同单位，不得参加本次投标。</w:t>
      </w:r>
    </w:p>
    <w:p w14:paraId="4D0D7326">
      <w:pPr>
        <w:spacing w:line="540" w:lineRule="exact"/>
        <w:ind w:left="425"/>
        <w:rPr>
          <w:rFonts w:hint="eastAsia" w:ascii="仿宋" w:hAnsi="仿宋" w:eastAsia="仿宋" w:cs="仿宋"/>
          <w:sz w:val="21"/>
          <w:szCs w:val="21"/>
        </w:rPr>
      </w:pPr>
      <w:r>
        <w:rPr>
          <w:rFonts w:hint="eastAsia" w:ascii="仿宋" w:hAnsi="仿宋" w:eastAsia="仿宋" w:cs="仿宋"/>
          <w:sz w:val="21"/>
          <w:szCs w:val="21"/>
        </w:rPr>
        <w:t>（4）投标人未被列入“信用中国”网站失信被执行人、重大税收违法案件严重违法失信行为记录名单（投标人自行提供截图）。</w:t>
      </w:r>
    </w:p>
    <w:p w14:paraId="18074E3A">
      <w:pPr>
        <w:spacing w:line="540" w:lineRule="exact"/>
        <w:ind w:left="425"/>
        <w:rPr>
          <w:rFonts w:hint="eastAsia" w:ascii="仿宋" w:hAnsi="仿宋" w:eastAsia="仿宋" w:cs="仿宋"/>
          <w:sz w:val="21"/>
          <w:szCs w:val="21"/>
        </w:rPr>
      </w:pPr>
      <w:r>
        <w:rPr>
          <w:rFonts w:hint="eastAsia" w:ascii="仿宋" w:hAnsi="仿宋" w:eastAsia="仿宋" w:cs="仿宋"/>
          <w:sz w:val="21"/>
          <w:szCs w:val="21"/>
        </w:rPr>
        <w:t>（5）须持有境内深度合成服务算法备案，并提供备案信息及备案编号及有效证明文件。</w:t>
      </w:r>
    </w:p>
    <w:p w14:paraId="6B50BD3E">
      <w:pPr>
        <w:spacing w:line="540" w:lineRule="exact"/>
        <w:ind w:left="425"/>
        <w:rPr>
          <w:rFonts w:hint="eastAsia" w:ascii="仿宋" w:hAnsi="仿宋" w:eastAsia="仿宋" w:cs="仿宋"/>
          <w:sz w:val="21"/>
          <w:szCs w:val="21"/>
        </w:rPr>
      </w:pPr>
      <w:r>
        <w:rPr>
          <w:rFonts w:hint="eastAsia" w:ascii="仿宋" w:hAnsi="仿宋" w:eastAsia="仿宋" w:cs="仿宋"/>
          <w:sz w:val="21"/>
          <w:szCs w:val="21"/>
        </w:rPr>
        <w:t>（6）本项目不接受联合体投标。</w:t>
      </w:r>
    </w:p>
    <w:p w14:paraId="1378D9E1">
      <w:pPr>
        <w:numPr>
          <w:ilvl w:val="255"/>
          <w:numId w:val="0"/>
        </w:numPr>
        <w:tabs>
          <w:tab w:val="left" w:pos="0"/>
        </w:tabs>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3. 投标人可以在汕头大学医学院网站主页自行下载招标文件。投标人拿到招标书后，如有疑问，可在投标截止日期内与招标有关联系人联系。</w:t>
      </w:r>
    </w:p>
    <w:p w14:paraId="1E4B4503">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4.投标书和签定合同要求企业法人或企业法人授权委托代表签名方为有效。</w:t>
      </w:r>
    </w:p>
    <w:p w14:paraId="48A34760">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5.如有必要，投标人应接受招标人的答辩要求。</w:t>
      </w:r>
    </w:p>
    <w:p w14:paraId="3AF60C0F">
      <w:pPr>
        <w:numPr>
          <w:ilvl w:val="255"/>
          <w:numId w:val="0"/>
        </w:num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6.投标时每个投标单位向我院缴交人民币三百元资料费。</w:t>
      </w:r>
    </w:p>
    <w:p w14:paraId="0C3981A8">
      <w:pPr>
        <w:numPr>
          <w:ilvl w:val="255"/>
          <w:numId w:val="0"/>
        </w:numPr>
        <w:kinsoku w:val="0"/>
        <w:wordWrap w:val="0"/>
        <w:topLinePunct/>
        <w:ind w:left="498"/>
        <w:rPr>
          <w:rFonts w:hint="eastAsia" w:ascii="仿宋" w:hAnsi="仿宋" w:eastAsia="仿宋" w:cs="仿宋"/>
          <w:b/>
          <w:sz w:val="21"/>
          <w:szCs w:val="21"/>
        </w:rPr>
      </w:pPr>
      <w:r>
        <w:rPr>
          <w:rFonts w:hint="eastAsia" w:ascii="仿宋" w:hAnsi="仿宋" w:eastAsia="仿宋" w:cs="仿宋"/>
          <w:sz w:val="21"/>
          <w:szCs w:val="21"/>
        </w:rPr>
        <w:t>7.向我院缴交资料费时用此专用户头：</w:t>
      </w:r>
      <w:r>
        <w:rPr>
          <w:rFonts w:hint="eastAsia" w:ascii="仿宋" w:hAnsi="仿宋" w:eastAsia="仿宋" w:cs="仿宋"/>
          <w:b/>
          <w:sz w:val="21"/>
          <w:szCs w:val="21"/>
        </w:rPr>
        <w:t xml:space="preserve">单位名称：（汕头大学医学院 ）  帐号：（705557744822 ）  开户行：（中行嘉泰支行） </w:t>
      </w:r>
    </w:p>
    <w:p w14:paraId="152FB438">
      <w:pPr>
        <w:kinsoku w:val="0"/>
        <w:wordWrap w:val="0"/>
        <w:topLinePunct/>
        <w:ind w:left="498"/>
        <w:rPr>
          <w:rFonts w:hint="eastAsia" w:ascii="仿宋" w:hAnsi="仿宋" w:eastAsia="仿宋" w:cs="仿宋"/>
          <w:sz w:val="21"/>
          <w:szCs w:val="21"/>
        </w:rPr>
      </w:pPr>
      <w:r>
        <w:rPr>
          <w:rFonts w:hint="eastAsia" w:ascii="仿宋" w:hAnsi="仿宋" w:eastAsia="仿宋" w:cs="仿宋"/>
          <w:sz w:val="21"/>
          <w:szCs w:val="21"/>
        </w:rPr>
        <w:t>8.投标人必须接受</w:t>
      </w:r>
      <w:r>
        <w:rPr>
          <w:rFonts w:hint="eastAsia" w:ascii="仿宋" w:hAnsi="仿宋" w:eastAsia="仿宋" w:cs="仿宋"/>
          <w:b/>
          <w:bCs/>
          <w:sz w:val="21"/>
          <w:szCs w:val="21"/>
        </w:rPr>
        <w:t>标书注明的付款</w:t>
      </w:r>
      <w:r>
        <w:rPr>
          <w:rFonts w:hint="eastAsia" w:ascii="仿宋" w:hAnsi="仿宋" w:eastAsia="仿宋" w:cs="仿宋"/>
          <w:sz w:val="21"/>
          <w:szCs w:val="21"/>
        </w:rPr>
        <w:t>条款。</w:t>
      </w:r>
    </w:p>
    <w:p w14:paraId="622185EF">
      <w:pPr>
        <w:kinsoku w:val="0"/>
        <w:wordWrap w:val="0"/>
        <w:topLinePunct/>
        <w:ind w:left="425"/>
        <w:rPr>
          <w:rFonts w:hint="eastAsia" w:ascii="仿宋" w:hAnsi="仿宋" w:eastAsia="仿宋" w:cs="仿宋"/>
          <w:sz w:val="21"/>
        </w:rPr>
      </w:pPr>
      <w:r>
        <w:rPr>
          <w:rFonts w:hint="eastAsia" w:ascii="仿宋" w:hAnsi="仿宋" w:eastAsia="仿宋" w:cs="仿宋"/>
          <w:sz w:val="18"/>
        </w:rPr>
        <w:t xml:space="preserve">   </w:t>
      </w:r>
    </w:p>
    <w:p w14:paraId="3B1C0781">
      <w:pPr>
        <w:kinsoku w:val="0"/>
        <w:wordWrap w:val="0"/>
        <w:topLinePunct/>
        <w:rPr>
          <w:rFonts w:hint="eastAsia" w:ascii="仿宋" w:hAnsi="仿宋" w:eastAsia="仿宋" w:cs="仿宋"/>
          <w:b/>
          <w:sz w:val="21"/>
        </w:rPr>
      </w:pPr>
      <w:r>
        <w:rPr>
          <w:rFonts w:hint="eastAsia" w:ascii="仿宋" w:hAnsi="仿宋" w:eastAsia="仿宋" w:cs="仿宋"/>
          <w:b/>
          <w:sz w:val="21"/>
        </w:rPr>
        <w:t>二、招标项目的名称</w:t>
      </w:r>
    </w:p>
    <w:p w14:paraId="0A55D1EB">
      <w:pPr>
        <w:kinsoku w:val="0"/>
        <w:wordWrap w:val="0"/>
        <w:topLinePunct/>
        <w:rPr>
          <w:rFonts w:hint="eastAsia" w:ascii="仿宋" w:hAnsi="仿宋" w:eastAsia="仿宋" w:cs="仿宋"/>
          <w:b w:val="0"/>
          <w:bCs/>
          <w:sz w:val="21"/>
          <w:lang w:eastAsia="zh-CN"/>
        </w:rPr>
      </w:pPr>
      <w:r>
        <w:rPr>
          <w:rFonts w:hint="eastAsia" w:ascii="仿宋" w:hAnsi="仿宋" w:eastAsia="仿宋" w:cs="仿宋"/>
          <w:b w:val="0"/>
          <w:bCs/>
          <w:sz w:val="21"/>
          <w:lang w:eastAsia="zh-CN"/>
        </w:rPr>
        <w:t>汕头大学医学院</w:t>
      </w:r>
      <w:r>
        <w:rPr>
          <w:rFonts w:hint="eastAsia" w:ascii="仿宋" w:hAnsi="仿宋" w:eastAsia="仿宋" w:cs="仿宋"/>
          <w:b w:val="0"/>
          <w:bCs/>
          <w:sz w:val="21"/>
        </w:rPr>
        <w:t xml:space="preserve"> SDB优化治疗临床决策支持系统（SDB-CDSS）技术服务</w:t>
      </w:r>
      <w:r>
        <w:rPr>
          <w:rFonts w:hint="eastAsia" w:ascii="仿宋" w:hAnsi="仿宋" w:eastAsia="仿宋" w:cs="仿宋"/>
          <w:b w:val="0"/>
          <w:bCs/>
          <w:sz w:val="21"/>
          <w:lang w:eastAsia="zh-CN"/>
        </w:rPr>
        <w:t>项目</w:t>
      </w:r>
    </w:p>
    <w:p w14:paraId="488D75F5">
      <w:pPr>
        <w:kinsoku w:val="0"/>
        <w:wordWrap w:val="0"/>
        <w:topLinePunct/>
        <w:rPr>
          <w:rFonts w:hint="eastAsia" w:ascii="仿宋" w:hAnsi="仿宋" w:eastAsia="仿宋" w:cs="仿宋"/>
          <w:b/>
          <w:sz w:val="21"/>
        </w:rPr>
      </w:pPr>
      <w:r>
        <w:rPr>
          <w:rFonts w:hint="eastAsia" w:ascii="仿宋" w:hAnsi="仿宋" w:eastAsia="仿宋" w:cs="仿宋"/>
          <w:b/>
          <w:sz w:val="21"/>
        </w:rPr>
        <w:t>三、投标报价方式及报价要求</w:t>
      </w:r>
    </w:p>
    <w:p w14:paraId="75F316C9">
      <w:pPr>
        <w:spacing w:line="360" w:lineRule="auto"/>
        <w:ind w:firstLine="524" w:firstLineChars="200"/>
        <w:rPr>
          <w:rFonts w:hint="eastAsia" w:ascii="仿宋" w:hAnsi="仿宋" w:eastAsia="仿宋" w:cs="仿宋"/>
          <w:sz w:val="21"/>
          <w:szCs w:val="21"/>
        </w:rPr>
      </w:pPr>
      <w:r>
        <w:rPr>
          <w:rFonts w:hint="eastAsia" w:ascii="仿宋" w:hAnsi="仿宋" w:eastAsia="仿宋" w:cs="仿宋"/>
          <w:sz w:val="21"/>
          <w:szCs w:val="21"/>
        </w:rPr>
        <w:t>报价方式：仅以人民币报价，投标总价不得高于总预算。</w:t>
      </w:r>
    </w:p>
    <w:p w14:paraId="09BE149C">
      <w:pPr>
        <w:spacing w:line="360" w:lineRule="auto"/>
        <w:ind w:firstLine="524" w:firstLineChars="200"/>
        <w:rPr>
          <w:rFonts w:hint="eastAsia" w:ascii="仿宋" w:hAnsi="仿宋" w:eastAsia="仿宋" w:cs="仿宋"/>
          <w:sz w:val="21"/>
          <w:szCs w:val="21"/>
        </w:rPr>
      </w:pPr>
      <w:r>
        <w:rPr>
          <w:rFonts w:ascii="仿宋" w:hAnsi="仿宋" w:eastAsia="仿宋" w:cs="仿宋"/>
          <w:sz w:val="21"/>
          <w:szCs w:val="21"/>
        </w:rPr>
        <w:br w:type="textWrapping"/>
      </w:r>
    </w:p>
    <w:p w14:paraId="5385BA9C">
      <w:pPr>
        <w:kinsoku w:val="0"/>
        <w:wordWrap w:val="0"/>
        <w:topLinePunct/>
        <w:rPr>
          <w:rFonts w:hint="eastAsia" w:ascii="仿宋" w:hAnsi="仿宋" w:eastAsia="仿宋" w:cs="仿宋"/>
          <w:b/>
          <w:sz w:val="21"/>
        </w:rPr>
      </w:pPr>
      <w:r>
        <w:rPr>
          <w:rFonts w:hint="eastAsia" w:ascii="仿宋" w:hAnsi="仿宋" w:eastAsia="仿宋" w:cs="仿宋"/>
          <w:b/>
          <w:sz w:val="21"/>
          <w:lang w:eastAsia="zh-CN"/>
        </w:rPr>
        <w:t>报名截止时间、</w:t>
      </w:r>
      <w:r>
        <w:rPr>
          <w:rFonts w:hint="eastAsia" w:ascii="仿宋" w:hAnsi="仿宋" w:eastAsia="仿宋" w:cs="仿宋"/>
          <w:b/>
          <w:sz w:val="21"/>
        </w:rPr>
        <w:t>提交投标书的方式、地点和截止时间</w:t>
      </w:r>
    </w:p>
    <w:p w14:paraId="784F0818">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lang w:eastAsia="zh-CN"/>
        </w:rPr>
        <w:t>单位报名把项目采购报名表扫描件通过邮件发送到</w:t>
      </w:r>
      <w:r>
        <w:rPr>
          <w:rFonts w:hint="eastAsia" w:ascii="仿宋" w:hAnsi="仿宋" w:eastAsia="仿宋" w:cs="仿宋"/>
          <w:sz w:val="21"/>
          <w:szCs w:val="21"/>
          <w:lang w:val="en-US" w:eastAsia="zh-CN"/>
        </w:rPr>
        <w:fldChar w:fldCharType="begin"/>
      </w:r>
      <w:r>
        <w:rPr>
          <w:rFonts w:hint="eastAsia" w:ascii="仿宋" w:hAnsi="仿宋" w:eastAsia="仿宋" w:cs="仿宋"/>
          <w:sz w:val="21"/>
          <w:szCs w:val="21"/>
          <w:lang w:val="en-US" w:eastAsia="zh-CN"/>
        </w:rPr>
        <w:instrText xml:space="preserve"> HYPERLINK "mailto:yxyztbzx@stu.edu.cn" </w:instrText>
      </w:r>
      <w:r>
        <w:rPr>
          <w:rFonts w:hint="eastAsia" w:ascii="仿宋" w:hAnsi="仿宋" w:eastAsia="仿宋" w:cs="仿宋"/>
          <w:sz w:val="21"/>
          <w:szCs w:val="21"/>
          <w:lang w:val="en-US" w:eastAsia="zh-CN"/>
        </w:rPr>
        <w:fldChar w:fldCharType="separate"/>
      </w:r>
      <w:r>
        <w:rPr>
          <w:rStyle w:val="29"/>
          <w:rFonts w:hint="eastAsia" w:ascii="仿宋" w:hAnsi="仿宋" w:eastAsia="仿宋" w:cs="仿宋"/>
          <w:sz w:val="21"/>
          <w:szCs w:val="21"/>
          <w:lang w:val="en-US" w:eastAsia="zh-CN"/>
        </w:rPr>
        <w:t>yxyztbzx@stu.edu.cn</w:t>
      </w:r>
      <w:r>
        <w:rPr>
          <w:rFonts w:hint="eastAsia" w:ascii="仿宋" w:hAnsi="仿宋" w:eastAsia="仿宋" w:cs="仿宋"/>
          <w:sz w:val="21"/>
          <w:szCs w:val="21"/>
          <w:lang w:val="en-US" w:eastAsia="zh-CN"/>
        </w:rPr>
        <w:fldChar w:fldCharType="end"/>
      </w:r>
      <w:r>
        <w:rPr>
          <w:rFonts w:hint="eastAsia" w:ascii="仿宋" w:hAnsi="仿宋" w:eastAsia="仿宋" w:cs="仿宋"/>
          <w:sz w:val="21"/>
          <w:szCs w:val="21"/>
          <w:lang w:val="en-US" w:eastAsia="zh-CN"/>
        </w:rPr>
        <w:t>，报</w:t>
      </w:r>
    </w:p>
    <w:p w14:paraId="109D8B1B">
      <w:pPr>
        <w:numPr>
          <w:ilvl w:val="0"/>
          <w:numId w:val="5"/>
        </w:numPr>
        <w:kinsoku w:val="0"/>
        <w:wordWrap w:val="0"/>
        <w:topLinePunct/>
        <w:ind w:firstLine="73"/>
        <w:rPr>
          <w:rFonts w:hint="eastAsia" w:ascii="仿宋" w:hAnsi="仿宋" w:eastAsia="仿宋" w:cs="仿宋"/>
          <w:sz w:val="21"/>
          <w:szCs w:val="21"/>
        </w:rPr>
      </w:pPr>
      <w:r>
        <w:rPr>
          <w:rFonts w:hint="eastAsia" w:ascii="仿宋" w:hAnsi="仿宋" w:eastAsia="仿宋" w:cs="仿宋"/>
          <w:sz w:val="21"/>
          <w:szCs w:val="21"/>
        </w:rPr>
        <w:t xml:space="preserve">投标书必须以密封加盖骑缝章的形式亲自或快递送达汕头新陵路22号汕头大学医学院   </w:t>
      </w:r>
      <w:r>
        <w:rPr>
          <w:rFonts w:hint="eastAsia" w:ascii="仿宋" w:hAnsi="仿宋" w:eastAsia="仿宋" w:cs="仿宋"/>
          <w:sz w:val="21"/>
          <w:szCs w:val="21"/>
          <w:lang w:eastAsia="zh-CN"/>
        </w:rPr>
        <w:t>招投标中心</w:t>
      </w:r>
    </w:p>
    <w:p w14:paraId="3A369E8D">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联系人：杨成瑜</w:t>
      </w:r>
    </w:p>
    <w:p w14:paraId="706C5F65">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联系电话：（0754）8890</w:t>
      </w:r>
      <w:r>
        <w:rPr>
          <w:rFonts w:hint="eastAsia" w:ascii="仿宋" w:hAnsi="仿宋" w:eastAsia="仿宋" w:cs="仿宋"/>
          <w:sz w:val="21"/>
          <w:szCs w:val="21"/>
          <w:lang w:val="en-US" w:eastAsia="zh-CN"/>
        </w:rPr>
        <w:t>0305</w:t>
      </w:r>
      <w:r>
        <w:rPr>
          <w:rFonts w:hint="eastAsia" w:ascii="仿宋" w:hAnsi="仿宋" w:eastAsia="仿宋" w:cs="仿宋"/>
          <w:sz w:val="21"/>
          <w:szCs w:val="21"/>
        </w:rPr>
        <w:t>、13016667886</w:t>
      </w:r>
    </w:p>
    <w:p w14:paraId="1DA7C9D1">
      <w:pPr>
        <w:kinsoku w:val="0"/>
        <w:wordWrap w:val="0"/>
        <w:topLinePunct/>
        <w:ind w:firstLine="830"/>
        <w:rPr>
          <w:rFonts w:hint="eastAsia" w:ascii="仿宋" w:hAnsi="仿宋" w:eastAsia="仿宋" w:cs="仿宋"/>
          <w:sz w:val="21"/>
          <w:szCs w:val="21"/>
        </w:rPr>
      </w:pPr>
      <w:r>
        <w:rPr>
          <w:rFonts w:hint="eastAsia" w:ascii="仿宋" w:hAnsi="仿宋" w:eastAsia="仿宋" w:cs="仿宋"/>
          <w:sz w:val="21"/>
          <w:szCs w:val="21"/>
        </w:rPr>
        <w:t>传真电话：（0754）88900305</w:t>
      </w:r>
    </w:p>
    <w:p w14:paraId="4B667D18">
      <w:pPr>
        <w:kinsoku w:val="0"/>
        <w:wordWrap w:val="0"/>
        <w:topLinePunct/>
        <w:ind w:firstLine="780"/>
        <w:rPr>
          <w:rFonts w:hint="eastAsia" w:ascii="仿宋" w:hAnsi="仿宋" w:eastAsia="仿宋" w:cs="仿宋"/>
          <w:b/>
          <w:bCs/>
          <w:i/>
          <w:iCs/>
          <w:sz w:val="24"/>
          <w:lang w:eastAsia="zh-CN"/>
        </w:rPr>
      </w:pPr>
      <w:r>
        <w:rPr>
          <w:rFonts w:hint="eastAsia" w:ascii="仿宋" w:hAnsi="仿宋" w:eastAsia="仿宋" w:cs="仿宋"/>
          <w:b/>
          <w:bCs/>
          <w:i/>
          <w:iCs/>
          <w:sz w:val="24"/>
          <w:lang w:eastAsia="zh-CN"/>
        </w:rPr>
        <w:t>报名截止时间：</w:t>
      </w:r>
      <w:r>
        <w:rPr>
          <w:rFonts w:hint="eastAsia" w:ascii="仿宋" w:hAnsi="仿宋" w:eastAsia="仿宋" w:cs="仿宋"/>
          <w:sz w:val="21"/>
          <w:szCs w:val="21"/>
          <w:lang w:val="en-US" w:eastAsia="zh-CN"/>
        </w:rPr>
        <w:t>2026年 6月12 日 17时30分</w:t>
      </w:r>
    </w:p>
    <w:p w14:paraId="0B25EDAA">
      <w:pPr>
        <w:kinsoku w:val="0"/>
        <w:wordWrap w:val="0"/>
        <w:topLinePunct/>
        <w:ind w:firstLine="780"/>
        <w:rPr>
          <w:rFonts w:hint="eastAsia" w:ascii="仿宋" w:hAnsi="仿宋" w:eastAsia="仿宋" w:cs="仿宋"/>
          <w:b/>
          <w:bCs/>
          <w:i/>
          <w:iCs/>
          <w:sz w:val="24"/>
          <w:highlight w:val="yellow"/>
        </w:rPr>
      </w:pPr>
      <w:r>
        <w:rPr>
          <w:rFonts w:hint="eastAsia" w:ascii="仿宋" w:hAnsi="仿宋" w:eastAsia="仿宋" w:cs="仿宋"/>
          <w:b/>
          <w:bCs/>
          <w:i/>
          <w:iCs/>
          <w:sz w:val="24"/>
        </w:rPr>
        <w:t>投标截止时间：</w:t>
      </w:r>
      <w:r>
        <w:rPr>
          <w:rFonts w:hint="eastAsia" w:ascii="仿宋" w:hAnsi="仿宋" w:eastAsia="仿宋" w:cs="仿宋"/>
          <w:b/>
          <w:bCs/>
          <w:i/>
          <w:iCs/>
          <w:sz w:val="24"/>
          <w:highlight w:val="yellow"/>
        </w:rPr>
        <w:t>202</w:t>
      </w:r>
      <w:r>
        <w:rPr>
          <w:rFonts w:hint="eastAsia" w:ascii="仿宋" w:hAnsi="仿宋" w:eastAsia="仿宋" w:cs="仿宋"/>
          <w:b/>
          <w:bCs/>
          <w:i/>
          <w:iCs/>
          <w:sz w:val="24"/>
          <w:highlight w:val="yellow"/>
          <w:lang w:val="en-US" w:eastAsia="zh-CN"/>
        </w:rPr>
        <w:t>6</w:t>
      </w:r>
      <w:r>
        <w:rPr>
          <w:rFonts w:hint="eastAsia" w:ascii="仿宋" w:hAnsi="仿宋" w:eastAsia="仿宋" w:cs="仿宋"/>
          <w:b/>
          <w:bCs/>
          <w:i/>
          <w:iCs/>
          <w:sz w:val="24"/>
          <w:highlight w:val="yellow"/>
        </w:rPr>
        <w:t>年</w:t>
      </w:r>
      <w:r>
        <w:rPr>
          <w:rFonts w:hint="eastAsia" w:ascii="仿宋" w:hAnsi="仿宋" w:eastAsia="仿宋" w:cs="仿宋"/>
          <w:b/>
          <w:bCs/>
          <w:i/>
          <w:iCs/>
          <w:sz w:val="24"/>
          <w:highlight w:val="yellow"/>
          <w:lang w:val="en-US" w:eastAsia="zh-CN"/>
        </w:rPr>
        <w:t>6</w:t>
      </w:r>
      <w:r>
        <w:rPr>
          <w:rFonts w:hint="eastAsia" w:ascii="仿宋" w:hAnsi="仿宋" w:eastAsia="仿宋" w:cs="仿宋"/>
          <w:b/>
          <w:bCs/>
          <w:i/>
          <w:iCs/>
          <w:sz w:val="24"/>
          <w:highlight w:val="yellow"/>
        </w:rPr>
        <w:t>月</w:t>
      </w:r>
      <w:r>
        <w:rPr>
          <w:rFonts w:hint="eastAsia" w:ascii="仿宋" w:hAnsi="仿宋" w:eastAsia="仿宋" w:cs="仿宋"/>
          <w:b/>
          <w:bCs/>
          <w:i/>
          <w:iCs/>
          <w:sz w:val="24"/>
          <w:highlight w:val="yellow"/>
          <w:lang w:val="en-US" w:eastAsia="zh-CN"/>
        </w:rPr>
        <w:t>26</w:t>
      </w:r>
      <w:r>
        <w:rPr>
          <w:rFonts w:hint="eastAsia" w:ascii="仿宋" w:hAnsi="仿宋" w:eastAsia="仿宋" w:cs="仿宋"/>
          <w:b/>
          <w:bCs/>
          <w:i/>
          <w:iCs/>
          <w:sz w:val="24"/>
          <w:highlight w:val="yellow"/>
        </w:rPr>
        <w:t>日上午</w:t>
      </w:r>
      <w:r>
        <w:rPr>
          <w:rFonts w:hint="eastAsia" w:ascii="仿宋" w:hAnsi="仿宋" w:eastAsia="仿宋" w:cs="仿宋"/>
          <w:b/>
          <w:bCs/>
          <w:i/>
          <w:iCs/>
          <w:sz w:val="24"/>
          <w:highlight w:val="yellow"/>
          <w:lang w:val="en-US" w:eastAsia="zh-CN"/>
        </w:rPr>
        <w:t>10:00</w:t>
      </w:r>
      <w:r>
        <w:rPr>
          <w:rFonts w:hint="eastAsia" w:ascii="仿宋" w:hAnsi="仿宋" w:eastAsia="仿宋" w:cs="仿宋"/>
          <w:b/>
          <w:bCs/>
          <w:i/>
          <w:iCs/>
          <w:sz w:val="24"/>
          <w:highlight w:val="yellow"/>
        </w:rPr>
        <w:t>(北京时间)</w:t>
      </w:r>
    </w:p>
    <w:p w14:paraId="12510256">
      <w:pPr>
        <w:numPr>
          <w:ilvl w:val="0"/>
          <w:numId w:val="5"/>
        </w:numPr>
        <w:kinsoku w:val="0"/>
        <w:wordWrap w:val="0"/>
        <w:topLinePunct/>
        <w:ind w:left="425" w:leftChars="0" w:firstLine="73" w:firstLineChars="0"/>
        <w:rPr>
          <w:rFonts w:hint="eastAsia" w:ascii="仿宋" w:hAnsi="仿宋" w:eastAsia="仿宋" w:cs="仿宋"/>
          <w:sz w:val="21"/>
          <w:szCs w:val="21"/>
          <w:lang w:eastAsia="zh-CN"/>
        </w:rPr>
      </w:pPr>
      <w:r>
        <w:rPr>
          <w:rFonts w:hint="eastAsia" w:ascii="仿宋" w:hAnsi="仿宋" w:eastAsia="仿宋" w:cs="仿宋"/>
          <w:sz w:val="21"/>
          <w:szCs w:val="21"/>
          <w:lang w:eastAsia="zh-CN"/>
        </w:rPr>
        <w:t>项目采购报名表格式如下</w:t>
      </w:r>
    </w:p>
    <w:p w14:paraId="3A8835EF">
      <w:pPr>
        <w:spacing w:line="360" w:lineRule="auto"/>
        <w:jc w:val="center"/>
        <w:rPr>
          <w:rFonts w:ascii="等线" w:hAnsi="等线" w:eastAsia="等线" w:cs="等线"/>
          <w:b/>
          <w:bCs/>
          <w:sz w:val="21"/>
          <w:szCs w:val="21"/>
        </w:rPr>
      </w:pPr>
      <w:r>
        <w:rPr>
          <w:rFonts w:hint="eastAsia" w:ascii="等线" w:hAnsi="等线" w:eastAsia="等线" w:cs="等线"/>
          <w:b/>
          <w:bCs/>
          <w:sz w:val="21"/>
          <w:szCs w:val="21"/>
          <w:lang w:val="en-US" w:eastAsia="zh-CN"/>
        </w:rPr>
        <w:t>项目采购</w:t>
      </w:r>
      <w:r>
        <w:rPr>
          <w:rFonts w:hint="eastAsia" w:ascii="等线" w:hAnsi="等线" w:eastAsia="等线" w:cs="等线"/>
          <w:b/>
          <w:bCs/>
          <w:sz w:val="21"/>
          <w:szCs w:val="21"/>
        </w:rPr>
        <w:t>报名表</w:t>
      </w:r>
    </w:p>
    <w:tbl>
      <w:tblPr>
        <w:tblStyle w:val="2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95"/>
        <w:gridCol w:w="2130"/>
        <w:gridCol w:w="2424"/>
        <w:gridCol w:w="1172"/>
        <w:gridCol w:w="3161"/>
      </w:tblGrid>
      <w:tr w14:paraId="3AAE24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bottom w:val="single" w:color="auto" w:sz="4" w:space="0"/>
              <w:right w:val="single" w:color="auto" w:sz="4" w:space="0"/>
            </w:tcBorders>
            <w:vAlign w:val="center"/>
          </w:tcPr>
          <w:p w14:paraId="19ABE8A9">
            <w:pPr>
              <w:jc w:val="center"/>
              <w:rPr>
                <w:rFonts w:ascii="Times New Roman" w:hAnsi="Times New Roman" w:eastAsia="仿宋"/>
                <w:sz w:val="21"/>
                <w:szCs w:val="21"/>
              </w:rPr>
            </w:pPr>
            <w:r>
              <w:rPr>
                <w:rFonts w:hint="eastAsia" w:ascii="Times New Roman" w:hAnsi="Times New Roman" w:eastAsia="仿宋"/>
                <w:sz w:val="21"/>
                <w:szCs w:val="21"/>
              </w:rPr>
              <w:t>项目名称</w:t>
            </w:r>
          </w:p>
        </w:tc>
        <w:tc>
          <w:tcPr>
            <w:tcW w:w="11459" w:type="dxa"/>
            <w:gridSpan w:val="4"/>
            <w:tcBorders>
              <w:left w:val="single" w:color="auto" w:sz="4" w:space="0"/>
              <w:bottom w:val="single" w:color="auto" w:sz="4" w:space="0"/>
            </w:tcBorders>
            <w:vAlign w:val="center"/>
          </w:tcPr>
          <w:p w14:paraId="00A5D7D3">
            <w:pPr>
              <w:jc w:val="center"/>
              <w:rPr>
                <w:rFonts w:ascii="Times New Roman" w:hAnsi="Times New Roman" w:eastAsia="仿宋"/>
                <w:sz w:val="21"/>
                <w:szCs w:val="21"/>
              </w:rPr>
            </w:pPr>
          </w:p>
        </w:tc>
      </w:tr>
      <w:tr w14:paraId="1F4B0C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1471" w:type="dxa"/>
            <w:tcBorders>
              <w:top w:val="single" w:color="auto" w:sz="4" w:space="0"/>
              <w:bottom w:val="single" w:color="auto" w:sz="4" w:space="0"/>
              <w:right w:val="single" w:color="auto" w:sz="4" w:space="0"/>
            </w:tcBorders>
            <w:vAlign w:val="center"/>
          </w:tcPr>
          <w:p w14:paraId="46FCB850">
            <w:pPr>
              <w:jc w:val="center"/>
              <w:rPr>
                <w:rFonts w:ascii="Times New Roman" w:hAnsi="Times New Roman" w:eastAsia="仿宋"/>
                <w:sz w:val="21"/>
                <w:szCs w:val="21"/>
              </w:rPr>
            </w:pPr>
            <w:r>
              <w:rPr>
                <w:rFonts w:hint="eastAsia" w:ascii="Times New Roman" w:hAnsi="Times New Roman" w:eastAsia="仿宋"/>
                <w:sz w:val="21"/>
                <w:szCs w:val="21"/>
              </w:rPr>
              <w:t>项目编号</w:t>
            </w: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1B04D038">
            <w:pPr>
              <w:jc w:val="center"/>
              <w:rPr>
                <w:rFonts w:hint="eastAsia" w:ascii="Times New Roman" w:hAnsi="Times New Roman" w:eastAsia="仿宋"/>
                <w:sz w:val="21"/>
                <w:szCs w:val="21"/>
                <w:lang w:val="en-US" w:eastAsia="zh-CN"/>
              </w:rPr>
            </w:pPr>
          </w:p>
        </w:tc>
        <w:tc>
          <w:tcPr>
            <w:tcW w:w="1440" w:type="dxa"/>
            <w:tcBorders>
              <w:top w:val="single" w:color="auto" w:sz="4" w:space="0"/>
              <w:left w:val="single" w:color="auto" w:sz="4" w:space="0"/>
              <w:bottom w:val="single" w:color="auto" w:sz="4" w:space="0"/>
              <w:right w:val="single" w:color="auto" w:sz="4" w:space="0"/>
            </w:tcBorders>
            <w:vAlign w:val="center"/>
          </w:tcPr>
          <w:p w14:paraId="64E88F96">
            <w:pPr>
              <w:jc w:val="center"/>
              <w:rPr>
                <w:rFonts w:ascii="Times New Roman" w:hAnsi="Times New Roman" w:eastAsia="仿宋"/>
                <w:sz w:val="21"/>
                <w:szCs w:val="21"/>
              </w:rPr>
            </w:pPr>
            <w:r>
              <w:rPr>
                <w:rFonts w:hint="eastAsia" w:ascii="Times New Roman" w:hAnsi="Times New Roman" w:eastAsia="仿宋"/>
                <w:sz w:val="21"/>
                <w:szCs w:val="21"/>
              </w:rPr>
              <w:t>报名日期</w:t>
            </w:r>
          </w:p>
        </w:tc>
        <w:tc>
          <w:tcPr>
            <w:tcW w:w="4095" w:type="dxa"/>
            <w:tcBorders>
              <w:top w:val="single" w:color="auto" w:sz="4" w:space="0"/>
              <w:left w:val="single" w:color="auto" w:sz="4" w:space="0"/>
              <w:bottom w:val="single" w:color="auto" w:sz="4" w:space="0"/>
            </w:tcBorders>
            <w:vAlign w:val="center"/>
          </w:tcPr>
          <w:p w14:paraId="350A4D17">
            <w:pPr>
              <w:jc w:val="center"/>
              <w:rPr>
                <w:rFonts w:ascii="Times New Roman" w:hAnsi="Times New Roman" w:eastAsia="仿宋"/>
                <w:sz w:val="21"/>
                <w:szCs w:val="21"/>
              </w:rPr>
            </w:pPr>
          </w:p>
        </w:tc>
      </w:tr>
      <w:tr w14:paraId="0197C2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restart"/>
            <w:tcBorders>
              <w:top w:val="single" w:color="auto" w:sz="4" w:space="0"/>
              <w:bottom w:val="single" w:color="auto" w:sz="4" w:space="0"/>
              <w:right w:val="single" w:color="auto" w:sz="4" w:space="0"/>
            </w:tcBorders>
            <w:vAlign w:val="center"/>
          </w:tcPr>
          <w:p w14:paraId="3E916234">
            <w:pPr>
              <w:jc w:val="center"/>
              <w:rPr>
                <w:rFonts w:ascii="Times New Roman" w:hAnsi="Times New Roman" w:eastAsia="仿宋"/>
                <w:sz w:val="21"/>
                <w:szCs w:val="21"/>
              </w:rPr>
            </w:pPr>
            <w:r>
              <w:rPr>
                <w:rFonts w:hint="eastAsia" w:ascii="Times New Roman" w:hAnsi="Times New Roman" w:eastAsia="仿宋"/>
                <w:sz w:val="21"/>
                <w:szCs w:val="21"/>
              </w:rPr>
              <w:t>单位信息</w:t>
            </w:r>
          </w:p>
        </w:tc>
        <w:tc>
          <w:tcPr>
            <w:tcW w:w="2656" w:type="dxa"/>
            <w:tcBorders>
              <w:top w:val="single" w:color="auto" w:sz="4" w:space="0"/>
              <w:left w:val="single" w:color="auto" w:sz="4" w:space="0"/>
              <w:bottom w:val="single" w:color="auto" w:sz="4" w:space="0"/>
              <w:right w:val="single" w:color="auto" w:sz="4" w:space="0"/>
            </w:tcBorders>
            <w:vAlign w:val="center"/>
          </w:tcPr>
          <w:p w14:paraId="360A5F94">
            <w:pPr>
              <w:jc w:val="center"/>
              <w:rPr>
                <w:rFonts w:ascii="Times New Roman" w:hAnsi="Times New Roman" w:eastAsia="仿宋"/>
                <w:sz w:val="21"/>
                <w:szCs w:val="21"/>
              </w:rPr>
            </w:pPr>
            <w:r>
              <w:rPr>
                <w:rFonts w:hint="eastAsia" w:ascii="Times New Roman" w:hAnsi="Times New Roman" w:eastAsia="仿宋"/>
                <w:sz w:val="21"/>
                <w:szCs w:val="21"/>
              </w:rPr>
              <w:t>单位名称</w:t>
            </w:r>
          </w:p>
        </w:tc>
        <w:tc>
          <w:tcPr>
            <w:tcW w:w="3268" w:type="dxa"/>
            <w:tcBorders>
              <w:top w:val="single" w:color="auto" w:sz="4" w:space="0"/>
              <w:left w:val="single" w:color="auto" w:sz="4" w:space="0"/>
              <w:bottom w:val="single" w:color="auto" w:sz="4" w:space="0"/>
              <w:right w:val="single" w:color="auto" w:sz="4" w:space="0"/>
            </w:tcBorders>
            <w:vAlign w:val="center"/>
          </w:tcPr>
          <w:p w14:paraId="21C5E273">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77A6A04C">
            <w:pPr>
              <w:jc w:val="center"/>
              <w:rPr>
                <w:rFonts w:ascii="Times New Roman" w:hAnsi="Times New Roman" w:eastAsia="仿宋"/>
                <w:sz w:val="21"/>
                <w:szCs w:val="21"/>
              </w:rPr>
            </w:pPr>
            <w:r>
              <w:rPr>
                <w:rFonts w:hint="eastAsia" w:ascii="Times New Roman" w:hAnsi="Times New Roman" w:eastAsia="仿宋"/>
                <w:sz w:val="21"/>
                <w:szCs w:val="21"/>
              </w:rPr>
              <w:t>项目联系人</w:t>
            </w:r>
          </w:p>
        </w:tc>
        <w:tc>
          <w:tcPr>
            <w:tcW w:w="4095" w:type="dxa"/>
            <w:tcBorders>
              <w:top w:val="single" w:color="auto" w:sz="4" w:space="0"/>
              <w:left w:val="single" w:color="auto" w:sz="4" w:space="0"/>
              <w:bottom w:val="single" w:color="auto" w:sz="4" w:space="0"/>
            </w:tcBorders>
            <w:vAlign w:val="center"/>
          </w:tcPr>
          <w:p w14:paraId="40429AC9">
            <w:pPr>
              <w:jc w:val="center"/>
              <w:rPr>
                <w:rFonts w:ascii="Times New Roman" w:hAnsi="Times New Roman" w:eastAsia="仿宋"/>
                <w:sz w:val="21"/>
                <w:szCs w:val="21"/>
              </w:rPr>
            </w:pPr>
            <w:r>
              <w:rPr>
                <w:rFonts w:hint="eastAsia" w:ascii="Times New Roman" w:hAnsi="Times New Roman" w:eastAsia="仿宋"/>
                <w:sz w:val="21"/>
                <w:szCs w:val="21"/>
              </w:rPr>
              <w:t>姓名：</w:t>
            </w:r>
            <w:r>
              <w:rPr>
                <w:rFonts w:hint="eastAsia" w:ascii="Times New Roman" w:hAnsi="Times New Roman" w:eastAsia="仿宋"/>
                <w:sz w:val="21"/>
                <w:szCs w:val="21"/>
                <w:u w:val="single"/>
              </w:rPr>
              <w:t xml:space="preserve">         </w:t>
            </w:r>
            <w:r>
              <w:rPr>
                <w:rFonts w:hint="eastAsia" w:ascii="Times New Roman" w:hAnsi="Times New Roman" w:eastAsia="仿宋"/>
                <w:sz w:val="21"/>
                <w:szCs w:val="21"/>
              </w:rPr>
              <w:t>（□先生 □女士）</w:t>
            </w:r>
          </w:p>
        </w:tc>
      </w:tr>
      <w:tr w14:paraId="0229B8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471" w:type="dxa"/>
            <w:vMerge w:val="continue"/>
            <w:tcBorders>
              <w:top w:val="single" w:color="auto" w:sz="4" w:space="0"/>
              <w:bottom w:val="single" w:color="auto" w:sz="4" w:space="0"/>
              <w:right w:val="single" w:color="auto" w:sz="4" w:space="0"/>
            </w:tcBorders>
            <w:vAlign w:val="center"/>
          </w:tcPr>
          <w:p w14:paraId="4BCE096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4C23BE74">
            <w:pPr>
              <w:jc w:val="center"/>
              <w:rPr>
                <w:rFonts w:ascii="Times New Roman" w:hAnsi="Times New Roman" w:eastAsia="仿宋"/>
                <w:sz w:val="21"/>
                <w:szCs w:val="21"/>
              </w:rPr>
            </w:pPr>
            <w:r>
              <w:rPr>
                <w:rFonts w:hint="eastAsia" w:ascii="Times New Roman" w:hAnsi="Times New Roman" w:eastAsia="仿宋"/>
                <w:sz w:val="21"/>
                <w:szCs w:val="21"/>
              </w:rPr>
              <w:t>单位地址</w:t>
            </w:r>
          </w:p>
        </w:tc>
        <w:tc>
          <w:tcPr>
            <w:tcW w:w="3268" w:type="dxa"/>
            <w:tcBorders>
              <w:top w:val="single" w:color="auto" w:sz="4" w:space="0"/>
              <w:left w:val="single" w:color="auto" w:sz="4" w:space="0"/>
              <w:bottom w:val="single" w:color="auto" w:sz="4" w:space="0"/>
              <w:right w:val="single" w:color="auto" w:sz="4" w:space="0"/>
            </w:tcBorders>
            <w:vAlign w:val="center"/>
          </w:tcPr>
          <w:p w14:paraId="77AA3E94">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6443EB5B">
            <w:pPr>
              <w:jc w:val="center"/>
              <w:rPr>
                <w:rFonts w:ascii="Times New Roman" w:hAnsi="Times New Roman" w:eastAsia="仿宋"/>
                <w:sz w:val="21"/>
                <w:szCs w:val="21"/>
              </w:rPr>
            </w:pPr>
            <w:r>
              <w:rPr>
                <w:rFonts w:hint="eastAsia" w:ascii="Times New Roman" w:hAnsi="Times New Roman" w:eastAsia="仿宋"/>
                <w:sz w:val="21"/>
                <w:szCs w:val="21"/>
              </w:rPr>
              <w:t>联系电话</w:t>
            </w:r>
          </w:p>
        </w:tc>
        <w:tc>
          <w:tcPr>
            <w:tcW w:w="4095" w:type="dxa"/>
            <w:tcBorders>
              <w:top w:val="single" w:color="auto" w:sz="4" w:space="0"/>
              <w:left w:val="single" w:color="auto" w:sz="4" w:space="0"/>
              <w:bottom w:val="single" w:color="auto" w:sz="4" w:space="0"/>
            </w:tcBorders>
            <w:vAlign w:val="center"/>
          </w:tcPr>
          <w:p w14:paraId="2D5C368D">
            <w:pPr>
              <w:jc w:val="center"/>
              <w:rPr>
                <w:rFonts w:ascii="Times New Roman" w:hAnsi="Times New Roman" w:eastAsia="仿宋"/>
                <w:sz w:val="21"/>
                <w:szCs w:val="21"/>
              </w:rPr>
            </w:pPr>
          </w:p>
        </w:tc>
      </w:tr>
      <w:tr w14:paraId="4452A4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jc w:val="center"/>
        </w:trPr>
        <w:tc>
          <w:tcPr>
            <w:tcW w:w="1471" w:type="dxa"/>
            <w:vMerge w:val="continue"/>
            <w:tcBorders>
              <w:top w:val="single" w:color="auto" w:sz="4" w:space="0"/>
              <w:bottom w:val="single" w:color="auto" w:sz="4" w:space="0"/>
              <w:right w:val="single" w:color="auto" w:sz="4" w:space="0"/>
            </w:tcBorders>
            <w:vAlign w:val="center"/>
          </w:tcPr>
          <w:p w14:paraId="478F6930">
            <w:pPr>
              <w:jc w:val="center"/>
              <w:rPr>
                <w:rFonts w:ascii="Times New Roman" w:hAnsi="Times New Roman" w:eastAsia="仿宋"/>
                <w:sz w:val="21"/>
                <w:szCs w:val="21"/>
              </w:rPr>
            </w:pPr>
          </w:p>
        </w:tc>
        <w:tc>
          <w:tcPr>
            <w:tcW w:w="2656" w:type="dxa"/>
            <w:tcBorders>
              <w:top w:val="single" w:color="auto" w:sz="4" w:space="0"/>
              <w:left w:val="single" w:color="auto" w:sz="4" w:space="0"/>
              <w:bottom w:val="single" w:color="auto" w:sz="4" w:space="0"/>
              <w:right w:val="single" w:color="auto" w:sz="4" w:space="0"/>
            </w:tcBorders>
            <w:vAlign w:val="center"/>
          </w:tcPr>
          <w:p w14:paraId="2BEBDD4B">
            <w:pPr>
              <w:jc w:val="center"/>
              <w:rPr>
                <w:rFonts w:ascii="Times New Roman" w:hAnsi="Times New Roman" w:eastAsia="仿宋"/>
                <w:sz w:val="21"/>
                <w:szCs w:val="21"/>
              </w:rPr>
            </w:pPr>
            <w:r>
              <w:rPr>
                <w:rFonts w:hint="eastAsia" w:ascii="Times New Roman" w:hAnsi="Times New Roman" w:eastAsia="仿宋"/>
                <w:sz w:val="21"/>
                <w:szCs w:val="21"/>
              </w:rPr>
              <w:t>邮箱</w:t>
            </w:r>
          </w:p>
          <w:p w14:paraId="6C95D43A">
            <w:pPr>
              <w:jc w:val="center"/>
              <w:rPr>
                <w:rFonts w:ascii="Times New Roman" w:hAnsi="Times New Roman" w:eastAsia="仿宋"/>
                <w:sz w:val="21"/>
                <w:szCs w:val="21"/>
              </w:rPr>
            </w:pPr>
            <w:r>
              <w:rPr>
                <w:rFonts w:hint="eastAsia" w:ascii="Times New Roman" w:hAnsi="Times New Roman" w:eastAsia="仿宋"/>
                <w:b/>
                <w:bCs/>
                <w:sz w:val="21"/>
                <w:szCs w:val="21"/>
              </w:rPr>
              <w:t>（非常重要！请确保正确）</w:t>
            </w:r>
          </w:p>
        </w:tc>
        <w:tc>
          <w:tcPr>
            <w:tcW w:w="3268" w:type="dxa"/>
            <w:tcBorders>
              <w:top w:val="single" w:color="auto" w:sz="4" w:space="0"/>
              <w:left w:val="single" w:color="auto" w:sz="4" w:space="0"/>
              <w:bottom w:val="single" w:color="auto" w:sz="4" w:space="0"/>
              <w:right w:val="single" w:color="auto" w:sz="4" w:space="0"/>
            </w:tcBorders>
            <w:vAlign w:val="center"/>
          </w:tcPr>
          <w:p w14:paraId="66833B1B">
            <w:pPr>
              <w:jc w:val="center"/>
              <w:rPr>
                <w:rFonts w:ascii="Times New Roman" w:hAnsi="Times New Roman" w:eastAsia="仿宋"/>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14:paraId="00BEF665">
            <w:pPr>
              <w:jc w:val="center"/>
              <w:rPr>
                <w:rFonts w:ascii="Times New Roman" w:hAnsi="Times New Roman" w:eastAsia="仿宋"/>
                <w:sz w:val="21"/>
                <w:szCs w:val="21"/>
              </w:rPr>
            </w:pPr>
            <w:r>
              <w:rPr>
                <w:rFonts w:hint="eastAsia" w:ascii="Times New Roman" w:hAnsi="Times New Roman" w:eastAsia="仿宋"/>
                <w:sz w:val="21"/>
                <w:szCs w:val="21"/>
              </w:rPr>
              <w:t>职务</w:t>
            </w:r>
          </w:p>
        </w:tc>
        <w:tc>
          <w:tcPr>
            <w:tcW w:w="4095" w:type="dxa"/>
            <w:tcBorders>
              <w:top w:val="single" w:color="auto" w:sz="4" w:space="0"/>
              <w:left w:val="single" w:color="auto" w:sz="4" w:space="0"/>
              <w:bottom w:val="single" w:color="auto" w:sz="4" w:space="0"/>
            </w:tcBorders>
            <w:vAlign w:val="center"/>
          </w:tcPr>
          <w:p w14:paraId="66A3AC01">
            <w:pPr>
              <w:jc w:val="center"/>
              <w:rPr>
                <w:rFonts w:ascii="Times New Roman" w:hAnsi="Times New Roman" w:eastAsia="仿宋"/>
                <w:sz w:val="21"/>
                <w:szCs w:val="21"/>
              </w:rPr>
            </w:pPr>
          </w:p>
        </w:tc>
      </w:tr>
      <w:tr w14:paraId="25ABE3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471" w:type="dxa"/>
            <w:vMerge w:val="continue"/>
            <w:tcBorders>
              <w:top w:val="single" w:color="auto" w:sz="4" w:space="0"/>
              <w:bottom w:val="single" w:color="auto" w:sz="4" w:space="0"/>
              <w:right w:val="single" w:color="auto" w:sz="4" w:space="0"/>
            </w:tcBorders>
            <w:vAlign w:val="center"/>
          </w:tcPr>
          <w:p w14:paraId="0932414B">
            <w:pPr>
              <w:jc w:val="center"/>
              <w:rPr>
                <w:rFonts w:ascii="Times New Roman" w:hAnsi="Times New Roman" w:eastAsia="仿宋"/>
                <w:sz w:val="21"/>
                <w:szCs w:val="21"/>
              </w:rPr>
            </w:pPr>
          </w:p>
        </w:tc>
        <w:tc>
          <w:tcPr>
            <w:tcW w:w="5924" w:type="dxa"/>
            <w:gridSpan w:val="2"/>
            <w:tcBorders>
              <w:top w:val="single" w:color="auto" w:sz="4" w:space="0"/>
              <w:left w:val="single" w:color="auto" w:sz="4" w:space="0"/>
              <w:bottom w:val="single" w:color="auto" w:sz="4" w:space="0"/>
              <w:right w:val="single" w:color="auto" w:sz="4" w:space="0"/>
            </w:tcBorders>
            <w:vAlign w:val="center"/>
          </w:tcPr>
          <w:p w14:paraId="49A55FB3">
            <w:pPr>
              <w:jc w:val="center"/>
              <w:rPr>
                <w:rFonts w:ascii="Times New Roman" w:hAnsi="Times New Roman" w:eastAsia="仿宋"/>
                <w:sz w:val="21"/>
                <w:szCs w:val="21"/>
              </w:rPr>
            </w:pPr>
            <w:r>
              <w:rPr>
                <w:rFonts w:hint="eastAsia" w:ascii="Times New Roman" w:hAnsi="Times New Roman" w:eastAsia="仿宋"/>
                <w:sz w:val="21"/>
                <w:szCs w:val="21"/>
              </w:rPr>
              <w:t>纳税人识别号或统一社会信用代码（必填）</w:t>
            </w:r>
          </w:p>
          <w:p w14:paraId="3CD63B40">
            <w:pPr>
              <w:jc w:val="center"/>
              <w:rPr>
                <w:rFonts w:ascii="Times New Roman" w:hAnsi="Times New Roman" w:eastAsia="仿宋"/>
                <w:sz w:val="21"/>
                <w:szCs w:val="21"/>
              </w:rPr>
            </w:pPr>
            <w:r>
              <w:rPr>
                <w:rFonts w:hint="eastAsia" w:ascii="Times New Roman" w:hAnsi="Times New Roman" w:eastAsia="仿宋"/>
                <w:sz w:val="21"/>
                <w:szCs w:val="21"/>
              </w:rPr>
              <w:t>（注：个人、没有纳税人识别号或统一社会信用代码的政府机构、事业单位除外）</w:t>
            </w:r>
          </w:p>
        </w:tc>
        <w:tc>
          <w:tcPr>
            <w:tcW w:w="5535" w:type="dxa"/>
            <w:gridSpan w:val="2"/>
            <w:tcBorders>
              <w:top w:val="single" w:color="auto" w:sz="4" w:space="0"/>
              <w:left w:val="single" w:color="auto" w:sz="4" w:space="0"/>
              <w:bottom w:val="single" w:color="auto" w:sz="4" w:space="0"/>
            </w:tcBorders>
            <w:vAlign w:val="center"/>
          </w:tcPr>
          <w:p w14:paraId="3DF94B60">
            <w:pPr>
              <w:jc w:val="center"/>
              <w:rPr>
                <w:rFonts w:ascii="Times New Roman" w:hAnsi="Times New Roman" w:eastAsia="仿宋"/>
                <w:sz w:val="21"/>
                <w:szCs w:val="21"/>
              </w:rPr>
            </w:pPr>
          </w:p>
        </w:tc>
      </w:tr>
      <w:tr w14:paraId="367E8E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1471" w:type="dxa"/>
            <w:tcBorders>
              <w:top w:val="single" w:color="auto" w:sz="4" w:space="0"/>
              <w:bottom w:val="single" w:color="auto" w:sz="4" w:space="0"/>
              <w:right w:val="single" w:color="auto" w:sz="4" w:space="0"/>
            </w:tcBorders>
            <w:vAlign w:val="center"/>
          </w:tcPr>
          <w:p w14:paraId="44D30E83">
            <w:pPr>
              <w:jc w:val="center"/>
              <w:rPr>
                <w:rFonts w:ascii="Times New Roman" w:hAnsi="Times New Roman" w:eastAsia="仿宋"/>
                <w:sz w:val="21"/>
                <w:szCs w:val="21"/>
              </w:rPr>
            </w:pPr>
            <w:r>
              <w:rPr>
                <w:rFonts w:hint="eastAsia" w:ascii="Times New Roman" w:hAnsi="Times New Roman" w:eastAsia="仿宋"/>
                <w:sz w:val="21"/>
                <w:szCs w:val="21"/>
              </w:rPr>
              <w:t>温馨提示</w:t>
            </w:r>
          </w:p>
        </w:tc>
        <w:tc>
          <w:tcPr>
            <w:tcW w:w="11459" w:type="dxa"/>
            <w:gridSpan w:val="4"/>
            <w:tcBorders>
              <w:top w:val="single" w:color="auto" w:sz="4" w:space="0"/>
              <w:left w:val="single" w:color="auto" w:sz="4" w:space="0"/>
              <w:bottom w:val="single" w:color="auto" w:sz="4" w:space="0"/>
            </w:tcBorders>
            <w:vAlign w:val="center"/>
          </w:tcPr>
          <w:p w14:paraId="07CF78D1">
            <w:pPr>
              <w:numPr>
                <w:ilvl w:val="0"/>
                <w:numId w:val="0"/>
              </w:numPr>
              <w:rPr>
                <w:rFonts w:ascii="Times New Roman" w:hAnsi="Times New Roman" w:eastAsia="仿宋"/>
                <w:sz w:val="21"/>
                <w:szCs w:val="21"/>
              </w:rPr>
            </w:pPr>
            <w:r>
              <w:rPr>
                <w:rFonts w:hint="eastAsia" w:ascii="Times New Roman" w:hAnsi="Times New Roman" w:eastAsia="仿宋"/>
                <w:sz w:val="21"/>
                <w:szCs w:val="21"/>
                <w:lang w:val="en-US" w:eastAsia="zh-CN"/>
              </w:rPr>
              <w:t>本报名表落款处需</w:t>
            </w:r>
            <w:r>
              <w:rPr>
                <w:rFonts w:hint="eastAsia" w:ascii="Times New Roman" w:hAnsi="Times New Roman" w:eastAsia="仿宋"/>
                <w:sz w:val="21"/>
                <w:szCs w:val="21"/>
              </w:rPr>
              <w:t>项目联系人签字或者盖章，并加盖公章。</w:t>
            </w:r>
          </w:p>
        </w:tc>
      </w:tr>
    </w:tbl>
    <w:p w14:paraId="4FAA2E48">
      <w:pPr>
        <w:spacing w:line="360" w:lineRule="auto"/>
        <w:ind w:firstLine="786" w:firstLineChars="300"/>
        <w:rPr>
          <w:rFonts w:hint="eastAsia" w:ascii="仿宋" w:hAnsi="仿宋" w:eastAsia="仿宋" w:cs="仿宋"/>
          <w:b/>
          <w:bCs/>
          <w:sz w:val="21"/>
          <w:szCs w:val="21"/>
        </w:rPr>
      </w:pPr>
    </w:p>
    <w:p w14:paraId="299CFF30">
      <w:pPr>
        <w:spacing w:line="360" w:lineRule="auto"/>
        <w:ind w:firstLine="786" w:firstLineChars="300"/>
        <w:rPr>
          <w:rFonts w:hint="eastAsia" w:ascii="仿宋" w:hAnsi="仿宋" w:eastAsia="仿宋" w:cs="仿宋"/>
          <w:b/>
          <w:bCs/>
          <w:sz w:val="21"/>
          <w:szCs w:val="21"/>
        </w:rPr>
      </w:pPr>
    </w:p>
    <w:p w14:paraId="7E8330AC">
      <w:pPr>
        <w:spacing w:line="360" w:lineRule="auto"/>
        <w:rPr>
          <w:rFonts w:ascii="仿宋" w:hAnsi="仿宋" w:eastAsia="仿宋" w:cs="仿宋"/>
          <w:b/>
          <w:bCs/>
          <w:sz w:val="21"/>
          <w:szCs w:val="21"/>
        </w:rPr>
      </w:pPr>
      <w:r>
        <w:rPr>
          <w:rFonts w:hint="eastAsia" w:ascii="仿宋" w:hAnsi="仿宋" w:eastAsia="仿宋" w:cs="仿宋"/>
          <w:b/>
          <w:bCs/>
          <w:sz w:val="21"/>
          <w:szCs w:val="21"/>
        </w:rPr>
        <w:t>报名供应商项目联系人签字：                    报名供应商加盖单位公章：</w:t>
      </w:r>
    </w:p>
    <w:p w14:paraId="5F72EB97">
      <w:pPr>
        <w:numPr>
          <w:ilvl w:val="0"/>
          <w:numId w:val="0"/>
        </w:numPr>
        <w:kinsoku w:val="0"/>
        <w:wordWrap w:val="0"/>
        <w:topLinePunct/>
        <w:ind w:left="498" w:leftChars="0"/>
        <w:rPr>
          <w:rFonts w:hint="default" w:ascii="仿宋" w:hAnsi="仿宋" w:eastAsia="仿宋" w:cs="仿宋"/>
          <w:sz w:val="21"/>
          <w:szCs w:val="21"/>
          <w:lang w:val="en-US" w:eastAsia="zh-CN"/>
        </w:rPr>
      </w:pPr>
    </w:p>
    <w:p w14:paraId="15590286">
      <w:pPr>
        <w:kinsoku w:val="0"/>
        <w:wordWrap w:val="0"/>
        <w:topLinePunct/>
        <w:rPr>
          <w:rFonts w:hint="eastAsia" w:ascii="仿宋" w:hAnsi="仿宋" w:eastAsia="仿宋" w:cs="仿宋"/>
          <w:b/>
          <w:sz w:val="21"/>
        </w:rPr>
      </w:pPr>
      <w:r>
        <w:rPr>
          <w:rFonts w:hint="eastAsia" w:ascii="仿宋" w:hAnsi="仿宋" w:eastAsia="仿宋" w:cs="仿宋"/>
          <w:b/>
          <w:sz w:val="21"/>
        </w:rPr>
        <w:t>五、评（议）标原则</w:t>
      </w:r>
    </w:p>
    <w:p w14:paraId="12C296D7">
      <w:pPr>
        <w:kinsoku w:val="0"/>
        <w:wordWrap w:val="0"/>
        <w:topLinePunct/>
        <w:ind w:firstLine="524" w:firstLineChars="200"/>
        <w:rPr>
          <w:rFonts w:hint="eastAsia" w:ascii="仿宋" w:hAnsi="仿宋" w:eastAsia="仿宋" w:cs="仿宋"/>
          <w:b/>
          <w:sz w:val="21"/>
          <w:szCs w:val="21"/>
        </w:rPr>
      </w:pPr>
      <w:r>
        <w:rPr>
          <w:rFonts w:hint="eastAsia" w:ascii="仿宋" w:hAnsi="仿宋" w:eastAsia="仿宋" w:cs="仿宋"/>
          <w:sz w:val="21"/>
          <w:szCs w:val="21"/>
        </w:rPr>
        <w:t>1.本次采购采用综合评分法，按分数高低选出中标候选人。</w:t>
      </w:r>
    </w:p>
    <w:p w14:paraId="4E216682">
      <w:pPr>
        <w:pStyle w:val="17"/>
        <w:tabs>
          <w:tab w:val="left" w:pos="-166"/>
        </w:tabs>
        <w:kinsoku w:val="0"/>
        <w:wordWrap w:val="0"/>
        <w:topLinePunct/>
        <w:ind w:firstLine="524" w:firstLineChars="200"/>
        <w:rPr>
          <w:rFonts w:hint="eastAsia" w:ascii="仿宋" w:hAnsi="仿宋" w:eastAsia="仿宋" w:cs="仿宋"/>
          <w:sz w:val="21"/>
          <w:szCs w:val="21"/>
        </w:rPr>
      </w:pPr>
      <w:r>
        <w:rPr>
          <w:rFonts w:hint="eastAsia" w:ascii="仿宋" w:hAnsi="仿宋" w:eastAsia="仿宋" w:cs="仿宋"/>
          <w:sz w:val="21"/>
          <w:szCs w:val="21"/>
        </w:rPr>
        <w:t>2.评分表：</w:t>
      </w:r>
    </w:p>
    <w:tbl>
      <w:tblPr>
        <w:tblStyle w:val="2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35"/>
        <w:gridCol w:w="3099"/>
        <w:gridCol w:w="1120"/>
        <w:gridCol w:w="4502"/>
      </w:tblGrid>
      <w:tr w14:paraId="11912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1090" w:type="dxa"/>
            <w:vAlign w:val="center"/>
          </w:tcPr>
          <w:p w14:paraId="56AE7BF2">
            <w:pPr>
              <w:pStyle w:val="17"/>
              <w:tabs>
                <w:tab w:val="left" w:pos="-166"/>
              </w:tabs>
              <w:kinsoku w:val="0"/>
              <w:topLinePunct/>
              <w:ind w:firstLine="0"/>
              <w:jc w:val="center"/>
              <w:rPr>
                <w:rFonts w:hint="eastAsia" w:ascii="仿宋" w:hAnsi="仿宋" w:eastAsia="仿宋" w:cs="仿宋"/>
                <w:b/>
                <w:bCs/>
                <w:sz w:val="21"/>
                <w:szCs w:val="21"/>
              </w:rPr>
            </w:pPr>
            <w:r>
              <w:rPr>
                <w:rFonts w:ascii="仿宋" w:hAnsi="仿宋" w:eastAsia="仿宋" w:cs="仿宋"/>
                <w:b/>
                <w:bCs/>
                <w:sz w:val="21"/>
                <w:szCs w:val="21"/>
              </w:rPr>
              <w:t>序号</w:t>
            </w:r>
          </w:p>
        </w:tc>
        <w:tc>
          <w:tcPr>
            <w:tcW w:w="3069" w:type="dxa"/>
            <w:vAlign w:val="center"/>
          </w:tcPr>
          <w:p w14:paraId="7ED5D212">
            <w:pPr>
              <w:pStyle w:val="17"/>
              <w:tabs>
                <w:tab w:val="left" w:pos="-166"/>
              </w:tabs>
              <w:kinsoku w:val="0"/>
              <w:wordWrap w:val="0"/>
              <w:topLinePunct/>
              <w:ind w:firstLine="119" w:firstLineChars="46"/>
              <w:jc w:val="center"/>
              <w:rPr>
                <w:rFonts w:hint="eastAsia" w:ascii="仿宋" w:hAnsi="仿宋" w:eastAsia="仿宋" w:cs="仿宋"/>
                <w:b/>
                <w:bCs/>
                <w:sz w:val="21"/>
                <w:szCs w:val="21"/>
              </w:rPr>
            </w:pPr>
            <w:r>
              <w:rPr>
                <w:rFonts w:ascii="仿宋" w:hAnsi="仿宋" w:eastAsia="仿宋" w:cs="仿宋"/>
                <w:b/>
                <w:bCs/>
                <w:sz w:val="21"/>
                <w:szCs w:val="21"/>
              </w:rPr>
              <w:t>评分项</w:t>
            </w:r>
          </w:p>
        </w:tc>
        <w:tc>
          <w:tcPr>
            <w:tcW w:w="1090" w:type="dxa"/>
            <w:vAlign w:val="center"/>
          </w:tcPr>
          <w:p w14:paraId="6BE8F09A">
            <w:pPr>
              <w:pStyle w:val="17"/>
              <w:tabs>
                <w:tab w:val="left" w:pos="-166"/>
              </w:tabs>
              <w:kinsoku w:val="0"/>
              <w:wordWrap w:val="0"/>
              <w:topLinePunct/>
              <w:ind w:firstLine="0"/>
              <w:jc w:val="center"/>
              <w:rPr>
                <w:rFonts w:hint="eastAsia" w:ascii="仿宋" w:hAnsi="仿宋" w:eastAsia="仿宋" w:cs="仿宋"/>
                <w:b/>
                <w:bCs/>
                <w:sz w:val="21"/>
                <w:szCs w:val="21"/>
              </w:rPr>
            </w:pPr>
            <w:r>
              <w:rPr>
                <w:rFonts w:ascii="仿宋" w:hAnsi="仿宋" w:eastAsia="仿宋" w:cs="仿宋"/>
                <w:b/>
                <w:bCs/>
                <w:sz w:val="21"/>
                <w:szCs w:val="21"/>
              </w:rPr>
              <w:t>分值</w:t>
            </w:r>
          </w:p>
        </w:tc>
        <w:tc>
          <w:tcPr>
            <w:tcW w:w="4457" w:type="dxa"/>
            <w:vAlign w:val="center"/>
          </w:tcPr>
          <w:p w14:paraId="62632BB8">
            <w:pPr>
              <w:pStyle w:val="17"/>
              <w:tabs>
                <w:tab w:val="left" w:pos="-166"/>
              </w:tabs>
              <w:kinsoku w:val="0"/>
              <w:wordWrap w:val="0"/>
              <w:topLinePunct/>
              <w:ind w:firstLine="0"/>
              <w:jc w:val="center"/>
              <w:rPr>
                <w:rFonts w:hint="eastAsia" w:ascii="仿宋" w:hAnsi="仿宋" w:eastAsia="仿宋" w:cs="仿宋"/>
                <w:b/>
                <w:bCs/>
                <w:sz w:val="21"/>
                <w:szCs w:val="21"/>
              </w:rPr>
            </w:pPr>
            <w:r>
              <w:rPr>
                <w:rFonts w:ascii="仿宋" w:hAnsi="仿宋" w:eastAsia="仿宋" w:cs="仿宋"/>
                <w:b/>
                <w:bCs/>
                <w:sz w:val="21"/>
                <w:szCs w:val="21"/>
              </w:rPr>
              <w:t>评分标准</w:t>
            </w:r>
          </w:p>
        </w:tc>
      </w:tr>
      <w:tr w14:paraId="2AA0E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96" w:type="dxa"/>
            <w:gridSpan w:val="4"/>
            <w:vAlign w:val="center"/>
          </w:tcPr>
          <w:p w14:paraId="634E41F8">
            <w:pPr>
              <w:pStyle w:val="17"/>
              <w:tabs>
                <w:tab w:val="left" w:pos="-166"/>
              </w:tabs>
              <w:kinsoku w:val="0"/>
              <w:topLinePunct/>
              <w:ind w:firstLine="524" w:firstLineChars="200"/>
              <w:jc w:val="center"/>
              <w:rPr>
                <w:rFonts w:hint="eastAsia" w:ascii="仿宋" w:hAnsi="仿宋" w:eastAsia="仿宋" w:cs="仿宋"/>
                <w:sz w:val="21"/>
                <w:szCs w:val="21"/>
              </w:rPr>
            </w:pPr>
            <w:r>
              <w:rPr>
                <w:rFonts w:hint="eastAsia" w:ascii="仿宋" w:hAnsi="仿宋" w:eastAsia="仿宋" w:cs="仿宋"/>
                <w:sz w:val="21"/>
                <w:szCs w:val="21"/>
              </w:rPr>
              <w:t>分值构成：技术部分50.0分 商务部分30.0分 报价得分20.0分</w:t>
            </w:r>
          </w:p>
          <w:p w14:paraId="25899835">
            <w:pPr>
              <w:pStyle w:val="17"/>
              <w:tabs>
                <w:tab w:val="left" w:pos="-166"/>
              </w:tabs>
              <w:kinsoku w:val="0"/>
              <w:wordWrap w:val="0"/>
              <w:topLinePunct/>
              <w:ind w:firstLine="524" w:firstLineChars="200"/>
              <w:rPr>
                <w:rFonts w:hint="eastAsia" w:ascii="仿宋" w:hAnsi="仿宋" w:eastAsia="仿宋" w:cs="仿宋"/>
                <w:sz w:val="21"/>
                <w:szCs w:val="21"/>
              </w:rPr>
            </w:pPr>
          </w:p>
        </w:tc>
      </w:tr>
      <w:tr w14:paraId="4341E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96" w:type="dxa"/>
            <w:gridSpan w:val="4"/>
            <w:vAlign w:val="center"/>
          </w:tcPr>
          <w:p w14:paraId="5ADF4AB5">
            <w:pPr>
              <w:pStyle w:val="17"/>
              <w:tabs>
                <w:tab w:val="left" w:pos="-166"/>
              </w:tabs>
              <w:kinsoku w:val="0"/>
              <w:wordWrap w:val="0"/>
              <w:topLinePunct/>
              <w:ind w:firstLine="0"/>
              <w:jc w:val="center"/>
              <w:rPr>
                <w:rFonts w:hint="eastAsia" w:ascii="仿宋" w:hAnsi="仿宋" w:eastAsia="仿宋" w:cs="仿宋"/>
                <w:b/>
                <w:bCs/>
                <w:sz w:val="21"/>
                <w:szCs w:val="21"/>
              </w:rPr>
            </w:pPr>
            <w:r>
              <w:rPr>
                <w:rFonts w:ascii="仿宋" w:hAnsi="仿宋" w:eastAsia="仿宋" w:cs="仿宋"/>
                <w:b/>
                <w:bCs/>
                <w:sz w:val="21"/>
                <w:szCs w:val="21"/>
              </w:rPr>
              <w:t>一、技术部分</w:t>
            </w:r>
            <w:r>
              <w:rPr>
                <w:rFonts w:hint="eastAsia" w:ascii="仿宋" w:hAnsi="仿宋" w:eastAsia="仿宋" w:cs="仿宋"/>
                <w:b/>
                <w:bCs/>
                <w:sz w:val="21"/>
                <w:szCs w:val="21"/>
              </w:rPr>
              <w:t xml:space="preserve"> </w:t>
            </w:r>
            <w:r>
              <w:rPr>
                <w:rFonts w:ascii="仿宋" w:hAnsi="仿宋" w:eastAsia="仿宋" w:cs="仿宋"/>
                <w:b/>
                <w:bCs/>
                <w:sz w:val="21"/>
                <w:szCs w:val="21"/>
              </w:rPr>
              <w:t>50</w:t>
            </w:r>
            <w:r>
              <w:rPr>
                <w:rFonts w:hint="eastAsia" w:ascii="仿宋" w:hAnsi="仿宋" w:eastAsia="仿宋" w:cs="仿宋"/>
                <w:b/>
                <w:bCs/>
                <w:sz w:val="21"/>
                <w:szCs w:val="21"/>
              </w:rPr>
              <w:t>.0</w:t>
            </w:r>
            <w:r>
              <w:rPr>
                <w:rFonts w:ascii="仿宋" w:hAnsi="仿宋" w:eastAsia="仿宋" w:cs="仿宋"/>
                <w:b/>
                <w:bCs/>
                <w:sz w:val="21"/>
                <w:szCs w:val="21"/>
              </w:rPr>
              <w:t>分</w:t>
            </w:r>
          </w:p>
        </w:tc>
      </w:tr>
      <w:tr w14:paraId="7898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52D6CDC4">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w:t>
            </w:r>
          </w:p>
        </w:tc>
        <w:tc>
          <w:tcPr>
            <w:tcW w:w="3069" w:type="dxa"/>
            <w:vAlign w:val="center"/>
          </w:tcPr>
          <w:p w14:paraId="15A0BD22">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知识库与医学内容源</w:t>
            </w:r>
          </w:p>
        </w:tc>
        <w:tc>
          <w:tcPr>
            <w:tcW w:w="1090" w:type="dxa"/>
            <w:vAlign w:val="center"/>
          </w:tcPr>
          <w:p w14:paraId="52848E87">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30</w:t>
            </w:r>
          </w:p>
        </w:tc>
        <w:tc>
          <w:tcPr>
            <w:tcW w:w="4457" w:type="dxa"/>
            <w:vAlign w:val="center"/>
          </w:tcPr>
          <w:p w14:paraId="425CAE54">
            <w:pPr>
              <w:pStyle w:val="17"/>
              <w:tabs>
                <w:tab w:val="left" w:pos="-166"/>
              </w:tabs>
              <w:kinsoku w:val="0"/>
              <w:wordWrap w:val="0"/>
              <w:topLinePunct/>
              <w:ind w:firstLine="524" w:firstLineChars="200"/>
              <w:rPr>
                <w:rFonts w:hint="eastAsia" w:ascii="仿宋" w:hAnsi="仿宋" w:eastAsia="仿宋" w:cs="仿宋"/>
                <w:sz w:val="21"/>
                <w:szCs w:val="21"/>
              </w:rPr>
            </w:pPr>
          </w:p>
        </w:tc>
      </w:tr>
      <w:tr w14:paraId="7228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1404994B">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1.1</w:t>
            </w:r>
          </w:p>
        </w:tc>
        <w:tc>
          <w:tcPr>
            <w:tcW w:w="3069" w:type="dxa"/>
            <w:vAlign w:val="center"/>
          </w:tcPr>
          <w:p w14:paraId="0F798B6B">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国内外医学知识版权</w:t>
            </w:r>
          </w:p>
        </w:tc>
        <w:tc>
          <w:tcPr>
            <w:tcW w:w="1090" w:type="dxa"/>
            <w:vAlign w:val="center"/>
          </w:tcPr>
          <w:p w14:paraId="44E6520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6</w:t>
            </w:r>
          </w:p>
        </w:tc>
        <w:tc>
          <w:tcPr>
            <w:tcW w:w="4457" w:type="dxa"/>
            <w:vAlign w:val="center"/>
          </w:tcPr>
          <w:p w14:paraId="52E68FD1">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拥有中华医学会、万方、中国标准协会等国内知名医学知识版权；每提供一项授权证明得2分，最高6分。</w:t>
            </w:r>
          </w:p>
        </w:tc>
      </w:tr>
      <w:tr w14:paraId="557D7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0AB7D9C8">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1.2</w:t>
            </w:r>
          </w:p>
        </w:tc>
        <w:tc>
          <w:tcPr>
            <w:tcW w:w="3069" w:type="dxa"/>
            <w:vAlign w:val="center"/>
          </w:tcPr>
          <w:p w14:paraId="4A2A7A3D">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临床指南自有知识库数量</w:t>
            </w:r>
          </w:p>
        </w:tc>
        <w:tc>
          <w:tcPr>
            <w:tcW w:w="1090" w:type="dxa"/>
            <w:vAlign w:val="center"/>
          </w:tcPr>
          <w:p w14:paraId="5AA052EC">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6</w:t>
            </w:r>
          </w:p>
        </w:tc>
        <w:tc>
          <w:tcPr>
            <w:tcW w:w="4457" w:type="dxa"/>
            <w:vAlign w:val="center"/>
          </w:tcPr>
          <w:p w14:paraId="5399FCA1">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提供已授权临床指南知识库条目数量证明：≥3万篇得6分；1–3万篇得4分；＜1万篇得1分。</w:t>
            </w:r>
          </w:p>
        </w:tc>
      </w:tr>
      <w:tr w14:paraId="312A1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4A6F0382">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1.3</w:t>
            </w:r>
          </w:p>
        </w:tc>
        <w:tc>
          <w:tcPr>
            <w:tcW w:w="3069" w:type="dxa"/>
            <w:vAlign w:val="center"/>
          </w:tcPr>
          <w:p w14:paraId="1FE66E17">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疾病诊疗知识库词条数量</w:t>
            </w:r>
          </w:p>
        </w:tc>
        <w:tc>
          <w:tcPr>
            <w:tcW w:w="1090" w:type="dxa"/>
            <w:vAlign w:val="center"/>
          </w:tcPr>
          <w:p w14:paraId="661A365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6</w:t>
            </w:r>
          </w:p>
        </w:tc>
        <w:tc>
          <w:tcPr>
            <w:tcW w:w="4457" w:type="dxa"/>
            <w:vAlign w:val="center"/>
          </w:tcPr>
          <w:p w14:paraId="16A41E46">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提供疾病诊疗知识库词条数量证明：≥1500篇得6分；1000–1500篇得3分；＜1000篇不得分。</w:t>
            </w:r>
          </w:p>
        </w:tc>
      </w:tr>
      <w:tr w14:paraId="1BD84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3684168A">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1.4</w:t>
            </w:r>
          </w:p>
        </w:tc>
        <w:tc>
          <w:tcPr>
            <w:tcW w:w="3069" w:type="dxa"/>
            <w:vAlign w:val="center"/>
          </w:tcPr>
          <w:p w14:paraId="04618B39">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药品说明书自有知识库数量</w:t>
            </w:r>
          </w:p>
        </w:tc>
        <w:tc>
          <w:tcPr>
            <w:tcW w:w="1090" w:type="dxa"/>
            <w:vAlign w:val="center"/>
          </w:tcPr>
          <w:p w14:paraId="2D26AA1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6</w:t>
            </w:r>
          </w:p>
        </w:tc>
        <w:tc>
          <w:tcPr>
            <w:tcW w:w="4457" w:type="dxa"/>
            <w:vAlign w:val="center"/>
          </w:tcPr>
          <w:p w14:paraId="3F5786B9">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提供药品说明书收录数量证明：≥5万份得6分；3–5万份得3分；＜3万份不得分。</w:t>
            </w:r>
          </w:p>
        </w:tc>
      </w:tr>
      <w:tr w14:paraId="5C61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5474C1D0">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1.5</w:t>
            </w:r>
          </w:p>
        </w:tc>
        <w:tc>
          <w:tcPr>
            <w:tcW w:w="3069" w:type="dxa"/>
            <w:vAlign w:val="center"/>
          </w:tcPr>
          <w:p w14:paraId="1E3C23FA">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医学文献与训练语料规模</w:t>
            </w:r>
          </w:p>
        </w:tc>
        <w:tc>
          <w:tcPr>
            <w:tcW w:w="1090" w:type="dxa"/>
            <w:vAlign w:val="center"/>
          </w:tcPr>
          <w:p w14:paraId="043CF861">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6</w:t>
            </w:r>
          </w:p>
        </w:tc>
        <w:tc>
          <w:tcPr>
            <w:tcW w:w="4457" w:type="dxa"/>
            <w:vAlign w:val="center"/>
          </w:tcPr>
          <w:p w14:paraId="32114A73">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满足以下全部条件得6分：医学文献总量≥5000万篇；精选医学文献库≥1000万篇；总训练语料规模≥1亿条。任意一项不满足不得分。</w:t>
            </w:r>
          </w:p>
        </w:tc>
      </w:tr>
      <w:tr w14:paraId="1D56E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34D5808A">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2</w:t>
            </w:r>
          </w:p>
        </w:tc>
        <w:tc>
          <w:tcPr>
            <w:tcW w:w="3069" w:type="dxa"/>
            <w:vAlign w:val="center"/>
          </w:tcPr>
          <w:p w14:paraId="7DB0EF64">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大模型与算法能力</w:t>
            </w:r>
          </w:p>
        </w:tc>
        <w:tc>
          <w:tcPr>
            <w:tcW w:w="1090" w:type="dxa"/>
            <w:vAlign w:val="center"/>
          </w:tcPr>
          <w:p w14:paraId="07DCD78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15</w:t>
            </w:r>
          </w:p>
        </w:tc>
        <w:tc>
          <w:tcPr>
            <w:tcW w:w="4457" w:type="dxa"/>
            <w:vAlign w:val="center"/>
          </w:tcPr>
          <w:p w14:paraId="3E45F864">
            <w:pPr>
              <w:pStyle w:val="17"/>
              <w:tabs>
                <w:tab w:val="left" w:pos="-166"/>
              </w:tabs>
              <w:kinsoku w:val="0"/>
              <w:wordWrap w:val="0"/>
              <w:topLinePunct/>
              <w:ind w:firstLine="0"/>
              <w:rPr>
                <w:rFonts w:hint="eastAsia" w:ascii="仿宋" w:hAnsi="仿宋" w:eastAsia="仿宋" w:cs="仿宋"/>
                <w:sz w:val="21"/>
                <w:szCs w:val="21"/>
              </w:rPr>
            </w:pPr>
          </w:p>
        </w:tc>
      </w:tr>
      <w:tr w14:paraId="04CE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2A29E2BC">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2.1</w:t>
            </w:r>
          </w:p>
        </w:tc>
        <w:tc>
          <w:tcPr>
            <w:tcW w:w="3069" w:type="dxa"/>
            <w:vAlign w:val="center"/>
          </w:tcPr>
          <w:p w14:paraId="23EC199F">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生成式AI算法备案及技术服务对象</w:t>
            </w:r>
          </w:p>
        </w:tc>
        <w:tc>
          <w:tcPr>
            <w:tcW w:w="1090" w:type="dxa"/>
            <w:vAlign w:val="center"/>
          </w:tcPr>
          <w:p w14:paraId="339F9BA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7</w:t>
            </w:r>
          </w:p>
        </w:tc>
        <w:tc>
          <w:tcPr>
            <w:tcW w:w="4457" w:type="dxa"/>
            <w:vAlign w:val="center"/>
          </w:tcPr>
          <w:p w14:paraId="0D22A2DF">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企业LLM获得国家网信办生成式人工智能算法备案得2分；是服务提供者得1分，是服务技术支持者得1分；技术服务对象为医学领域得3分。总分不超过7分。</w:t>
            </w:r>
          </w:p>
        </w:tc>
      </w:tr>
      <w:tr w14:paraId="6241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123F6F2C">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2.2</w:t>
            </w:r>
          </w:p>
        </w:tc>
        <w:tc>
          <w:tcPr>
            <w:tcW w:w="3069" w:type="dxa"/>
            <w:vAlign w:val="center"/>
          </w:tcPr>
          <w:p w14:paraId="2698AC8C">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GPU算力集群支持能力</w:t>
            </w:r>
          </w:p>
        </w:tc>
        <w:tc>
          <w:tcPr>
            <w:tcW w:w="1090" w:type="dxa"/>
            <w:vAlign w:val="center"/>
          </w:tcPr>
          <w:p w14:paraId="4A204E3A">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5</w:t>
            </w:r>
          </w:p>
        </w:tc>
        <w:tc>
          <w:tcPr>
            <w:tcW w:w="4457" w:type="dxa"/>
            <w:vAlign w:val="center"/>
          </w:tcPr>
          <w:p w14:paraId="5465D8F7">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企业拥有自有或租赁的GPU算力集群中心，硬件投入≥1000万元（提供采购合同或租赁协议）得5分；500万–1000万元得3分；＜500万元得0分。</w:t>
            </w:r>
          </w:p>
        </w:tc>
      </w:tr>
      <w:tr w14:paraId="426B0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028D5069">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2.3</w:t>
            </w:r>
          </w:p>
        </w:tc>
        <w:tc>
          <w:tcPr>
            <w:tcW w:w="3069" w:type="dxa"/>
            <w:vAlign w:val="center"/>
          </w:tcPr>
          <w:p w14:paraId="025272A9">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算法解释性与可信度</w:t>
            </w:r>
          </w:p>
        </w:tc>
        <w:tc>
          <w:tcPr>
            <w:tcW w:w="1090" w:type="dxa"/>
            <w:vAlign w:val="center"/>
          </w:tcPr>
          <w:p w14:paraId="30057ED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w:t>
            </w:r>
          </w:p>
        </w:tc>
        <w:tc>
          <w:tcPr>
            <w:tcW w:w="4457" w:type="dxa"/>
            <w:vAlign w:val="center"/>
          </w:tcPr>
          <w:p w14:paraId="5DDEABA0">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提供系统推理过程可解释性说明文档，包括决策依据溯源、循证医学引用等；完整提供得3分，部分提供得1分，未提供不得分。</w:t>
            </w:r>
          </w:p>
        </w:tc>
      </w:tr>
      <w:tr w14:paraId="1CB8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1F41F983">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3</w:t>
            </w:r>
          </w:p>
        </w:tc>
        <w:tc>
          <w:tcPr>
            <w:tcW w:w="3069" w:type="dxa"/>
            <w:vAlign w:val="center"/>
          </w:tcPr>
          <w:p w14:paraId="410DDDC6">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技术方案与实施能力</w:t>
            </w:r>
          </w:p>
        </w:tc>
        <w:tc>
          <w:tcPr>
            <w:tcW w:w="1090" w:type="dxa"/>
            <w:vAlign w:val="center"/>
          </w:tcPr>
          <w:p w14:paraId="4C01BDD6">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5</w:t>
            </w:r>
          </w:p>
        </w:tc>
        <w:tc>
          <w:tcPr>
            <w:tcW w:w="4457" w:type="dxa"/>
            <w:vAlign w:val="center"/>
          </w:tcPr>
          <w:p w14:paraId="79DC8A76">
            <w:pPr>
              <w:pStyle w:val="17"/>
              <w:tabs>
                <w:tab w:val="left" w:pos="-166"/>
              </w:tabs>
              <w:kinsoku w:val="0"/>
              <w:wordWrap w:val="0"/>
              <w:topLinePunct/>
              <w:ind w:firstLine="0"/>
              <w:rPr>
                <w:rFonts w:hint="eastAsia" w:ascii="仿宋" w:hAnsi="仿宋" w:eastAsia="仿宋" w:cs="仿宋"/>
                <w:sz w:val="21"/>
                <w:szCs w:val="21"/>
              </w:rPr>
            </w:pPr>
          </w:p>
        </w:tc>
      </w:tr>
      <w:tr w14:paraId="33BB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7AC05FB2">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3.1</w:t>
            </w:r>
          </w:p>
        </w:tc>
        <w:tc>
          <w:tcPr>
            <w:tcW w:w="3069" w:type="dxa"/>
            <w:vAlign w:val="center"/>
          </w:tcPr>
          <w:p w14:paraId="41241F02">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项目实施方案完整性</w:t>
            </w:r>
          </w:p>
        </w:tc>
        <w:tc>
          <w:tcPr>
            <w:tcW w:w="1090" w:type="dxa"/>
            <w:vAlign w:val="center"/>
          </w:tcPr>
          <w:p w14:paraId="21C66692">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vAlign w:val="center"/>
          </w:tcPr>
          <w:p w14:paraId="5359B685">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包括但不限于：需求评估、SDB治疗决策支持平台搭建、疗效预测模型构建、临床数据采集、风险控制措施。内容完整、逻辑清晰得2分；部分缺失得1–2分；严重缺失不得分。</w:t>
            </w:r>
          </w:p>
        </w:tc>
      </w:tr>
      <w:tr w14:paraId="20D7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4C1D0B52">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3.2</w:t>
            </w:r>
          </w:p>
        </w:tc>
        <w:tc>
          <w:tcPr>
            <w:tcW w:w="3069" w:type="dxa"/>
            <w:vAlign w:val="center"/>
          </w:tcPr>
          <w:p w14:paraId="11482E52">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项目实施周期承诺</w:t>
            </w:r>
          </w:p>
        </w:tc>
        <w:tc>
          <w:tcPr>
            <w:tcW w:w="1090" w:type="dxa"/>
            <w:vAlign w:val="center"/>
          </w:tcPr>
          <w:p w14:paraId="1925B7F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vAlign w:val="center"/>
          </w:tcPr>
          <w:p w14:paraId="5710213A">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从合同签订之日起，完成系统部署、调试及交付全部成果；承诺≤20周（自然日）得2分；21–40周（自然日）得1分；＞40周（自然日）不得分。</w:t>
            </w:r>
          </w:p>
        </w:tc>
      </w:tr>
      <w:tr w14:paraId="0B35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vAlign w:val="center"/>
          </w:tcPr>
          <w:p w14:paraId="08CA98B5">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3.3</w:t>
            </w:r>
          </w:p>
        </w:tc>
        <w:tc>
          <w:tcPr>
            <w:tcW w:w="3069" w:type="dxa"/>
            <w:vAlign w:val="center"/>
          </w:tcPr>
          <w:p w14:paraId="5F510575">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数据安全保障方案</w:t>
            </w:r>
          </w:p>
        </w:tc>
        <w:tc>
          <w:tcPr>
            <w:tcW w:w="1090" w:type="dxa"/>
            <w:vAlign w:val="center"/>
          </w:tcPr>
          <w:p w14:paraId="424B521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w:t>
            </w:r>
          </w:p>
        </w:tc>
        <w:tc>
          <w:tcPr>
            <w:tcW w:w="4457" w:type="dxa"/>
            <w:vAlign w:val="center"/>
          </w:tcPr>
          <w:p w14:paraId="5E98139E">
            <w:pPr>
              <w:pStyle w:val="17"/>
              <w:tabs>
                <w:tab w:val="left" w:pos="-166"/>
              </w:tabs>
              <w:kinsoku w:val="0"/>
              <w:wordWrap w:val="0"/>
              <w:topLinePunct/>
              <w:ind w:firstLine="0"/>
              <w:rPr>
                <w:rFonts w:hint="eastAsia" w:ascii="仿宋" w:hAnsi="仿宋" w:eastAsia="仿宋" w:cs="仿宋"/>
                <w:sz w:val="21"/>
                <w:szCs w:val="21"/>
              </w:rPr>
            </w:pPr>
            <w:r>
              <w:rPr>
                <w:rFonts w:ascii="仿宋" w:hAnsi="仿宋" w:eastAsia="仿宋" w:cs="仿宋"/>
                <w:sz w:val="21"/>
                <w:szCs w:val="21"/>
              </w:rPr>
              <w:t>提供数据脱敏、加密存储、访问审计等安全方案；完整提供得1分。</w:t>
            </w:r>
          </w:p>
        </w:tc>
      </w:tr>
      <w:tr w14:paraId="25FE4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96" w:type="dxa"/>
            <w:gridSpan w:val="4"/>
            <w:tcBorders>
              <w:top w:val="single" w:color="auto" w:sz="4" w:space="0"/>
              <w:left w:val="single" w:color="auto" w:sz="4" w:space="0"/>
              <w:bottom w:val="single" w:color="auto" w:sz="4" w:space="0"/>
              <w:right w:val="single" w:color="auto" w:sz="4" w:space="0"/>
            </w:tcBorders>
            <w:vAlign w:val="center"/>
          </w:tcPr>
          <w:p w14:paraId="1D24C09F">
            <w:pPr>
              <w:pStyle w:val="17"/>
              <w:tabs>
                <w:tab w:val="left" w:pos="-166"/>
              </w:tabs>
              <w:kinsoku w:val="0"/>
              <w:topLinePunct/>
              <w:ind w:firstLine="0"/>
              <w:jc w:val="center"/>
              <w:rPr>
                <w:rFonts w:hint="eastAsia" w:ascii="仿宋" w:hAnsi="仿宋" w:eastAsia="仿宋" w:cs="仿宋"/>
                <w:b/>
                <w:bCs/>
                <w:sz w:val="21"/>
                <w:szCs w:val="21"/>
              </w:rPr>
            </w:pPr>
            <w:r>
              <w:rPr>
                <w:rFonts w:hint="eastAsia" w:ascii="仿宋" w:hAnsi="仿宋" w:eastAsia="仿宋" w:cs="仿宋"/>
                <w:b/>
                <w:bCs/>
                <w:sz w:val="21"/>
                <w:szCs w:val="21"/>
              </w:rPr>
              <w:t>二、商务部分（30.0分）</w:t>
            </w:r>
          </w:p>
        </w:tc>
      </w:tr>
      <w:tr w14:paraId="4087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7479D9A">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w:t>
            </w:r>
          </w:p>
        </w:tc>
        <w:tc>
          <w:tcPr>
            <w:tcW w:w="3069" w:type="dxa"/>
            <w:tcBorders>
              <w:top w:val="single" w:color="auto" w:sz="4" w:space="0"/>
              <w:left w:val="single" w:color="auto" w:sz="4" w:space="0"/>
              <w:bottom w:val="single" w:color="auto" w:sz="4" w:space="0"/>
              <w:right w:val="single" w:color="auto" w:sz="4" w:space="0"/>
            </w:tcBorders>
            <w:vAlign w:val="center"/>
          </w:tcPr>
          <w:p w14:paraId="0175DC0A">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企业主体与合规资质</w:t>
            </w:r>
          </w:p>
        </w:tc>
        <w:tc>
          <w:tcPr>
            <w:tcW w:w="1090" w:type="dxa"/>
            <w:tcBorders>
              <w:top w:val="single" w:color="auto" w:sz="4" w:space="0"/>
              <w:left w:val="single" w:color="auto" w:sz="4" w:space="0"/>
              <w:bottom w:val="single" w:color="auto" w:sz="4" w:space="0"/>
              <w:right w:val="single" w:color="auto" w:sz="4" w:space="0"/>
            </w:tcBorders>
            <w:vAlign w:val="center"/>
          </w:tcPr>
          <w:p w14:paraId="21871CD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10</w:t>
            </w:r>
          </w:p>
        </w:tc>
        <w:tc>
          <w:tcPr>
            <w:tcW w:w="4457" w:type="dxa"/>
            <w:tcBorders>
              <w:top w:val="single" w:color="auto" w:sz="4" w:space="0"/>
              <w:left w:val="single" w:color="auto" w:sz="4" w:space="0"/>
              <w:bottom w:val="single" w:color="auto" w:sz="4" w:space="0"/>
              <w:right w:val="single" w:color="auto" w:sz="4" w:space="0"/>
            </w:tcBorders>
            <w:vAlign w:val="center"/>
          </w:tcPr>
          <w:p w14:paraId="576B0AB9">
            <w:pPr>
              <w:pStyle w:val="17"/>
              <w:tabs>
                <w:tab w:val="left" w:pos="-166"/>
              </w:tabs>
              <w:kinsoku w:val="0"/>
              <w:wordWrap w:val="0"/>
              <w:topLinePunct/>
              <w:rPr>
                <w:rFonts w:hint="eastAsia" w:ascii="仿宋" w:hAnsi="仿宋" w:eastAsia="仿宋" w:cs="仿宋"/>
                <w:sz w:val="21"/>
                <w:szCs w:val="21"/>
              </w:rPr>
            </w:pPr>
          </w:p>
        </w:tc>
      </w:tr>
      <w:tr w14:paraId="776A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0FA8D41">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1.1</w:t>
            </w:r>
          </w:p>
        </w:tc>
        <w:tc>
          <w:tcPr>
            <w:tcW w:w="3069" w:type="dxa"/>
            <w:tcBorders>
              <w:top w:val="single" w:color="auto" w:sz="4" w:space="0"/>
              <w:left w:val="single" w:color="auto" w:sz="4" w:space="0"/>
              <w:bottom w:val="single" w:color="auto" w:sz="4" w:space="0"/>
              <w:right w:val="single" w:color="auto" w:sz="4" w:space="0"/>
            </w:tcBorders>
            <w:vAlign w:val="center"/>
          </w:tcPr>
          <w:p w14:paraId="4709A9A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注册资金规模</w:t>
            </w:r>
          </w:p>
        </w:tc>
        <w:tc>
          <w:tcPr>
            <w:tcW w:w="1090" w:type="dxa"/>
            <w:tcBorders>
              <w:top w:val="single" w:color="auto" w:sz="4" w:space="0"/>
              <w:left w:val="single" w:color="auto" w:sz="4" w:space="0"/>
              <w:bottom w:val="single" w:color="auto" w:sz="4" w:space="0"/>
              <w:right w:val="single" w:color="auto" w:sz="4" w:space="0"/>
            </w:tcBorders>
            <w:vAlign w:val="center"/>
          </w:tcPr>
          <w:p w14:paraId="58BDC6C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4</w:t>
            </w:r>
          </w:p>
        </w:tc>
        <w:tc>
          <w:tcPr>
            <w:tcW w:w="4457" w:type="dxa"/>
            <w:tcBorders>
              <w:top w:val="single" w:color="auto" w:sz="4" w:space="0"/>
              <w:left w:val="single" w:color="auto" w:sz="4" w:space="0"/>
              <w:bottom w:val="single" w:color="auto" w:sz="4" w:space="0"/>
              <w:right w:val="single" w:color="auto" w:sz="4" w:space="0"/>
            </w:tcBorders>
            <w:vAlign w:val="center"/>
          </w:tcPr>
          <w:p w14:paraId="03809898">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企业注册资金（实缴）：≥2亿元得4分；1亿–2亿元得2分；＜1亿元得1分。提供实缴证明。</w:t>
            </w:r>
          </w:p>
        </w:tc>
      </w:tr>
      <w:tr w14:paraId="1EC0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51426043">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1.2</w:t>
            </w:r>
          </w:p>
        </w:tc>
        <w:tc>
          <w:tcPr>
            <w:tcW w:w="3069" w:type="dxa"/>
            <w:tcBorders>
              <w:top w:val="single" w:color="auto" w:sz="4" w:space="0"/>
              <w:left w:val="single" w:color="auto" w:sz="4" w:space="0"/>
              <w:bottom w:val="single" w:color="auto" w:sz="4" w:space="0"/>
              <w:right w:val="single" w:color="auto" w:sz="4" w:space="0"/>
            </w:tcBorders>
            <w:vAlign w:val="center"/>
          </w:tcPr>
          <w:p w14:paraId="7A73BEEE">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质量资质证书</w:t>
            </w:r>
          </w:p>
        </w:tc>
        <w:tc>
          <w:tcPr>
            <w:tcW w:w="1090" w:type="dxa"/>
            <w:tcBorders>
              <w:top w:val="single" w:color="auto" w:sz="4" w:space="0"/>
              <w:left w:val="single" w:color="auto" w:sz="4" w:space="0"/>
              <w:bottom w:val="single" w:color="auto" w:sz="4" w:space="0"/>
              <w:right w:val="single" w:color="auto" w:sz="4" w:space="0"/>
            </w:tcBorders>
            <w:vAlign w:val="center"/>
          </w:tcPr>
          <w:p w14:paraId="4570B37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4</w:t>
            </w:r>
          </w:p>
        </w:tc>
        <w:tc>
          <w:tcPr>
            <w:tcW w:w="4457" w:type="dxa"/>
            <w:tcBorders>
              <w:top w:val="single" w:color="auto" w:sz="4" w:space="0"/>
              <w:left w:val="single" w:color="auto" w:sz="4" w:space="0"/>
              <w:bottom w:val="single" w:color="auto" w:sz="4" w:space="0"/>
              <w:right w:val="single" w:color="auto" w:sz="4" w:space="0"/>
            </w:tcBorders>
            <w:vAlign w:val="center"/>
          </w:tcPr>
          <w:p w14:paraId="0FA096A6">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每提供1项有效证书得1分，最高2分：A. ISO9001；B. ISO14001；C. ISO45001；D. ISO27001；E. ISO27701。</w:t>
            </w:r>
          </w:p>
        </w:tc>
      </w:tr>
      <w:tr w14:paraId="3AF9F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498B166C">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1.3</w:t>
            </w:r>
          </w:p>
        </w:tc>
        <w:tc>
          <w:tcPr>
            <w:tcW w:w="3069" w:type="dxa"/>
            <w:tcBorders>
              <w:top w:val="single" w:color="auto" w:sz="4" w:space="0"/>
              <w:left w:val="single" w:color="auto" w:sz="4" w:space="0"/>
              <w:bottom w:val="single" w:color="auto" w:sz="4" w:space="0"/>
              <w:right w:val="single" w:color="auto" w:sz="4" w:space="0"/>
            </w:tcBorders>
            <w:vAlign w:val="center"/>
          </w:tcPr>
          <w:p w14:paraId="77E81023">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网络安全等级保护</w:t>
            </w:r>
          </w:p>
        </w:tc>
        <w:tc>
          <w:tcPr>
            <w:tcW w:w="1090" w:type="dxa"/>
            <w:tcBorders>
              <w:top w:val="single" w:color="auto" w:sz="4" w:space="0"/>
              <w:left w:val="single" w:color="auto" w:sz="4" w:space="0"/>
              <w:bottom w:val="single" w:color="auto" w:sz="4" w:space="0"/>
              <w:right w:val="single" w:color="auto" w:sz="4" w:space="0"/>
            </w:tcBorders>
            <w:vAlign w:val="center"/>
          </w:tcPr>
          <w:p w14:paraId="1CC005EE">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0DB02EA4">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既往产品通过网络安全等级保护测评；提供</w:t>
            </w:r>
            <w:r>
              <w:rPr>
                <w:rFonts w:hint="eastAsia" w:ascii="仿宋" w:hAnsi="仿宋" w:eastAsia="仿宋" w:cs="仿宋"/>
                <w:sz w:val="21"/>
                <w:szCs w:val="21"/>
              </w:rPr>
              <w:t>三级</w:t>
            </w:r>
            <w:r>
              <w:rPr>
                <w:rFonts w:ascii="仿宋" w:hAnsi="仿宋" w:eastAsia="仿宋" w:cs="仿宋"/>
                <w:sz w:val="21"/>
                <w:szCs w:val="21"/>
              </w:rPr>
              <w:t>备案及测评证明得2分，二级得1分，无备案不得分。</w:t>
            </w:r>
          </w:p>
        </w:tc>
      </w:tr>
      <w:tr w14:paraId="5E879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3C6EFC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3069" w:type="dxa"/>
            <w:tcBorders>
              <w:top w:val="single" w:color="auto" w:sz="4" w:space="0"/>
              <w:left w:val="single" w:color="auto" w:sz="4" w:space="0"/>
              <w:bottom w:val="single" w:color="auto" w:sz="4" w:space="0"/>
              <w:right w:val="single" w:color="auto" w:sz="4" w:space="0"/>
            </w:tcBorders>
            <w:vAlign w:val="center"/>
          </w:tcPr>
          <w:p w14:paraId="21E8657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权威合作与知识产权</w:t>
            </w:r>
          </w:p>
        </w:tc>
        <w:tc>
          <w:tcPr>
            <w:tcW w:w="1090" w:type="dxa"/>
            <w:tcBorders>
              <w:top w:val="single" w:color="auto" w:sz="4" w:space="0"/>
              <w:left w:val="single" w:color="auto" w:sz="4" w:space="0"/>
              <w:bottom w:val="single" w:color="auto" w:sz="4" w:space="0"/>
              <w:right w:val="single" w:color="auto" w:sz="4" w:space="0"/>
            </w:tcBorders>
            <w:vAlign w:val="center"/>
          </w:tcPr>
          <w:p w14:paraId="6B89D328">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10</w:t>
            </w:r>
          </w:p>
        </w:tc>
        <w:tc>
          <w:tcPr>
            <w:tcW w:w="4457" w:type="dxa"/>
            <w:tcBorders>
              <w:top w:val="single" w:color="auto" w:sz="4" w:space="0"/>
              <w:left w:val="single" w:color="auto" w:sz="4" w:space="0"/>
              <w:bottom w:val="single" w:color="auto" w:sz="4" w:space="0"/>
              <w:right w:val="single" w:color="auto" w:sz="4" w:space="0"/>
            </w:tcBorders>
            <w:vAlign w:val="center"/>
          </w:tcPr>
          <w:p w14:paraId="21769D92">
            <w:pPr>
              <w:pStyle w:val="17"/>
              <w:tabs>
                <w:tab w:val="left" w:pos="-166"/>
              </w:tabs>
              <w:kinsoku w:val="0"/>
              <w:topLinePunct/>
              <w:ind w:firstLine="0"/>
              <w:jc w:val="left"/>
              <w:rPr>
                <w:rFonts w:hint="eastAsia" w:ascii="仿宋" w:hAnsi="仿宋" w:eastAsia="仿宋" w:cs="仿宋"/>
                <w:sz w:val="21"/>
                <w:szCs w:val="21"/>
              </w:rPr>
            </w:pPr>
          </w:p>
        </w:tc>
      </w:tr>
      <w:tr w14:paraId="6AB4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13A7232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2.1</w:t>
            </w:r>
          </w:p>
        </w:tc>
        <w:tc>
          <w:tcPr>
            <w:tcW w:w="3069" w:type="dxa"/>
            <w:tcBorders>
              <w:top w:val="single" w:color="auto" w:sz="4" w:space="0"/>
              <w:left w:val="single" w:color="auto" w:sz="4" w:space="0"/>
              <w:bottom w:val="single" w:color="auto" w:sz="4" w:space="0"/>
              <w:right w:val="single" w:color="auto" w:sz="4" w:space="0"/>
            </w:tcBorders>
            <w:vAlign w:val="center"/>
          </w:tcPr>
          <w:p w14:paraId="0DFC05F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与权威机构合作</w:t>
            </w:r>
          </w:p>
        </w:tc>
        <w:tc>
          <w:tcPr>
            <w:tcW w:w="1090" w:type="dxa"/>
            <w:tcBorders>
              <w:top w:val="single" w:color="auto" w:sz="4" w:space="0"/>
              <w:left w:val="single" w:color="auto" w:sz="4" w:space="0"/>
              <w:bottom w:val="single" w:color="auto" w:sz="4" w:space="0"/>
              <w:right w:val="single" w:color="auto" w:sz="4" w:space="0"/>
            </w:tcBorders>
            <w:vAlign w:val="center"/>
          </w:tcPr>
          <w:p w14:paraId="187D2E5F">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w:t>
            </w:r>
          </w:p>
        </w:tc>
        <w:tc>
          <w:tcPr>
            <w:tcW w:w="4457" w:type="dxa"/>
            <w:tcBorders>
              <w:top w:val="single" w:color="auto" w:sz="4" w:space="0"/>
              <w:left w:val="single" w:color="auto" w:sz="4" w:space="0"/>
              <w:bottom w:val="single" w:color="auto" w:sz="4" w:space="0"/>
              <w:right w:val="single" w:color="auto" w:sz="4" w:space="0"/>
            </w:tcBorders>
            <w:vAlign w:val="center"/>
          </w:tcPr>
          <w:p w14:paraId="1568A5FE">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企业与中华医学会、中国医师协会、国家级医学中心等权威机构建立战略合作；提供合作协议，每项得1分，最高3分。</w:t>
            </w:r>
          </w:p>
        </w:tc>
      </w:tr>
      <w:tr w14:paraId="2259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304DA98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2.2</w:t>
            </w:r>
          </w:p>
        </w:tc>
        <w:tc>
          <w:tcPr>
            <w:tcW w:w="3069" w:type="dxa"/>
            <w:tcBorders>
              <w:top w:val="single" w:color="auto" w:sz="4" w:space="0"/>
              <w:left w:val="single" w:color="auto" w:sz="4" w:space="0"/>
              <w:bottom w:val="single" w:color="auto" w:sz="4" w:space="0"/>
              <w:right w:val="single" w:color="auto" w:sz="4" w:space="0"/>
            </w:tcBorders>
            <w:vAlign w:val="center"/>
          </w:tcPr>
          <w:p w14:paraId="2E6D218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软件著作权数量</w:t>
            </w:r>
          </w:p>
        </w:tc>
        <w:tc>
          <w:tcPr>
            <w:tcW w:w="1090" w:type="dxa"/>
            <w:tcBorders>
              <w:top w:val="single" w:color="auto" w:sz="4" w:space="0"/>
              <w:left w:val="single" w:color="auto" w:sz="4" w:space="0"/>
              <w:bottom w:val="single" w:color="auto" w:sz="4" w:space="0"/>
              <w:right w:val="single" w:color="auto" w:sz="4" w:space="0"/>
            </w:tcBorders>
            <w:vAlign w:val="center"/>
          </w:tcPr>
          <w:p w14:paraId="2BAC9D4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w:t>
            </w:r>
          </w:p>
        </w:tc>
        <w:tc>
          <w:tcPr>
            <w:tcW w:w="4457" w:type="dxa"/>
            <w:tcBorders>
              <w:top w:val="single" w:color="auto" w:sz="4" w:space="0"/>
              <w:left w:val="single" w:color="auto" w:sz="4" w:space="0"/>
              <w:bottom w:val="single" w:color="auto" w:sz="4" w:space="0"/>
              <w:right w:val="single" w:color="auto" w:sz="4" w:space="0"/>
            </w:tcBorders>
            <w:vAlign w:val="center"/>
          </w:tcPr>
          <w:p w14:paraId="18196C3B">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提供与产品相关的软件著作权证书：≥30项得3分；20–30项得2分；</w:t>
            </w:r>
            <w:r>
              <w:rPr>
                <w:rFonts w:hint="eastAsia" w:ascii="仿宋" w:hAnsi="仿宋" w:eastAsia="仿宋" w:cs="仿宋"/>
                <w:sz w:val="21"/>
                <w:szCs w:val="21"/>
              </w:rPr>
              <w:t>10</w:t>
            </w:r>
            <w:r>
              <w:rPr>
                <w:rFonts w:ascii="仿宋" w:hAnsi="仿宋" w:eastAsia="仿宋" w:cs="仿宋"/>
                <w:sz w:val="21"/>
                <w:szCs w:val="21"/>
              </w:rPr>
              <w:t>–20项得1分；＜</w:t>
            </w:r>
            <w:r>
              <w:rPr>
                <w:rFonts w:hint="eastAsia" w:ascii="仿宋" w:hAnsi="仿宋" w:eastAsia="仿宋" w:cs="仿宋"/>
                <w:sz w:val="21"/>
                <w:szCs w:val="21"/>
              </w:rPr>
              <w:t>10</w:t>
            </w:r>
            <w:r>
              <w:rPr>
                <w:rFonts w:ascii="仿宋" w:hAnsi="仿宋" w:eastAsia="仿宋" w:cs="仿宋"/>
                <w:sz w:val="21"/>
                <w:szCs w:val="21"/>
              </w:rPr>
              <w:t>项得0分。</w:t>
            </w:r>
          </w:p>
        </w:tc>
      </w:tr>
      <w:tr w14:paraId="0976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6A3EDE28">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2.3</w:t>
            </w:r>
          </w:p>
        </w:tc>
        <w:tc>
          <w:tcPr>
            <w:tcW w:w="3069" w:type="dxa"/>
            <w:tcBorders>
              <w:top w:val="single" w:color="auto" w:sz="4" w:space="0"/>
              <w:left w:val="single" w:color="auto" w:sz="4" w:space="0"/>
              <w:bottom w:val="single" w:color="auto" w:sz="4" w:space="0"/>
              <w:right w:val="single" w:color="auto" w:sz="4" w:space="0"/>
            </w:tcBorders>
            <w:vAlign w:val="center"/>
          </w:tcPr>
          <w:p w14:paraId="08DDA08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发明专利</w:t>
            </w:r>
          </w:p>
        </w:tc>
        <w:tc>
          <w:tcPr>
            <w:tcW w:w="1090" w:type="dxa"/>
            <w:tcBorders>
              <w:top w:val="single" w:color="auto" w:sz="4" w:space="0"/>
              <w:left w:val="single" w:color="auto" w:sz="4" w:space="0"/>
              <w:bottom w:val="single" w:color="auto" w:sz="4" w:space="0"/>
              <w:right w:val="single" w:color="auto" w:sz="4" w:space="0"/>
            </w:tcBorders>
            <w:vAlign w:val="center"/>
          </w:tcPr>
          <w:p w14:paraId="39649936">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4</w:t>
            </w:r>
          </w:p>
        </w:tc>
        <w:tc>
          <w:tcPr>
            <w:tcW w:w="4457" w:type="dxa"/>
            <w:tcBorders>
              <w:top w:val="single" w:color="auto" w:sz="4" w:space="0"/>
              <w:left w:val="single" w:color="auto" w:sz="4" w:space="0"/>
              <w:bottom w:val="single" w:color="auto" w:sz="4" w:space="0"/>
              <w:right w:val="single" w:color="auto" w:sz="4" w:space="0"/>
            </w:tcBorders>
            <w:vAlign w:val="center"/>
          </w:tcPr>
          <w:p w14:paraId="6356869B">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医学相关发明专利</w:t>
            </w:r>
            <w:r>
              <w:rPr>
                <w:rFonts w:hint="eastAsia" w:ascii="仿宋" w:hAnsi="仿宋" w:eastAsia="仿宋" w:cs="仿宋"/>
                <w:sz w:val="21"/>
                <w:szCs w:val="21"/>
              </w:rPr>
              <w:t>(提供发明专利证书)</w:t>
            </w:r>
            <w:r>
              <w:rPr>
                <w:rFonts w:ascii="仿宋" w:hAnsi="仿宋" w:eastAsia="仿宋" w:cs="仿宋"/>
                <w:sz w:val="21"/>
                <w:szCs w:val="21"/>
              </w:rPr>
              <w:t>：≥4项得4分；1–3项得2分；＜1项得0分。</w:t>
            </w:r>
          </w:p>
        </w:tc>
      </w:tr>
      <w:tr w14:paraId="3977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CE0538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w:t>
            </w:r>
          </w:p>
        </w:tc>
        <w:tc>
          <w:tcPr>
            <w:tcW w:w="3069" w:type="dxa"/>
            <w:tcBorders>
              <w:top w:val="single" w:color="auto" w:sz="4" w:space="0"/>
              <w:left w:val="single" w:color="auto" w:sz="4" w:space="0"/>
              <w:bottom w:val="single" w:color="auto" w:sz="4" w:space="0"/>
              <w:right w:val="single" w:color="auto" w:sz="4" w:space="0"/>
            </w:tcBorders>
            <w:vAlign w:val="center"/>
          </w:tcPr>
          <w:p w14:paraId="34F0E44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案例业绩与团队服务</w:t>
            </w:r>
          </w:p>
        </w:tc>
        <w:tc>
          <w:tcPr>
            <w:tcW w:w="1090" w:type="dxa"/>
            <w:tcBorders>
              <w:top w:val="single" w:color="auto" w:sz="4" w:space="0"/>
              <w:left w:val="single" w:color="auto" w:sz="4" w:space="0"/>
              <w:bottom w:val="single" w:color="auto" w:sz="4" w:space="0"/>
              <w:right w:val="single" w:color="auto" w:sz="4" w:space="0"/>
            </w:tcBorders>
            <w:vAlign w:val="center"/>
          </w:tcPr>
          <w:p w14:paraId="1872D5F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10</w:t>
            </w:r>
          </w:p>
        </w:tc>
        <w:tc>
          <w:tcPr>
            <w:tcW w:w="4457" w:type="dxa"/>
            <w:tcBorders>
              <w:top w:val="single" w:color="auto" w:sz="4" w:space="0"/>
              <w:left w:val="single" w:color="auto" w:sz="4" w:space="0"/>
              <w:bottom w:val="single" w:color="auto" w:sz="4" w:space="0"/>
              <w:right w:val="single" w:color="auto" w:sz="4" w:space="0"/>
            </w:tcBorders>
            <w:vAlign w:val="center"/>
          </w:tcPr>
          <w:p w14:paraId="0886E123">
            <w:pPr>
              <w:pStyle w:val="17"/>
              <w:tabs>
                <w:tab w:val="left" w:pos="-166"/>
              </w:tabs>
              <w:kinsoku w:val="0"/>
              <w:topLinePunct/>
              <w:ind w:firstLine="0"/>
              <w:jc w:val="left"/>
              <w:rPr>
                <w:rFonts w:hint="eastAsia" w:ascii="仿宋" w:hAnsi="仿宋" w:eastAsia="仿宋" w:cs="仿宋"/>
                <w:sz w:val="21"/>
                <w:szCs w:val="21"/>
              </w:rPr>
            </w:pPr>
          </w:p>
        </w:tc>
      </w:tr>
      <w:tr w14:paraId="33A4D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4126A9DA">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3.1</w:t>
            </w:r>
          </w:p>
        </w:tc>
        <w:tc>
          <w:tcPr>
            <w:tcW w:w="3069" w:type="dxa"/>
            <w:tcBorders>
              <w:top w:val="single" w:color="auto" w:sz="4" w:space="0"/>
              <w:left w:val="single" w:color="auto" w:sz="4" w:space="0"/>
              <w:bottom w:val="single" w:color="auto" w:sz="4" w:space="0"/>
              <w:right w:val="single" w:color="auto" w:sz="4" w:space="0"/>
            </w:tcBorders>
            <w:vAlign w:val="center"/>
          </w:tcPr>
          <w:p w14:paraId="034ED79B">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同类项目业绩</w:t>
            </w:r>
          </w:p>
        </w:tc>
        <w:tc>
          <w:tcPr>
            <w:tcW w:w="1090" w:type="dxa"/>
            <w:tcBorders>
              <w:top w:val="single" w:color="auto" w:sz="4" w:space="0"/>
              <w:left w:val="single" w:color="auto" w:sz="4" w:space="0"/>
              <w:bottom w:val="single" w:color="auto" w:sz="4" w:space="0"/>
              <w:right w:val="single" w:color="auto" w:sz="4" w:space="0"/>
            </w:tcBorders>
            <w:vAlign w:val="center"/>
          </w:tcPr>
          <w:p w14:paraId="02B20CC2">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03A031D8">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2020年1月1日以来，投标单位具有医疗AI辅助决策系统成功案例：每提供一个合同及验收证明得1分，最高2分。优先计分医院、药企等医疗相关案例。</w:t>
            </w:r>
          </w:p>
        </w:tc>
      </w:tr>
      <w:tr w14:paraId="4073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566E549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3.2</w:t>
            </w:r>
          </w:p>
        </w:tc>
        <w:tc>
          <w:tcPr>
            <w:tcW w:w="3069" w:type="dxa"/>
            <w:tcBorders>
              <w:top w:val="single" w:color="auto" w:sz="4" w:space="0"/>
              <w:left w:val="single" w:color="auto" w:sz="4" w:space="0"/>
              <w:bottom w:val="single" w:color="auto" w:sz="4" w:space="0"/>
              <w:right w:val="single" w:color="auto" w:sz="4" w:space="0"/>
            </w:tcBorders>
            <w:vAlign w:val="center"/>
          </w:tcPr>
          <w:p w14:paraId="61AF862C">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省部级及以上课题参与</w:t>
            </w:r>
          </w:p>
        </w:tc>
        <w:tc>
          <w:tcPr>
            <w:tcW w:w="1090" w:type="dxa"/>
            <w:tcBorders>
              <w:top w:val="single" w:color="auto" w:sz="4" w:space="0"/>
              <w:left w:val="single" w:color="auto" w:sz="4" w:space="0"/>
              <w:bottom w:val="single" w:color="auto" w:sz="4" w:space="0"/>
              <w:right w:val="single" w:color="auto" w:sz="4" w:space="0"/>
            </w:tcBorders>
            <w:vAlign w:val="center"/>
          </w:tcPr>
          <w:p w14:paraId="25BB2465">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17700B70">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投标人参与国家或省部级基金/课题AI相关项目；提供</w:t>
            </w:r>
            <w:r>
              <w:rPr>
                <w:rFonts w:hint="eastAsia" w:ascii="仿宋" w:hAnsi="仿宋" w:eastAsia="仿宋" w:cs="仿宋"/>
                <w:sz w:val="21"/>
                <w:szCs w:val="21"/>
              </w:rPr>
              <w:t>参与</w:t>
            </w:r>
            <w:r>
              <w:rPr>
                <w:rFonts w:ascii="仿宋" w:hAnsi="仿宋" w:eastAsia="仿宋" w:cs="仿宋"/>
                <w:sz w:val="21"/>
                <w:szCs w:val="21"/>
              </w:rPr>
              <w:t>证明，每项得1分，最高2分。</w:t>
            </w:r>
          </w:p>
        </w:tc>
      </w:tr>
      <w:tr w14:paraId="485AF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BC9CF17">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3.3</w:t>
            </w:r>
          </w:p>
        </w:tc>
        <w:tc>
          <w:tcPr>
            <w:tcW w:w="3069" w:type="dxa"/>
            <w:tcBorders>
              <w:top w:val="single" w:color="auto" w:sz="4" w:space="0"/>
              <w:left w:val="single" w:color="auto" w:sz="4" w:space="0"/>
              <w:bottom w:val="single" w:color="auto" w:sz="4" w:space="0"/>
              <w:right w:val="single" w:color="auto" w:sz="4" w:space="0"/>
            </w:tcBorders>
            <w:vAlign w:val="center"/>
          </w:tcPr>
          <w:p w14:paraId="781A8077">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医生用户覆盖规模</w:t>
            </w:r>
          </w:p>
        </w:tc>
        <w:tc>
          <w:tcPr>
            <w:tcW w:w="1090" w:type="dxa"/>
            <w:tcBorders>
              <w:top w:val="single" w:color="auto" w:sz="4" w:space="0"/>
              <w:left w:val="single" w:color="auto" w:sz="4" w:space="0"/>
              <w:bottom w:val="single" w:color="auto" w:sz="4" w:space="0"/>
              <w:right w:val="single" w:color="auto" w:sz="4" w:space="0"/>
            </w:tcBorders>
            <w:vAlign w:val="center"/>
          </w:tcPr>
          <w:p w14:paraId="2BBF50A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65855D59">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投标人AI服务在超过100万名医生中得到应用验证；提供数据证明及至少3家三甲医院使用证明得2分；50万–100万用户数得1分；不足50万不得分。</w:t>
            </w:r>
          </w:p>
        </w:tc>
      </w:tr>
      <w:tr w14:paraId="31ABD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6557FBAE">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3.4</w:t>
            </w:r>
          </w:p>
        </w:tc>
        <w:tc>
          <w:tcPr>
            <w:tcW w:w="3069" w:type="dxa"/>
            <w:tcBorders>
              <w:top w:val="single" w:color="auto" w:sz="4" w:space="0"/>
              <w:left w:val="single" w:color="auto" w:sz="4" w:space="0"/>
              <w:bottom w:val="single" w:color="auto" w:sz="4" w:space="0"/>
              <w:right w:val="single" w:color="auto" w:sz="4" w:space="0"/>
            </w:tcBorders>
            <w:vAlign w:val="center"/>
          </w:tcPr>
          <w:p w14:paraId="7B5F2FE7">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顶尖高校及政府应用案例</w:t>
            </w:r>
          </w:p>
        </w:tc>
        <w:tc>
          <w:tcPr>
            <w:tcW w:w="1090" w:type="dxa"/>
            <w:tcBorders>
              <w:top w:val="single" w:color="auto" w:sz="4" w:space="0"/>
              <w:left w:val="single" w:color="auto" w:sz="4" w:space="0"/>
              <w:bottom w:val="single" w:color="auto" w:sz="4" w:space="0"/>
              <w:right w:val="single" w:color="auto" w:sz="4" w:space="0"/>
            </w:tcBorders>
            <w:vAlign w:val="center"/>
          </w:tcPr>
          <w:p w14:paraId="0DBDAE2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40CDC92F">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投标人AI服务在985高校或省级以上政府部门有应用案例；提供合同或用户证明，每项得1分，最高2分。</w:t>
            </w:r>
          </w:p>
        </w:tc>
      </w:tr>
      <w:tr w14:paraId="4B4A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2828CAFD">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3.5</w:t>
            </w:r>
          </w:p>
        </w:tc>
        <w:tc>
          <w:tcPr>
            <w:tcW w:w="3069" w:type="dxa"/>
            <w:tcBorders>
              <w:top w:val="single" w:color="auto" w:sz="4" w:space="0"/>
              <w:left w:val="single" w:color="auto" w:sz="4" w:space="0"/>
              <w:bottom w:val="single" w:color="auto" w:sz="4" w:space="0"/>
              <w:right w:val="single" w:color="auto" w:sz="4" w:space="0"/>
            </w:tcBorders>
            <w:vAlign w:val="center"/>
          </w:tcPr>
          <w:p w14:paraId="40000B73">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售后服务方案</w:t>
            </w:r>
          </w:p>
        </w:tc>
        <w:tc>
          <w:tcPr>
            <w:tcW w:w="1090" w:type="dxa"/>
            <w:tcBorders>
              <w:top w:val="single" w:color="auto" w:sz="4" w:space="0"/>
              <w:left w:val="single" w:color="auto" w:sz="4" w:space="0"/>
              <w:bottom w:val="single" w:color="auto" w:sz="4" w:space="0"/>
              <w:right w:val="single" w:color="auto" w:sz="4" w:space="0"/>
            </w:tcBorders>
            <w:vAlign w:val="center"/>
          </w:tcPr>
          <w:p w14:paraId="5CC415D0">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w:t>
            </w:r>
          </w:p>
        </w:tc>
        <w:tc>
          <w:tcPr>
            <w:tcW w:w="4457" w:type="dxa"/>
            <w:tcBorders>
              <w:top w:val="single" w:color="auto" w:sz="4" w:space="0"/>
              <w:left w:val="single" w:color="auto" w:sz="4" w:space="0"/>
              <w:bottom w:val="single" w:color="auto" w:sz="4" w:space="0"/>
              <w:right w:val="single" w:color="auto" w:sz="4" w:space="0"/>
            </w:tcBorders>
            <w:vAlign w:val="center"/>
          </w:tcPr>
          <w:p w14:paraId="6985C100">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提供详细的售后服务方案，含质保期、技术支持方式、培训计划等；完整且可行得2分，资料不完整或可行性低得1分，不完整且可行性低得0分。</w:t>
            </w:r>
          </w:p>
        </w:tc>
      </w:tr>
      <w:tr w14:paraId="4BAAC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9796" w:type="dxa"/>
            <w:gridSpan w:val="4"/>
            <w:tcBorders>
              <w:top w:val="single" w:color="auto" w:sz="4" w:space="0"/>
              <w:left w:val="single" w:color="auto" w:sz="4" w:space="0"/>
              <w:bottom w:val="single" w:color="auto" w:sz="4" w:space="0"/>
              <w:right w:val="single" w:color="auto" w:sz="4" w:space="0"/>
            </w:tcBorders>
            <w:vAlign w:val="center"/>
          </w:tcPr>
          <w:p w14:paraId="794E4B47">
            <w:pPr>
              <w:pStyle w:val="17"/>
              <w:tabs>
                <w:tab w:val="left" w:pos="-166"/>
              </w:tabs>
              <w:kinsoku w:val="0"/>
              <w:topLinePunct/>
              <w:ind w:firstLine="0"/>
              <w:jc w:val="center"/>
              <w:rPr>
                <w:rFonts w:hint="eastAsia" w:ascii="仿宋" w:hAnsi="仿宋" w:eastAsia="仿宋" w:cs="仿宋"/>
                <w:b/>
                <w:bCs/>
                <w:sz w:val="21"/>
                <w:szCs w:val="21"/>
              </w:rPr>
            </w:pPr>
            <w:r>
              <w:rPr>
                <w:rFonts w:hint="eastAsia" w:ascii="仿宋" w:hAnsi="仿宋" w:eastAsia="仿宋" w:cs="仿宋"/>
                <w:b/>
                <w:bCs/>
                <w:sz w:val="21"/>
                <w:szCs w:val="21"/>
              </w:rPr>
              <w:t>三、投标报价（20.0分）</w:t>
            </w:r>
          </w:p>
        </w:tc>
      </w:tr>
      <w:tr w14:paraId="2B4E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1090" w:type="dxa"/>
            <w:tcBorders>
              <w:top w:val="single" w:color="auto" w:sz="4" w:space="0"/>
              <w:left w:val="single" w:color="auto" w:sz="4" w:space="0"/>
              <w:bottom w:val="single" w:color="auto" w:sz="4" w:space="0"/>
              <w:right w:val="single" w:color="auto" w:sz="4" w:space="0"/>
            </w:tcBorders>
            <w:vAlign w:val="center"/>
          </w:tcPr>
          <w:p w14:paraId="72DC4486">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1</w:t>
            </w:r>
          </w:p>
        </w:tc>
        <w:tc>
          <w:tcPr>
            <w:tcW w:w="3069" w:type="dxa"/>
            <w:tcBorders>
              <w:top w:val="single" w:color="auto" w:sz="4" w:space="0"/>
              <w:left w:val="single" w:color="auto" w:sz="4" w:space="0"/>
              <w:bottom w:val="single" w:color="auto" w:sz="4" w:space="0"/>
              <w:right w:val="single" w:color="auto" w:sz="4" w:space="0"/>
            </w:tcBorders>
            <w:vAlign w:val="center"/>
          </w:tcPr>
          <w:p w14:paraId="073DB6D4">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投标报价得分</w:t>
            </w:r>
          </w:p>
        </w:tc>
        <w:tc>
          <w:tcPr>
            <w:tcW w:w="1090" w:type="dxa"/>
            <w:tcBorders>
              <w:top w:val="single" w:color="auto" w:sz="4" w:space="0"/>
              <w:left w:val="single" w:color="auto" w:sz="4" w:space="0"/>
              <w:bottom w:val="single" w:color="auto" w:sz="4" w:space="0"/>
              <w:right w:val="single" w:color="auto" w:sz="4" w:space="0"/>
            </w:tcBorders>
            <w:vAlign w:val="center"/>
          </w:tcPr>
          <w:p w14:paraId="659B9717">
            <w:pPr>
              <w:pStyle w:val="17"/>
              <w:tabs>
                <w:tab w:val="left" w:pos="-166"/>
              </w:tabs>
              <w:kinsoku w:val="0"/>
              <w:topLinePunct/>
              <w:ind w:firstLine="0"/>
              <w:jc w:val="center"/>
              <w:rPr>
                <w:rFonts w:hint="eastAsia" w:ascii="仿宋" w:hAnsi="仿宋" w:eastAsia="仿宋" w:cs="仿宋"/>
                <w:sz w:val="21"/>
                <w:szCs w:val="21"/>
              </w:rPr>
            </w:pPr>
            <w:r>
              <w:rPr>
                <w:rFonts w:ascii="仿宋" w:hAnsi="仿宋" w:eastAsia="仿宋" w:cs="仿宋"/>
                <w:sz w:val="21"/>
                <w:szCs w:val="21"/>
              </w:rPr>
              <w:t>20</w:t>
            </w:r>
          </w:p>
        </w:tc>
        <w:tc>
          <w:tcPr>
            <w:tcW w:w="4457" w:type="dxa"/>
            <w:tcBorders>
              <w:top w:val="single" w:color="auto" w:sz="4" w:space="0"/>
              <w:left w:val="single" w:color="auto" w:sz="4" w:space="0"/>
              <w:bottom w:val="single" w:color="auto" w:sz="4" w:space="0"/>
              <w:right w:val="single" w:color="auto" w:sz="4" w:space="0"/>
            </w:tcBorders>
            <w:vAlign w:val="center"/>
          </w:tcPr>
          <w:p w14:paraId="1D00306A">
            <w:pPr>
              <w:pStyle w:val="17"/>
              <w:tabs>
                <w:tab w:val="left" w:pos="-166"/>
              </w:tabs>
              <w:kinsoku w:val="0"/>
              <w:topLinePunct/>
              <w:ind w:firstLine="0"/>
              <w:jc w:val="left"/>
              <w:rPr>
                <w:rFonts w:hint="eastAsia" w:ascii="仿宋" w:hAnsi="仿宋" w:eastAsia="仿宋" w:cs="仿宋"/>
                <w:sz w:val="21"/>
                <w:szCs w:val="21"/>
              </w:rPr>
            </w:pPr>
            <w:r>
              <w:rPr>
                <w:rFonts w:ascii="仿宋" w:hAnsi="仿宋" w:eastAsia="仿宋" w:cs="仿宋"/>
                <w:sz w:val="21"/>
                <w:szCs w:val="21"/>
              </w:rPr>
              <w:t>投标报价得分＝（评标基准价 / 投标报价）×价格分值。【注：满足招标文件要求且投标价格最低的投标报价为评标基准价。最低报价不是中标的唯一依据。】</w:t>
            </w:r>
          </w:p>
        </w:tc>
      </w:tr>
    </w:tbl>
    <w:p w14:paraId="413CFFBE">
      <w:pPr>
        <w:kinsoku w:val="0"/>
        <w:wordWrap w:val="0"/>
        <w:topLinePunct/>
        <w:rPr>
          <w:rFonts w:hint="eastAsia" w:ascii="仿宋" w:hAnsi="仿宋" w:eastAsia="仿宋" w:cs="仿宋"/>
          <w:b/>
          <w:sz w:val="21"/>
        </w:rPr>
      </w:pPr>
    </w:p>
    <w:p w14:paraId="5C2C066C">
      <w:pPr>
        <w:kinsoku w:val="0"/>
        <w:wordWrap w:val="0"/>
        <w:topLinePunct/>
        <w:rPr>
          <w:rFonts w:hint="eastAsia" w:ascii="仿宋" w:hAnsi="仿宋" w:eastAsia="仿宋" w:cs="仿宋"/>
          <w:b/>
          <w:sz w:val="21"/>
        </w:rPr>
      </w:pPr>
      <w:r>
        <w:rPr>
          <w:rFonts w:hint="eastAsia" w:ascii="仿宋" w:hAnsi="仿宋" w:eastAsia="仿宋" w:cs="仿宋"/>
          <w:b/>
          <w:sz w:val="21"/>
        </w:rPr>
        <w:t>六、开标、评标、定标</w:t>
      </w:r>
    </w:p>
    <w:p w14:paraId="1FFF3461">
      <w:pPr>
        <w:numPr>
          <w:ilvl w:val="0"/>
          <w:numId w:val="6"/>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招标人将组织公开开标,必要时通知投标人现场答辩。</w:t>
      </w:r>
    </w:p>
    <w:p w14:paraId="1C892A3B">
      <w:pPr>
        <w:numPr>
          <w:ilvl w:val="0"/>
          <w:numId w:val="6"/>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招标人将仅对确认为符合招标文件要求的投标进行评价和比较。</w:t>
      </w:r>
    </w:p>
    <w:p w14:paraId="5525EDBA">
      <w:pPr>
        <w:numPr>
          <w:ilvl w:val="0"/>
          <w:numId w:val="6"/>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合同将授予符合招标文件条件并对买方最为有利的投标人，招标人没有义务必须接受最低报价的投标。</w:t>
      </w:r>
    </w:p>
    <w:p w14:paraId="2B1DDFAC">
      <w:pPr>
        <w:numPr>
          <w:ilvl w:val="0"/>
          <w:numId w:val="6"/>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招标人有权在定标以前拒绝任何或全部投标，对由此造成对投标人的影响不负任何责任，同时对此不做任何解释。</w:t>
      </w:r>
    </w:p>
    <w:p w14:paraId="341AA0ED">
      <w:pPr>
        <w:numPr>
          <w:ilvl w:val="0"/>
          <w:numId w:val="6"/>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招标人可以接受投标货物中的任何一项、几项或全部，并有权在授予合同时改变订货的数量。</w:t>
      </w:r>
    </w:p>
    <w:p w14:paraId="7C9C7CF6">
      <w:pPr>
        <w:kinsoku w:val="0"/>
        <w:wordWrap w:val="0"/>
        <w:topLinePunct/>
        <w:ind w:left="851" w:hanging="851"/>
        <w:rPr>
          <w:rFonts w:hint="eastAsia" w:ascii="仿宋" w:hAnsi="仿宋" w:eastAsia="仿宋" w:cs="仿宋"/>
          <w:b/>
          <w:sz w:val="21"/>
        </w:rPr>
      </w:pPr>
      <w:r>
        <w:rPr>
          <w:rFonts w:hint="eastAsia" w:ascii="仿宋" w:hAnsi="仿宋" w:eastAsia="仿宋" w:cs="仿宋"/>
          <w:b/>
          <w:sz w:val="21"/>
        </w:rPr>
        <w:t>七、评标过程的保密性</w:t>
      </w:r>
    </w:p>
    <w:p w14:paraId="1A72D38B">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公开开标后，直至向中标的投标人授予合同时止，凡与审查、澄清、评价和比较投标有关的资料以及授标意见等，均不得向投标人及与评标无关的其他人透露。</w:t>
      </w:r>
    </w:p>
    <w:p w14:paraId="422A3DCF">
      <w:pPr>
        <w:numPr>
          <w:ilvl w:val="0"/>
          <w:numId w:val="7"/>
        </w:numPr>
        <w:tabs>
          <w:tab w:val="left" w:pos="0"/>
          <w:tab w:val="clear" w:pos="425"/>
        </w:tabs>
        <w:kinsoku w:val="0"/>
        <w:wordWrap w:val="0"/>
        <w:topLinePunct/>
        <w:ind w:left="830" w:hanging="332"/>
        <w:rPr>
          <w:rFonts w:hint="eastAsia" w:ascii="仿宋" w:hAnsi="仿宋" w:eastAsia="仿宋" w:cs="仿宋"/>
          <w:sz w:val="21"/>
          <w:szCs w:val="21"/>
        </w:rPr>
      </w:pPr>
      <w:r>
        <w:rPr>
          <w:rFonts w:hint="eastAsia" w:ascii="仿宋" w:hAnsi="仿宋" w:eastAsia="仿宋" w:cs="仿宋"/>
          <w:sz w:val="21"/>
          <w:szCs w:val="21"/>
        </w:rPr>
        <w:t>在评标过程中，如果投标人试图在投标文件审查、澄清、比较及授予合同方面向买方施加任何影响，其投标将被拒绝。</w:t>
      </w:r>
    </w:p>
    <w:p w14:paraId="6991FE85">
      <w:pPr>
        <w:kinsoku w:val="0"/>
        <w:wordWrap w:val="0"/>
        <w:topLinePunct/>
        <w:jc w:val="center"/>
        <w:rPr>
          <w:rFonts w:hint="eastAsia" w:ascii="仿宋" w:hAnsi="仿宋" w:eastAsia="仿宋" w:cs="仿宋"/>
          <w:b/>
          <w:sz w:val="32"/>
        </w:rPr>
      </w:pPr>
      <w:r>
        <w:rPr>
          <w:rFonts w:hint="eastAsia" w:ascii="仿宋" w:hAnsi="仿宋" w:eastAsia="仿宋" w:cs="仿宋"/>
          <w:b/>
          <w:sz w:val="32"/>
        </w:rPr>
        <w:t>第二部分  技术服务内容、技术指标要求等</w:t>
      </w:r>
    </w:p>
    <w:p w14:paraId="34677E09">
      <w:pPr>
        <w:spacing w:line="360" w:lineRule="auto"/>
        <w:rPr>
          <w:rFonts w:hint="eastAsia" w:ascii="仿宋" w:hAnsi="仿宋" w:eastAsia="仿宋" w:cs="仿宋"/>
          <w:bCs/>
          <w:sz w:val="21"/>
          <w:szCs w:val="21"/>
        </w:rPr>
      </w:pPr>
      <w:r>
        <w:rPr>
          <w:rFonts w:hint="eastAsia" w:ascii="仿宋" w:hAnsi="仿宋" w:eastAsia="仿宋" w:cs="仿宋"/>
          <w:b/>
          <w:sz w:val="21"/>
          <w:szCs w:val="21"/>
        </w:rPr>
        <w:t>一．项目名称：</w:t>
      </w:r>
      <w:r>
        <w:rPr>
          <w:rFonts w:hint="eastAsia" w:ascii="仿宋" w:hAnsi="仿宋" w:eastAsia="仿宋" w:cs="仿宋"/>
          <w:bCs/>
          <w:sz w:val="21"/>
          <w:szCs w:val="21"/>
        </w:rPr>
        <w:t>SDB优化治疗临床决策支持系统（SDB-CDSS）技术服务</w:t>
      </w:r>
    </w:p>
    <w:p w14:paraId="05F3B69D">
      <w:pPr>
        <w:spacing w:line="360" w:lineRule="auto"/>
        <w:rPr>
          <w:rFonts w:hint="eastAsia" w:ascii="仿宋" w:hAnsi="仿宋" w:eastAsia="仿宋" w:cs="仿宋"/>
          <w:bCs/>
          <w:sz w:val="21"/>
          <w:szCs w:val="21"/>
        </w:rPr>
      </w:pPr>
      <w:r>
        <w:rPr>
          <w:rFonts w:hint="eastAsia" w:ascii="仿宋" w:hAnsi="仿宋" w:eastAsia="仿宋" w:cs="仿宋"/>
          <w:bCs/>
          <w:sz w:val="21"/>
          <w:szCs w:val="21"/>
        </w:rPr>
        <w:t>总预算：370000元</w:t>
      </w:r>
    </w:p>
    <w:p w14:paraId="71B16A0B">
      <w:pPr>
        <w:spacing w:line="360" w:lineRule="auto"/>
        <w:rPr>
          <w:rFonts w:hint="eastAsia" w:ascii="仿宋" w:hAnsi="仿宋" w:eastAsia="仿宋" w:cs="仿宋"/>
          <w:bCs/>
          <w:color w:val="000000" w:themeColor="text1"/>
          <w:sz w:val="21"/>
          <w:szCs w:val="21"/>
          <w14:textFill>
            <w14:solidFill>
              <w14:schemeClr w14:val="tx1"/>
            </w14:solidFill>
          </w14:textFill>
        </w:rPr>
      </w:pPr>
      <w:r>
        <w:rPr>
          <w:rFonts w:hint="eastAsia" w:ascii="仿宋" w:hAnsi="仿宋" w:eastAsia="仿宋" w:cs="仿宋"/>
          <w:bCs/>
          <w:color w:val="000000" w:themeColor="text1"/>
          <w:sz w:val="21"/>
          <w:szCs w:val="21"/>
          <w14:textFill>
            <w14:solidFill>
              <w14:schemeClr w14:val="tx1"/>
            </w14:solidFill>
          </w14:textFill>
        </w:rPr>
        <w:t>本招标书中所提甲方特指需方（汕头大学医学院），乙方特指供方（潜在的中标单位）</w:t>
      </w:r>
    </w:p>
    <w:p w14:paraId="3E3E0D00">
      <w:pPr>
        <w:spacing w:line="360" w:lineRule="auto"/>
        <w:outlineLvl w:val="1"/>
        <w:rPr>
          <w:rFonts w:hint="eastAsia" w:ascii="仿宋" w:hAnsi="仿宋" w:eastAsia="仿宋"/>
          <w:b/>
          <w:bCs/>
          <w:sz w:val="21"/>
          <w:szCs w:val="21"/>
        </w:rPr>
      </w:pPr>
      <w:bookmarkStart w:id="1" w:name="_Hlk228971130"/>
      <w:r>
        <w:rPr>
          <w:rFonts w:hint="eastAsia" w:ascii="仿宋" w:hAnsi="仿宋" w:eastAsia="仿宋"/>
          <w:b/>
          <w:bCs/>
          <w:sz w:val="21"/>
          <w:szCs w:val="21"/>
        </w:rPr>
        <w:t>二．服务内容：</w:t>
      </w:r>
    </w:p>
    <w:p w14:paraId="7B751CB3">
      <w:pPr>
        <w:pStyle w:val="97"/>
        <w:numPr>
          <w:ilvl w:val="0"/>
          <w:numId w:val="8"/>
        </w:numPr>
        <w:spacing w:line="360" w:lineRule="auto"/>
        <w:ind w:left="0" w:firstLine="0" w:firstLineChars="0"/>
        <w:outlineLvl w:val="1"/>
        <w:rPr>
          <w:rFonts w:hint="eastAsia" w:ascii="仿宋" w:hAnsi="仿宋" w:eastAsia="仿宋"/>
          <w:sz w:val="21"/>
          <w:szCs w:val="21"/>
        </w:rPr>
      </w:pPr>
      <w:r>
        <w:rPr>
          <w:rFonts w:hint="eastAsia" w:ascii="仿宋" w:hAnsi="仿宋" w:eastAsia="仿宋"/>
          <w:sz w:val="21"/>
          <w:szCs w:val="21"/>
        </w:rPr>
        <w:t>提供基于诊疗知识库的 AI 引擎 SaaS 服务（授权 License）：完成临床与知识类文本结构化、分词、去重、归一化与标准化；对诊疗知识库（指南共识+文献+诊疗规则+药品知识等）及用户请求进行向量化表示，实现多维度循证依据与患者特征精准匹配；GPU 算力资源需要支撑模型推理、检索及训练。</w:t>
      </w:r>
    </w:p>
    <w:p w14:paraId="56DAEF58">
      <w:pPr>
        <w:pStyle w:val="97"/>
        <w:numPr>
          <w:ilvl w:val="0"/>
          <w:numId w:val="8"/>
        </w:numPr>
        <w:spacing w:line="360" w:lineRule="auto"/>
        <w:ind w:left="0" w:firstLine="0" w:firstLineChars="0"/>
        <w:outlineLvl w:val="1"/>
        <w:rPr>
          <w:rFonts w:hint="eastAsia" w:ascii="仿宋" w:hAnsi="仿宋" w:eastAsia="仿宋"/>
          <w:sz w:val="21"/>
          <w:szCs w:val="21"/>
        </w:rPr>
      </w:pPr>
      <w:r>
        <w:rPr>
          <w:rFonts w:hint="eastAsia" w:ascii="仿宋" w:hAnsi="仿宋" w:eastAsia="仿宋"/>
          <w:sz w:val="21"/>
          <w:szCs w:val="21"/>
        </w:rPr>
        <w:t>提供本项目相关的知识图谱构建和知识关联查询服务：覆盖核心指南、专家经验、脱敏临床数据（≤500条）；支持添加指南&amp;文献/经验/脱敏临床数据；图谱实体关系直接赋能模型训练，优化概率预测精准度；检索知识图谱相关实体属性和关系，并实现多跳查询；多跳查询结果参与概率置信区间校准，输出量化权重。</w:t>
      </w:r>
    </w:p>
    <w:p w14:paraId="281CE799">
      <w:pPr>
        <w:pStyle w:val="97"/>
        <w:numPr>
          <w:ilvl w:val="0"/>
          <w:numId w:val="8"/>
        </w:numPr>
        <w:spacing w:line="360" w:lineRule="auto"/>
        <w:ind w:left="0" w:firstLine="0" w:firstLineChars="0"/>
        <w:outlineLvl w:val="1"/>
        <w:rPr>
          <w:rFonts w:hint="eastAsia" w:ascii="仿宋" w:hAnsi="仿宋" w:eastAsia="仿宋"/>
          <w:sz w:val="21"/>
          <w:szCs w:val="21"/>
        </w:rPr>
      </w:pPr>
      <w:r>
        <w:rPr>
          <w:rFonts w:hint="eastAsia" w:ascii="仿宋" w:hAnsi="仿宋" w:eastAsia="仿宋"/>
          <w:sz w:val="21"/>
          <w:szCs w:val="21"/>
        </w:rPr>
        <w:t>提供相似病例检索服务：检索结果参与概率校准，提升达标概率预测精准度。</w:t>
      </w:r>
    </w:p>
    <w:p w14:paraId="77EDB03F">
      <w:pPr>
        <w:pStyle w:val="97"/>
        <w:numPr>
          <w:ilvl w:val="0"/>
          <w:numId w:val="8"/>
        </w:numPr>
        <w:spacing w:line="360" w:lineRule="auto"/>
        <w:ind w:left="0" w:firstLine="0" w:firstLineChars="0"/>
        <w:outlineLvl w:val="1"/>
        <w:rPr>
          <w:rFonts w:hint="eastAsia" w:ascii="仿宋" w:hAnsi="仿宋" w:eastAsia="仿宋"/>
          <w:sz w:val="21"/>
          <w:szCs w:val="21"/>
        </w:rPr>
      </w:pPr>
      <w:r>
        <w:rPr>
          <w:rFonts w:hint="eastAsia" w:ascii="仿宋" w:hAnsi="仿宋" w:eastAsia="仿宋"/>
          <w:sz w:val="21"/>
          <w:szCs w:val="21"/>
        </w:rPr>
        <w:t>提供脱敏病例数据预处理服务：明确数据收集模板及数据移交标准制定，数据清洗、疗效标注、数据集划分。</w:t>
      </w:r>
    </w:p>
    <w:p w14:paraId="7F17F74A">
      <w:pPr>
        <w:pStyle w:val="97"/>
        <w:numPr>
          <w:ilvl w:val="0"/>
          <w:numId w:val="8"/>
        </w:numPr>
        <w:spacing w:line="360" w:lineRule="auto"/>
        <w:ind w:left="0" w:firstLine="0" w:firstLineChars="0"/>
        <w:outlineLvl w:val="1"/>
        <w:rPr>
          <w:rFonts w:hint="eastAsia" w:ascii="仿宋" w:hAnsi="仿宋" w:eastAsia="仿宋"/>
          <w:sz w:val="21"/>
          <w:szCs w:val="21"/>
        </w:rPr>
      </w:pPr>
      <w:r>
        <w:rPr>
          <w:rFonts w:hint="eastAsia" w:ascii="仿宋" w:hAnsi="仿宋" w:eastAsia="仿宋"/>
          <w:sz w:val="21"/>
          <w:szCs w:val="21"/>
        </w:rPr>
        <w:t>提供疗效预测模型训练服务：完成模型训练，交付独立可运行的疗效预测模型，并提供模型的训练代码、参数配置、评估报告及 API 调用接口。</w:t>
      </w:r>
    </w:p>
    <w:p w14:paraId="63D3CC41">
      <w:pPr>
        <w:spacing w:line="360" w:lineRule="auto"/>
        <w:ind w:left="-664" w:leftChars="-200" w:firstLine="786" w:firstLineChars="300"/>
        <w:outlineLvl w:val="1"/>
        <w:rPr>
          <w:rFonts w:hint="eastAsia" w:ascii="仿宋" w:hAnsi="仿宋" w:eastAsia="仿宋"/>
          <w:b/>
          <w:bCs/>
          <w:sz w:val="21"/>
          <w:szCs w:val="21"/>
        </w:rPr>
      </w:pPr>
      <w:r>
        <w:rPr>
          <w:rFonts w:hint="eastAsia" w:ascii="仿宋" w:hAnsi="仿宋" w:eastAsia="仿宋"/>
          <w:b/>
          <w:bCs/>
          <w:sz w:val="21"/>
          <w:szCs w:val="21"/>
        </w:rPr>
        <w:t>三．服务流程：</w:t>
      </w:r>
    </w:p>
    <w:p w14:paraId="19A7F2D5">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需求分析与知识范围确认：根据采购人提供的疾病领域、临床场景及预期功能要求，确定知识图谱覆盖范围、推理任务类型及关键评价指标。</w:t>
      </w:r>
    </w:p>
    <w:p w14:paraId="5B1B83FC">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授权基于诊疗知识库的 AI 引擎 SaaS 服务：知识获取与结构化、向量化，熟悉语义 Hybrid 检索。</w:t>
      </w:r>
    </w:p>
    <w:p w14:paraId="49A333A3">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知识图谱构建与质检：从权威资料中抽取、清洗、标准化知识，构建实体—关系—属性三元组库；采用图数据库存储，形成可视化知识网络；对知识一致性、完整性和时效性进行质检，交付初版知识图谱。</w:t>
      </w:r>
    </w:p>
    <w:p w14:paraId="1500CCEF">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实现相似病例检索：明确相似病例检索核心特征与权重，开发相似度检索算法，检索结果参与概率校准，提升达标概率预测精准度。</w:t>
      </w:r>
    </w:p>
    <w:p w14:paraId="5AC2A2B2">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模型训练与验证：脱敏数据预处理与特征工程，利用标注好的临床病例数据（招标人提供），训练决策推理模型；采用交叉验证、外部验证等方法评估模型性能。</w:t>
      </w:r>
    </w:p>
    <w:p w14:paraId="77E87781">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集成模型测试校准及部署：深度集成模型，收集专家的测试反馈，进行错误分析与 Bad Case 治理，总结错误原因并提出可能的解决办法，完成验证通过后完成版本部署与上线。</w:t>
      </w:r>
    </w:p>
    <w:p w14:paraId="0F5EBD0F">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最终交付与培训：交付全部源代码、模型文件、知识库文件、API 文档、测试报告、使用手册，并提供不少于 2 天的现场/远程技术培训。</w:t>
      </w:r>
    </w:p>
    <w:p w14:paraId="3EF584D3">
      <w:pPr>
        <w:pStyle w:val="97"/>
        <w:numPr>
          <w:ilvl w:val="0"/>
          <w:numId w:val="9"/>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自合同签订之日起两年内，乙方须协助甲方申请专利和软件著作权。</w:t>
      </w:r>
    </w:p>
    <w:p w14:paraId="08B3E8AD">
      <w:pPr>
        <w:pStyle w:val="97"/>
        <w:spacing w:line="360" w:lineRule="auto"/>
        <w:ind w:firstLine="0" w:firstLineChars="0"/>
        <w:rPr>
          <w:rFonts w:hint="eastAsia" w:ascii="仿宋" w:hAnsi="仿宋" w:eastAsia="仿宋"/>
          <w:b/>
          <w:bCs/>
          <w:sz w:val="21"/>
          <w:szCs w:val="21"/>
        </w:rPr>
      </w:pPr>
      <w:r>
        <w:rPr>
          <w:rFonts w:hint="eastAsia" w:ascii="仿宋" w:hAnsi="仿宋" w:eastAsia="仿宋"/>
          <w:b/>
          <w:bCs/>
          <w:sz w:val="21"/>
          <w:szCs w:val="21"/>
        </w:rPr>
        <w:t>四．</w:t>
      </w:r>
      <w:r>
        <w:rPr>
          <w:rFonts w:ascii="仿宋" w:hAnsi="仿宋" w:eastAsia="仿宋"/>
          <w:b/>
          <w:bCs/>
          <w:sz w:val="21"/>
          <w:szCs w:val="21"/>
        </w:rPr>
        <w:t>质量要求、技术标准</w:t>
      </w:r>
      <w:r>
        <w:rPr>
          <w:rFonts w:hint="eastAsia" w:ascii="仿宋" w:hAnsi="仿宋" w:eastAsia="仿宋"/>
          <w:b/>
          <w:bCs/>
          <w:sz w:val="21"/>
          <w:szCs w:val="21"/>
        </w:rPr>
        <w:t>：</w:t>
      </w:r>
    </w:p>
    <w:p w14:paraId="7B20BB64">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系统必须满足数据安全与隐私保护要求，对训练数据中的患者敏感信息进行脱敏处理，不得留存原始可识别信息。研发过程中使用的所有数据均限于采购人授权范围内。</w:t>
      </w:r>
    </w:p>
    <w:p w14:paraId="31C1E490">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医学专业领域知识图谱：具备医学专业领域知识图谱的构建与质量评估能力，知识图谱构建必须基于严谨的医学证据，每条知识需标注来源及证据等级，确保可追溯、可验证。</w:t>
      </w:r>
    </w:p>
    <w:p w14:paraId="766A3E41">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疗效预测模型：决策支持模型需具备可解释性，能够对每条推荐结果输出依据，如引用知识图谱中的具体节点、指南/文献来源等。</w:t>
      </w:r>
    </w:p>
    <w:p w14:paraId="64E32A90">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相似病例检索：基于多维患者相似度分析，通过特征归一化、NLP 向量提取、分层加权相似度计算，匹配历史病例提供治疗建议。</w:t>
      </w:r>
    </w:p>
    <w:p w14:paraId="79E4C654">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医学内容生成与溯源：采用 Hybrid 检索（关键词+语义）+ Reranker 重排；结论绑定医学文献引用，严格溯源，高风险场景强制提示。</w:t>
      </w:r>
    </w:p>
    <w:p w14:paraId="53FF0A46">
      <w:pPr>
        <w:pStyle w:val="97"/>
        <w:numPr>
          <w:ilvl w:val="0"/>
          <w:numId w:val="10"/>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课题交付验收后，合同期内可免费提供工作时间的售后服务和技术支持。</w:t>
      </w:r>
    </w:p>
    <w:p w14:paraId="1166DF6B">
      <w:pPr>
        <w:pStyle w:val="97"/>
        <w:spacing w:line="360" w:lineRule="auto"/>
        <w:ind w:firstLine="0" w:firstLineChars="0"/>
        <w:rPr>
          <w:rFonts w:hint="eastAsia" w:ascii="仿宋" w:hAnsi="仿宋" w:eastAsia="仿宋"/>
          <w:b/>
          <w:bCs/>
          <w:sz w:val="21"/>
          <w:szCs w:val="21"/>
        </w:rPr>
      </w:pPr>
      <w:r>
        <w:rPr>
          <w:rFonts w:hint="eastAsia" w:ascii="仿宋" w:hAnsi="仿宋" w:eastAsia="仿宋"/>
          <w:b/>
          <w:bCs/>
          <w:sz w:val="21"/>
          <w:szCs w:val="21"/>
        </w:rPr>
        <w:t>五. 验收方式、标准及提出异议期限:</w:t>
      </w:r>
    </w:p>
    <w:p w14:paraId="61865238">
      <w:pPr>
        <w:pStyle w:val="97"/>
        <w:numPr>
          <w:ilvl w:val="0"/>
          <w:numId w:val="11"/>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验收方式：供应商以新增移动端或聚合变量方式交付全部成果物（源代码、知识库、模型文件、文档）。所有交付物需通过专为本项目搭建的独立测试环境验证运行。</w:t>
      </w:r>
    </w:p>
    <w:p w14:paraId="790D1CC9">
      <w:pPr>
        <w:pStyle w:val="97"/>
        <w:numPr>
          <w:ilvl w:val="0"/>
          <w:numId w:val="11"/>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验收标准：全部功能上线，关键指标：检索准确率 top10 ≥80%；首 token 响应时间≤5秒；相关度≥95%；流式输出平均50秒。</w:t>
      </w:r>
    </w:p>
    <w:p w14:paraId="552E1858">
      <w:pPr>
        <w:pStyle w:val="97"/>
        <w:numPr>
          <w:ilvl w:val="0"/>
          <w:numId w:val="11"/>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提出异议期限：甲方在收到交付物后如有异议，需在14个工作日内向乙方提出书面异议。如逾期未提出书面异议的，视为验收通过。</w:t>
      </w:r>
    </w:p>
    <w:p w14:paraId="760EA60E">
      <w:pPr>
        <w:pStyle w:val="97"/>
        <w:spacing w:line="360" w:lineRule="auto"/>
        <w:ind w:firstLine="0" w:firstLineChars="0"/>
        <w:rPr>
          <w:rFonts w:hint="eastAsia" w:ascii="仿宋" w:hAnsi="仿宋" w:eastAsia="仿宋"/>
          <w:b/>
          <w:bCs/>
          <w:sz w:val="21"/>
          <w:szCs w:val="21"/>
        </w:rPr>
      </w:pPr>
      <w:r>
        <w:rPr>
          <w:rFonts w:ascii="仿宋" w:hAnsi="仿宋" w:eastAsia="仿宋"/>
          <w:b/>
          <w:bCs/>
          <w:sz w:val="21"/>
          <w:szCs w:val="21"/>
        </w:rPr>
        <w:t>六、结算方式</w:t>
      </w:r>
    </w:p>
    <w:p w14:paraId="08F9A600">
      <w:pPr>
        <w:pStyle w:val="97"/>
        <w:numPr>
          <w:ilvl w:val="0"/>
          <w:numId w:val="12"/>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在合同生效后30个工作日内，甲方凭乙方开具的增值税专用发票向乙方支付合同总额30%的预付款项；</w:t>
      </w:r>
    </w:p>
    <w:p w14:paraId="6C61FABB">
      <w:pPr>
        <w:pStyle w:val="97"/>
        <w:numPr>
          <w:ilvl w:val="0"/>
          <w:numId w:val="12"/>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乙方完成知识图谱构建及初步模型训练后，经甲方阶段性验收通过后</w:t>
      </w:r>
      <w:r>
        <w:rPr>
          <w:rFonts w:ascii="仿宋" w:hAnsi="仿宋" w:eastAsia="仿宋"/>
          <w:sz w:val="21"/>
          <w:szCs w:val="21"/>
        </w:rPr>
        <w:t>30</w:t>
      </w:r>
      <w:r>
        <w:rPr>
          <w:rFonts w:hint="eastAsia" w:ascii="仿宋" w:hAnsi="仿宋" w:eastAsia="仿宋"/>
          <w:sz w:val="21"/>
          <w:szCs w:val="21"/>
        </w:rPr>
        <w:t>个工作日内，甲方凭乙方开具的增值税专用发票支付合同总额50%的进度款；</w:t>
      </w:r>
    </w:p>
    <w:p w14:paraId="05DCC2A3">
      <w:pPr>
        <w:pStyle w:val="97"/>
        <w:numPr>
          <w:ilvl w:val="0"/>
          <w:numId w:val="12"/>
        </w:numPr>
        <w:spacing w:line="360" w:lineRule="auto"/>
        <w:ind w:left="0" w:firstLine="0" w:firstLineChars="0"/>
        <w:rPr>
          <w:rFonts w:hint="eastAsia" w:ascii="仿宋" w:hAnsi="仿宋" w:eastAsia="仿宋"/>
          <w:sz w:val="21"/>
          <w:szCs w:val="21"/>
        </w:rPr>
      </w:pPr>
      <w:r>
        <w:rPr>
          <w:rFonts w:hint="eastAsia" w:ascii="仿宋" w:hAnsi="仿宋" w:eastAsia="仿宋"/>
          <w:sz w:val="21"/>
          <w:szCs w:val="21"/>
        </w:rPr>
        <w:t>乙方完成集成模型测试校准、部署及全部成果交付工作，经甲方最终验收通过后3</w:t>
      </w:r>
      <w:r>
        <w:rPr>
          <w:rFonts w:ascii="仿宋" w:hAnsi="仿宋" w:eastAsia="仿宋"/>
          <w:sz w:val="21"/>
          <w:szCs w:val="21"/>
        </w:rPr>
        <w:t>0</w:t>
      </w:r>
      <w:r>
        <w:rPr>
          <w:rFonts w:hint="eastAsia" w:ascii="仿宋" w:hAnsi="仿宋" w:eastAsia="仿宋"/>
          <w:sz w:val="21"/>
          <w:szCs w:val="21"/>
        </w:rPr>
        <w:t>个工作日内，甲方凭乙方开具的增值税专用发票向乙方支付合同总额20%的剩余款项。</w:t>
      </w:r>
    </w:p>
    <w:p w14:paraId="64BC136B">
      <w:pPr>
        <w:spacing w:line="360" w:lineRule="auto"/>
        <w:rPr>
          <w:rFonts w:hint="eastAsia" w:ascii="仿宋" w:hAnsi="仿宋" w:eastAsia="仿宋"/>
          <w:b/>
          <w:bCs/>
          <w:sz w:val="21"/>
          <w:szCs w:val="21"/>
        </w:rPr>
      </w:pPr>
      <w:r>
        <w:rPr>
          <w:rFonts w:hint="eastAsia" w:ascii="仿宋" w:hAnsi="仿宋" w:eastAsia="仿宋"/>
          <w:b/>
          <w:bCs/>
          <w:sz w:val="21"/>
          <w:szCs w:val="21"/>
        </w:rPr>
        <w:t>七</w:t>
      </w:r>
      <w:r>
        <w:rPr>
          <w:rFonts w:ascii="仿宋" w:hAnsi="仿宋" w:eastAsia="仿宋"/>
          <w:b/>
          <w:bCs/>
          <w:sz w:val="21"/>
          <w:szCs w:val="21"/>
        </w:rPr>
        <w:t>、知识产权</w:t>
      </w:r>
    </w:p>
    <w:p w14:paraId="1E41E882">
      <w:pPr>
        <w:pStyle w:val="97"/>
        <w:numPr>
          <w:ilvl w:val="0"/>
          <w:numId w:val="13"/>
        </w:numPr>
        <w:tabs>
          <w:tab w:val="left" w:pos="0"/>
          <w:tab w:val="clear" w:pos="720"/>
        </w:tabs>
        <w:spacing w:line="360" w:lineRule="auto"/>
        <w:ind w:left="1" w:leftChars="-3" w:hanging="10" w:hangingChars="4"/>
        <w:rPr>
          <w:rFonts w:hint="eastAsia" w:ascii="仿宋" w:hAnsi="仿宋" w:eastAsia="仿宋"/>
          <w:sz w:val="21"/>
          <w:szCs w:val="21"/>
        </w:rPr>
      </w:pPr>
      <w:r>
        <w:rPr>
          <w:rFonts w:ascii="仿宋" w:hAnsi="仿宋" w:eastAsia="仿宋"/>
          <w:sz w:val="21"/>
          <w:szCs w:val="21"/>
        </w:rPr>
        <w:t xml:space="preserve">本委托项目下产生的技术服务成果为甲方所有，甲方拥有本委托项目下专利技术服务成果的专利申请权。 </w:t>
      </w:r>
    </w:p>
    <w:p w14:paraId="618187A2">
      <w:pPr>
        <w:pStyle w:val="97"/>
        <w:numPr>
          <w:ilvl w:val="0"/>
          <w:numId w:val="13"/>
        </w:numPr>
        <w:tabs>
          <w:tab w:val="left" w:pos="0"/>
          <w:tab w:val="clear" w:pos="720"/>
        </w:tabs>
        <w:spacing w:line="360" w:lineRule="auto"/>
        <w:ind w:left="1" w:leftChars="-3" w:hanging="10" w:hangingChars="4"/>
        <w:rPr>
          <w:rFonts w:hint="eastAsia" w:ascii="仿宋" w:hAnsi="仿宋" w:eastAsia="仿宋"/>
          <w:sz w:val="21"/>
          <w:szCs w:val="21"/>
        </w:rPr>
      </w:pPr>
      <w:r>
        <w:rPr>
          <w:rFonts w:ascii="仿宋" w:hAnsi="仿宋" w:eastAsia="仿宋"/>
          <w:sz w:val="21"/>
          <w:szCs w:val="21"/>
        </w:rPr>
        <w:t xml:space="preserve">本委托项目中所使用的属于甲方的知识产权，仍为甲方所有，甲方对这类知识产权的使用承担全部法律责任。甲方保证“甲方知识产权”不会侵犯任何第三方的知识产权。 </w:t>
      </w:r>
    </w:p>
    <w:p w14:paraId="413D4BD6">
      <w:pPr>
        <w:pStyle w:val="97"/>
        <w:numPr>
          <w:ilvl w:val="0"/>
          <w:numId w:val="13"/>
        </w:numPr>
        <w:tabs>
          <w:tab w:val="left" w:pos="0"/>
          <w:tab w:val="clear" w:pos="720"/>
        </w:tabs>
        <w:spacing w:line="360" w:lineRule="auto"/>
        <w:ind w:left="1" w:leftChars="-3" w:hanging="10" w:hangingChars="4"/>
        <w:rPr>
          <w:rFonts w:hint="eastAsia" w:ascii="仿宋" w:hAnsi="仿宋" w:eastAsia="仿宋"/>
          <w:sz w:val="21"/>
          <w:szCs w:val="21"/>
        </w:rPr>
      </w:pPr>
      <w:r>
        <w:rPr>
          <w:rFonts w:ascii="仿宋" w:hAnsi="仿宋" w:eastAsia="仿宋"/>
          <w:sz w:val="21"/>
          <w:szCs w:val="21"/>
        </w:rPr>
        <w:t>本委托项目中所使用的属于乙方的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bookmarkEnd w:id="1"/>
    <w:p w14:paraId="05721CEB">
      <w:pPr>
        <w:pStyle w:val="97"/>
        <w:spacing w:line="360" w:lineRule="auto"/>
        <w:ind w:firstLine="0" w:firstLineChars="0"/>
        <w:rPr>
          <w:rFonts w:hint="eastAsia" w:ascii="仿宋" w:hAnsi="仿宋" w:eastAsia="仿宋"/>
          <w:sz w:val="21"/>
          <w:szCs w:val="21"/>
        </w:rPr>
      </w:pPr>
    </w:p>
    <w:p w14:paraId="619F84B3">
      <w:pPr>
        <w:pStyle w:val="97"/>
        <w:spacing w:line="360" w:lineRule="auto"/>
        <w:ind w:firstLine="0" w:firstLineChars="0"/>
        <w:rPr>
          <w:rFonts w:hint="eastAsia" w:ascii="仿宋" w:hAnsi="仿宋" w:eastAsia="仿宋"/>
          <w:sz w:val="21"/>
          <w:szCs w:val="21"/>
        </w:rPr>
      </w:pPr>
      <w:r>
        <w:rPr>
          <w:rFonts w:hint="eastAsia" w:ascii="仿宋" w:hAnsi="仿宋" w:eastAsia="仿宋"/>
          <w:sz w:val="21"/>
          <w:szCs w:val="21"/>
        </w:rPr>
        <w:br w:type="page"/>
      </w:r>
    </w:p>
    <w:p w14:paraId="26B8150F">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7F0C9DE3">
      <w:pPr>
        <w:rPr>
          <w:rFonts w:hint="eastAsia" w:ascii="仿宋" w:hAnsi="仿宋" w:eastAsia="仿宋" w:cs="仿宋"/>
          <w:b/>
          <w:sz w:val="21"/>
          <w:szCs w:val="21"/>
        </w:rPr>
      </w:pPr>
    </w:p>
    <w:p w14:paraId="22120B92">
      <w:pPr>
        <w:framePr w:hSpace="180" w:wrap="around" w:vAnchor="text" w:hAnchor="margin" w:y="605"/>
        <w:rPr>
          <w:rFonts w:hint="eastAsia" w:ascii="仿宋" w:hAnsi="仿宋" w:eastAsia="仿宋" w:cs="仿宋"/>
        </w:rPr>
      </w:pPr>
      <w:r>
        <w:rPr>
          <w:rFonts w:hint="eastAsia" w:ascii="仿宋" w:hAnsi="仿宋" w:eastAsia="仿宋" w:cs="仿宋"/>
          <w:sz w:val="24"/>
        </w:rPr>
        <w:t xml:space="preserve">   </w:t>
      </w:r>
    </w:p>
    <w:p w14:paraId="2952AE7E">
      <w:pPr>
        <w:kinsoku w:val="0"/>
        <w:wordWrap w:val="0"/>
        <w:topLinePunct/>
        <w:spacing w:line="340" w:lineRule="exact"/>
        <w:rPr>
          <w:rFonts w:hint="eastAsia" w:ascii="仿宋" w:hAnsi="仿宋" w:eastAsia="仿宋" w:cs="仿宋"/>
          <w:b/>
          <w:sz w:val="32"/>
        </w:rPr>
      </w:pPr>
    </w:p>
    <w:p w14:paraId="63FCD211">
      <w:pPr>
        <w:kinsoku w:val="0"/>
        <w:wordWrap w:val="0"/>
        <w:topLinePunct/>
        <w:spacing w:line="340" w:lineRule="exact"/>
        <w:jc w:val="center"/>
        <w:rPr>
          <w:rFonts w:hint="eastAsia" w:ascii="仿宋" w:hAnsi="仿宋" w:eastAsia="仿宋" w:cs="仿宋"/>
          <w:b/>
          <w:sz w:val="32"/>
        </w:rPr>
      </w:pPr>
    </w:p>
    <w:p w14:paraId="7513BC26">
      <w:pPr>
        <w:kinsoku w:val="0"/>
        <w:wordWrap w:val="0"/>
        <w:topLinePunct/>
        <w:spacing w:line="340" w:lineRule="exact"/>
        <w:jc w:val="center"/>
        <w:rPr>
          <w:rFonts w:hint="eastAsia" w:ascii="仿宋_GB2312" w:hAnsi="仿宋" w:cs="仿宋"/>
          <w:b/>
          <w:sz w:val="32"/>
        </w:rPr>
      </w:pPr>
      <w:r>
        <w:rPr>
          <w:rFonts w:hint="eastAsia" w:ascii="仿宋_GB2312" w:hAnsi="仿宋" w:cs="仿宋"/>
          <w:b/>
          <w:sz w:val="32"/>
        </w:rPr>
        <w:t xml:space="preserve">第三部分  </w:t>
      </w:r>
      <w:r>
        <w:rPr>
          <w:rFonts w:hint="eastAsia" w:ascii="仿宋_GB2312" w:hAnsi="仿宋" w:cs="仿宋"/>
          <w:b/>
          <w:sz w:val="32"/>
          <w:u w:val="single"/>
        </w:rPr>
        <w:t xml:space="preserve">       </w:t>
      </w:r>
      <w:r>
        <w:rPr>
          <w:rFonts w:hint="eastAsia" w:ascii="仿宋_GB2312" w:hAnsi="仿宋" w:cs="仿宋"/>
          <w:b/>
          <w:sz w:val="32"/>
        </w:rPr>
        <w:t>合同（参考样本）</w:t>
      </w:r>
    </w:p>
    <w:p w14:paraId="1126062D">
      <w:pPr>
        <w:kinsoku w:val="0"/>
        <w:wordWrap w:val="0"/>
        <w:topLinePunct/>
        <w:spacing w:line="340" w:lineRule="exact"/>
        <w:jc w:val="right"/>
        <w:rPr>
          <w:rFonts w:hint="eastAsia" w:ascii="仿宋_GB2312" w:hAnsi="仿宋" w:cs="仿宋"/>
          <w:sz w:val="24"/>
        </w:rPr>
      </w:pPr>
      <w:r>
        <w:rPr>
          <w:rFonts w:hint="eastAsia" w:ascii="仿宋_GB2312" w:hAnsi="仿宋" w:cs="仿宋"/>
          <w:sz w:val="24"/>
        </w:rPr>
        <w:t xml:space="preserve">                                     合同编号：</w:t>
      </w:r>
      <w:r>
        <w:rPr>
          <w:rFonts w:hint="eastAsia" w:ascii="仿宋_GB2312" w:hAnsi="仿宋" w:cs="仿宋"/>
          <w:sz w:val="24"/>
          <w:u w:val="single"/>
        </w:rPr>
        <w:t xml:space="preserve">         </w:t>
      </w:r>
      <w:r>
        <w:rPr>
          <w:rFonts w:hint="eastAsia" w:ascii="仿宋_GB2312" w:hAnsi="仿宋" w:cs="仿宋"/>
          <w:sz w:val="24"/>
        </w:rPr>
        <w:t>.</w:t>
      </w:r>
    </w:p>
    <w:p w14:paraId="7AC7B64C">
      <w:pPr>
        <w:kinsoku w:val="0"/>
        <w:wordWrap w:val="0"/>
        <w:topLinePunct/>
        <w:spacing w:line="340" w:lineRule="exact"/>
        <w:rPr>
          <w:rFonts w:hint="eastAsia" w:ascii="仿宋_GB2312" w:hAnsi="仿宋" w:cs="仿宋"/>
          <w:sz w:val="24"/>
        </w:rPr>
      </w:pPr>
    </w:p>
    <w:p w14:paraId="5AA98C86">
      <w:pPr>
        <w:kinsoku w:val="0"/>
        <w:wordWrap w:val="0"/>
        <w:topLinePunct/>
        <w:spacing w:line="340" w:lineRule="exact"/>
        <w:rPr>
          <w:rFonts w:hint="eastAsia" w:ascii="仿宋_GB2312" w:hAnsi="仿宋" w:cs="仿宋"/>
          <w:sz w:val="24"/>
        </w:rPr>
      </w:pPr>
      <w:r>
        <w:rPr>
          <w:rFonts w:hint="eastAsia" w:ascii="仿宋_GB2312" w:hAnsi="仿宋" w:cs="仿宋"/>
          <w:sz w:val="24"/>
        </w:rPr>
        <w:t>需  方（甲方）：                        签订地点：汕头大学医学院</w:t>
      </w:r>
    </w:p>
    <w:p w14:paraId="3580E7E4">
      <w:pPr>
        <w:kinsoku w:val="0"/>
        <w:wordWrap w:val="0"/>
        <w:topLinePunct/>
        <w:spacing w:line="340" w:lineRule="exact"/>
        <w:rPr>
          <w:rFonts w:hint="eastAsia" w:ascii="仿宋_GB2312" w:hAnsi="仿宋" w:cs="仿宋"/>
          <w:sz w:val="24"/>
        </w:rPr>
      </w:pPr>
      <w:r>
        <w:rPr>
          <w:rFonts w:hint="eastAsia" w:ascii="仿宋_GB2312" w:hAnsi="仿宋" w:cs="仿宋"/>
          <w:sz w:val="24"/>
        </w:rPr>
        <w:t xml:space="preserve">供  方（乙方）：                      </w:t>
      </w:r>
    </w:p>
    <w:p w14:paraId="2D4CEF4B">
      <w:pPr>
        <w:kinsoku w:val="0"/>
        <w:wordWrap w:val="0"/>
        <w:topLinePunct/>
        <w:spacing w:line="340" w:lineRule="exact"/>
        <w:rPr>
          <w:rFonts w:hint="eastAsia" w:ascii="仿宋_GB2312" w:hAnsi="仿宋" w:cs="仿宋"/>
          <w:sz w:val="24"/>
        </w:rPr>
      </w:pPr>
    </w:p>
    <w:p w14:paraId="7B84E570">
      <w:pPr>
        <w:kinsoku w:val="0"/>
        <w:wordWrap w:val="0"/>
        <w:topLinePunct/>
        <w:spacing w:line="340" w:lineRule="exact"/>
        <w:rPr>
          <w:rFonts w:hint="eastAsia" w:ascii="仿宋_GB2312" w:hAnsi="仿宋" w:cs="仿宋"/>
          <w:sz w:val="21"/>
        </w:rPr>
      </w:pPr>
      <w:r>
        <w:rPr>
          <w:rFonts w:hint="eastAsia" w:ascii="仿宋_GB2312" w:hAnsi="仿宋" w:cs="仿宋"/>
          <w:sz w:val="24"/>
        </w:rPr>
        <w:t xml:space="preserve">    </w:t>
      </w:r>
      <w:r>
        <w:rPr>
          <w:rFonts w:hint="eastAsia" w:ascii="仿宋_GB2312" w:hAnsi="仿宋" w:cs="仿宋"/>
          <w:sz w:val="21"/>
        </w:rPr>
        <w:t>根据《中华人民共和国民法典》及</w:t>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softHyphen/>
      </w:r>
      <w:r>
        <w:rPr>
          <w:rFonts w:hint="eastAsia" w:ascii="仿宋_GB2312" w:hAnsi="仿宋" w:cs="仿宋"/>
          <w:sz w:val="21"/>
        </w:rPr>
        <w:t>______年__月__日汕头大学医学院“</w:t>
      </w:r>
      <w:r>
        <w:rPr>
          <w:rFonts w:hint="eastAsia" w:ascii="仿宋_GB2312" w:hAnsi="仿宋" w:cs="仿宋"/>
          <w:sz w:val="21"/>
          <w:highlight w:val="yellow"/>
        </w:rPr>
        <w:t>汕医招2026- -</w:t>
      </w:r>
      <w:r>
        <w:rPr>
          <w:rFonts w:hint="eastAsia" w:ascii="仿宋_GB2312" w:hAnsi="仿宋" w:cs="仿宋"/>
          <w:sz w:val="21"/>
        </w:rPr>
        <w:t xml:space="preserve"> ”招标文件和依据此文件产生的中标结果，经甲、乙双方平等协商，签订本合同。</w:t>
      </w:r>
    </w:p>
    <w:p w14:paraId="3462E7AF">
      <w:pPr>
        <w:kinsoku w:val="0"/>
        <w:wordWrap w:val="0"/>
        <w:topLinePunct/>
        <w:spacing w:line="340" w:lineRule="exact"/>
        <w:rPr>
          <w:rFonts w:hint="eastAsia" w:ascii="仿宋_GB2312" w:hAnsi="仿宋" w:cs="仿宋"/>
          <w:sz w:val="21"/>
        </w:rPr>
      </w:pPr>
    </w:p>
    <w:p w14:paraId="515EF0ED">
      <w:pPr>
        <w:kinsoku w:val="0"/>
        <w:wordWrap w:val="0"/>
        <w:topLinePunct/>
        <w:spacing w:line="340" w:lineRule="exact"/>
        <w:rPr>
          <w:rFonts w:hint="eastAsia" w:ascii="仿宋_GB2312" w:hAnsi="仿宋" w:cs="仿宋"/>
          <w:sz w:val="21"/>
        </w:rPr>
      </w:pPr>
      <w:r>
        <w:rPr>
          <w:rFonts w:hint="eastAsia" w:ascii="仿宋_GB2312" w:hAnsi="仿宋" w:cs="仿宋"/>
          <w:sz w:val="21"/>
        </w:rPr>
        <w:t>一．下列合同文件是构成本合同不可分割的部分：</w:t>
      </w:r>
    </w:p>
    <w:p w14:paraId="424D9175">
      <w:pPr>
        <w:kinsoku w:val="0"/>
        <w:wordWrap w:val="0"/>
        <w:topLinePunct/>
        <w:spacing w:line="340" w:lineRule="exact"/>
        <w:rPr>
          <w:rFonts w:hint="eastAsia" w:ascii="仿宋_GB2312" w:hAnsi="仿宋" w:cs="仿宋"/>
          <w:sz w:val="21"/>
        </w:rPr>
      </w:pPr>
      <w:r>
        <w:rPr>
          <w:rFonts w:hint="eastAsia" w:ascii="仿宋_GB2312" w:hAnsi="仿宋" w:cs="仿宋"/>
          <w:sz w:val="21"/>
        </w:rPr>
        <w:t>1. 合同条款</w:t>
      </w:r>
    </w:p>
    <w:p w14:paraId="34D21BC8">
      <w:pPr>
        <w:kinsoku w:val="0"/>
        <w:wordWrap w:val="0"/>
        <w:topLinePunct/>
        <w:spacing w:line="340" w:lineRule="exact"/>
        <w:rPr>
          <w:rFonts w:hint="eastAsia" w:ascii="仿宋_GB2312" w:hAnsi="仿宋" w:cs="仿宋"/>
          <w:sz w:val="21"/>
        </w:rPr>
      </w:pPr>
      <w:r>
        <w:rPr>
          <w:rFonts w:hint="eastAsia" w:ascii="仿宋_GB2312" w:hAnsi="仿宋" w:cs="仿宋"/>
          <w:sz w:val="21"/>
        </w:rPr>
        <w:t>2.中标公告</w:t>
      </w:r>
    </w:p>
    <w:p w14:paraId="7B809F2B">
      <w:pPr>
        <w:kinsoku w:val="0"/>
        <w:wordWrap w:val="0"/>
        <w:topLinePunct/>
        <w:spacing w:line="340" w:lineRule="exact"/>
        <w:rPr>
          <w:rFonts w:hint="eastAsia" w:ascii="仿宋_GB2312" w:hAnsi="仿宋" w:cs="仿宋"/>
          <w:sz w:val="21"/>
        </w:rPr>
      </w:pPr>
      <w:r>
        <w:rPr>
          <w:rFonts w:hint="eastAsia" w:ascii="仿宋_GB2312" w:hAnsi="仿宋" w:cs="仿宋"/>
          <w:sz w:val="21"/>
        </w:rPr>
        <w:t>3. 其他文件或材料</w:t>
      </w:r>
    </w:p>
    <w:p w14:paraId="10673AD2">
      <w:pPr>
        <w:kinsoku w:val="0"/>
        <w:wordWrap w:val="0"/>
        <w:topLinePunct/>
        <w:spacing w:line="340" w:lineRule="exact"/>
        <w:rPr>
          <w:rFonts w:hint="eastAsia" w:ascii="仿宋_GB2312" w:hAnsi="仿宋" w:cs="仿宋"/>
          <w:b/>
          <w:sz w:val="21"/>
        </w:rPr>
      </w:pPr>
      <w:r>
        <w:rPr>
          <w:rFonts w:hint="eastAsia" w:ascii="仿宋_GB2312" w:hAnsi="仿宋" w:cs="仿宋"/>
          <w:b/>
          <w:sz w:val="21"/>
        </w:rPr>
        <w:t>二．服务费用报价</w:t>
      </w:r>
    </w:p>
    <w:tbl>
      <w:tblPr>
        <w:tblStyle w:val="22"/>
        <w:tblW w:w="0" w:type="auto"/>
        <w:tblInd w:w="69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45"/>
        <w:gridCol w:w="870"/>
        <w:gridCol w:w="932"/>
        <w:gridCol w:w="1819"/>
        <w:gridCol w:w="1280"/>
        <w:gridCol w:w="1720"/>
      </w:tblGrid>
      <w:tr w14:paraId="1440C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845" w:type="dxa"/>
            <w:tcBorders>
              <w:tl2br w:val="nil"/>
              <w:tr2bl w:val="nil"/>
            </w:tcBorders>
          </w:tcPr>
          <w:p w14:paraId="63484A0D">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服务名称</w:t>
            </w:r>
          </w:p>
          <w:p w14:paraId="674DC4AA">
            <w:pPr>
              <w:kinsoku w:val="0"/>
              <w:wordWrap w:val="0"/>
              <w:topLinePunct/>
              <w:spacing w:line="340" w:lineRule="exact"/>
              <w:rPr>
                <w:rFonts w:hint="eastAsia" w:ascii="仿宋_GB2312" w:hAnsi="仿宋" w:cs="仿宋"/>
                <w:sz w:val="21"/>
                <w:szCs w:val="21"/>
              </w:rPr>
            </w:pPr>
          </w:p>
        </w:tc>
        <w:tc>
          <w:tcPr>
            <w:tcW w:w="870" w:type="dxa"/>
            <w:tcBorders>
              <w:tl2br w:val="nil"/>
              <w:tr2bl w:val="nil"/>
            </w:tcBorders>
          </w:tcPr>
          <w:p w14:paraId="2D7E95D6">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数量</w:t>
            </w:r>
          </w:p>
        </w:tc>
        <w:tc>
          <w:tcPr>
            <w:tcW w:w="932" w:type="dxa"/>
            <w:tcBorders>
              <w:tl2br w:val="nil"/>
              <w:tr2bl w:val="nil"/>
            </w:tcBorders>
          </w:tcPr>
          <w:p w14:paraId="6C46F1AE">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单位</w:t>
            </w:r>
          </w:p>
        </w:tc>
        <w:tc>
          <w:tcPr>
            <w:tcW w:w="1819" w:type="dxa"/>
            <w:tcBorders>
              <w:tl2br w:val="nil"/>
              <w:tr2bl w:val="nil"/>
            </w:tcBorders>
          </w:tcPr>
          <w:p w14:paraId="78B2903A">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提供服务期限</w:t>
            </w:r>
          </w:p>
        </w:tc>
        <w:tc>
          <w:tcPr>
            <w:tcW w:w="1280" w:type="dxa"/>
            <w:tcBorders>
              <w:tl2br w:val="nil"/>
              <w:tr2bl w:val="nil"/>
            </w:tcBorders>
          </w:tcPr>
          <w:p w14:paraId="7553F030">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单价(元)</w:t>
            </w:r>
          </w:p>
        </w:tc>
        <w:tc>
          <w:tcPr>
            <w:tcW w:w="1720" w:type="dxa"/>
            <w:tcBorders>
              <w:tl2br w:val="nil"/>
              <w:tr2bl w:val="nil"/>
            </w:tcBorders>
          </w:tcPr>
          <w:p w14:paraId="303249AA">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总价(元)</w:t>
            </w:r>
          </w:p>
        </w:tc>
      </w:tr>
      <w:tr w14:paraId="6510F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05" w:hRule="atLeast"/>
        </w:trPr>
        <w:tc>
          <w:tcPr>
            <w:tcW w:w="1845" w:type="dxa"/>
            <w:tcBorders>
              <w:tl2br w:val="nil"/>
              <w:tr2bl w:val="nil"/>
            </w:tcBorders>
          </w:tcPr>
          <w:p w14:paraId="14D3CD80">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汕头大学医学院SDB优化治疗临床决策支持系统（SDB-CDSS）技术服务</w:t>
            </w:r>
          </w:p>
        </w:tc>
        <w:tc>
          <w:tcPr>
            <w:tcW w:w="870" w:type="dxa"/>
            <w:tcBorders>
              <w:tl2br w:val="nil"/>
              <w:tr2bl w:val="nil"/>
            </w:tcBorders>
          </w:tcPr>
          <w:p w14:paraId="1C7F6CD0">
            <w:pPr>
              <w:kinsoku w:val="0"/>
              <w:wordWrap w:val="0"/>
              <w:topLinePunct/>
              <w:spacing w:line="340" w:lineRule="exact"/>
              <w:rPr>
                <w:rFonts w:hint="eastAsia" w:ascii="仿宋_GB2312" w:hAnsi="仿宋" w:cs="仿宋"/>
                <w:sz w:val="21"/>
                <w:szCs w:val="21"/>
              </w:rPr>
            </w:pPr>
          </w:p>
        </w:tc>
        <w:tc>
          <w:tcPr>
            <w:tcW w:w="932" w:type="dxa"/>
            <w:tcBorders>
              <w:tl2br w:val="nil"/>
              <w:tr2bl w:val="nil"/>
            </w:tcBorders>
          </w:tcPr>
          <w:p w14:paraId="5F7E1BB6">
            <w:pPr>
              <w:kinsoku w:val="0"/>
              <w:wordWrap w:val="0"/>
              <w:topLinePunct/>
              <w:spacing w:line="340" w:lineRule="exact"/>
              <w:rPr>
                <w:rFonts w:hint="eastAsia" w:ascii="仿宋_GB2312" w:hAnsi="仿宋" w:cs="仿宋"/>
                <w:sz w:val="21"/>
                <w:szCs w:val="21"/>
              </w:rPr>
            </w:pPr>
          </w:p>
        </w:tc>
        <w:tc>
          <w:tcPr>
            <w:tcW w:w="1819" w:type="dxa"/>
            <w:tcBorders>
              <w:tl2br w:val="nil"/>
              <w:tr2bl w:val="nil"/>
            </w:tcBorders>
          </w:tcPr>
          <w:p w14:paraId="03F9FF25">
            <w:pPr>
              <w:kinsoku w:val="0"/>
              <w:wordWrap w:val="0"/>
              <w:topLinePunct/>
              <w:spacing w:line="340" w:lineRule="exact"/>
              <w:rPr>
                <w:rFonts w:hint="eastAsia" w:ascii="仿宋_GB2312" w:hAnsi="仿宋" w:cs="仿宋"/>
                <w:sz w:val="21"/>
                <w:szCs w:val="21"/>
              </w:rPr>
            </w:pPr>
          </w:p>
        </w:tc>
        <w:tc>
          <w:tcPr>
            <w:tcW w:w="1280" w:type="dxa"/>
            <w:tcBorders>
              <w:tl2br w:val="nil"/>
              <w:tr2bl w:val="nil"/>
            </w:tcBorders>
          </w:tcPr>
          <w:p w14:paraId="28BDE2BE">
            <w:pPr>
              <w:kinsoku w:val="0"/>
              <w:wordWrap w:val="0"/>
              <w:topLinePunct/>
              <w:spacing w:line="340" w:lineRule="exact"/>
              <w:rPr>
                <w:rFonts w:hint="eastAsia" w:ascii="仿宋_GB2312" w:hAnsi="仿宋" w:cs="仿宋"/>
                <w:sz w:val="21"/>
                <w:szCs w:val="21"/>
              </w:rPr>
            </w:pPr>
          </w:p>
        </w:tc>
        <w:tc>
          <w:tcPr>
            <w:tcW w:w="1720" w:type="dxa"/>
            <w:tcBorders>
              <w:tl2br w:val="nil"/>
              <w:tr2bl w:val="nil"/>
            </w:tcBorders>
          </w:tcPr>
          <w:p w14:paraId="17B064A0">
            <w:pPr>
              <w:kinsoku w:val="0"/>
              <w:wordWrap w:val="0"/>
              <w:topLinePunct/>
              <w:spacing w:line="340" w:lineRule="exact"/>
              <w:rPr>
                <w:rFonts w:hint="eastAsia" w:ascii="仿宋_GB2312" w:hAnsi="仿宋" w:cs="仿宋"/>
                <w:sz w:val="21"/>
                <w:szCs w:val="21"/>
              </w:rPr>
            </w:pPr>
          </w:p>
        </w:tc>
      </w:tr>
      <w:tr w14:paraId="1C67A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8" w:hRule="atLeast"/>
        </w:trPr>
        <w:tc>
          <w:tcPr>
            <w:tcW w:w="1845" w:type="dxa"/>
            <w:tcBorders>
              <w:tl2br w:val="nil"/>
              <w:tr2bl w:val="nil"/>
            </w:tcBorders>
          </w:tcPr>
          <w:p w14:paraId="575AAF6B">
            <w:pPr>
              <w:kinsoku w:val="0"/>
              <w:wordWrap w:val="0"/>
              <w:topLinePunct/>
              <w:spacing w:line="340" w:lineRule="exact"/>
              <w:rPr>
                <w:rFonts w:hint="eastAsia" w:ascii="仿宋_GB2312" w:hAnsi="_x000B__x000C_"/>
                <w:sz w:val="21"/>
                <w:szCs w:val="21"/>
              </w:rPr>
            </w:pPr>
          </w:p>
          <w:p w14:paraId="4D088D9D">
            <w:pPr>
              <w:kinsoku w:val="0"/>
              <w:wordWrap w:val="0"/>
              <w:topLinePunct/>
              <w:spacing w:line="340" w:lineRule="exact"/>
              <w:rPr>
                <w:rFonts w:hint="eastAsia" w:ascii="仿宋_GB2312" w:hAnsi="_x000B__x000C_"/>
                <w:sz w:val="21"/>
                <w:szCs w:val="21"/>
              </w:rPr>
            </w:pPr>
            <w:r>
              <w:rPr>
                <w:rFonts w:hint="eastAsia" w:ascii="仿宋_GB2312" w:hAnsi="_x000B__x000C_"/>
                <w:sz w:val="21"/>
                <w:szCs w:val="21"/>
              </w:rPr>
              <w:t>总报价</w:t>
            </w:r>
          </w:p>
        </w:tc>
        <w:tc>
          <w:tcPr>
            <w:tcW w:w="6621" w:type="dxa"/>
            <w:gridSpan w:val="5"/>
            <w:tcBorders>
              <w:tl2br w:val="nil"/>
              <w:tr2bl w:val="nil"/>
            </w:tcBorders>
          </w:tcPr>
          <w:p w14:paraId="5C2D8F88">
            <w:pPr>
              <w:kinsoku w:val="0"/>
              <w:wordWrap w:val="0"/>
              <w:topLinePunct/>
              <w:spacing w:line="340" w:lineRule="exact"/>
              <w:rPr>
                <w:rFonts w:hint="eastAsia" w:ascii="仿宋_GB2312" w:hAnsi="仿宋" w:cs="仿宋"/>
                <w:sz w:val="21"/>
                <w:szCs w:val="21"/>
              </w:rPr>
            </w:pPr>
          </w:p>
          <w:p w14:paraId="5AE849E4">
            <w:pPr>
              <w:kinsoku w:val="0"/>
              <w:wordWrap w:val="0"/>
              <w:topLinePunct/>
              <w:spacing w:line="340" w:lineRule="exact"/>
              <w:rPr>
                <w:rFonts w:hint="eastAsia" w:ascii="仿宋_GB2312" w:hAnsi="仿宋" w:cs="仿宋"/>
                <w:sz w:val="21"/>
                <w:szCs w:val="21"/>
              </w:rPr>
            </w:pPr>
            <w:r>
              <w:rPr>
                <w:rFonts w:hint="eastAsia" w:ascii="仿宋_GB2312" w:hAnsi="仿宋" w:cs="仿宋"/>
                <w:sz w:val="21"/>
                <w:szCs w:val="21"/>
              </w:rPr>
              <w:t>大写：                          小写：</w:t>
            </w:r>
          </w:p>
        </w:tc>
      </w:tr>
    </w:tbl>
    <w:p w14:paraId="4FC500FE">
      <w:pPr>
        <w:kinsoku w:val="0"/>
        <w:wordWrap w:val="0"/>
        <w:topLinePunct/>
        <w:spacing w:line="340" w:lineRule="exact"/>
        <w:rPr>
          <w:rFonts w:hint="eastAsia" w:ascii="仿宋_GB2312" w:hAnsi="仿宋" w:cs="仿宋"/>
          <w:b/>
          <w:sz w:val="21"/>
        </w:rPr>
      </w:pPr>
      <w:r>
        <w:rPr>
          <w:rFonts w:hint="eastAsia" w:ascii="仿宋_GB2312" w:hAnsi="仿宋" w:cs="仿宋"/>
          <w:b/>
          <w:sz w:val="21"/>
        </w:rPr>
        <w:t xml:space="preserve">     </w:t>
      </w:r>
    </w:p>
    <w:p w14:paraId="53C3F5A7">
      <w:pPr>
        <w:kinsoku w:val="0"/>
        <w:wordWrap w:val="0"/>
        <w:topLinePunct/>
        <w:spacing w:line="340" w:lineRule="exact"/>
        <w:rPr>
          <w:rFonts w:hint="eastAsia" w:ascii="仿宋_GB2312" w:hAnsi="仿宋" w:cs="仿宋"/>
          <w:b/>
          <w:sz w:val="21"/>
        </w:rPr>
      </w:pPr>
    </w:p>
    <w:p w14:paraId="1FB3D84B">
      <w:pPr>
        <w:numPr>
          <w:ilvl w:val="0"/>
          <w:numId w:val="14"/>
        </w:numPr>
        <w:kinsoku w:val="0"/>
        <w:wordWrap w:val="0"/>
        <w:topLinePunct/>
        <w:spacing w:line="340" w:lineRule="exact"/>
        <w:rPr>
          <w:rFonts w:hint="eastAsia" w:ascii="仿宋_GB2312" w:hAnsi="仿宋" w:cs="仿宋"/>
          <w:b/>
          <w:sz w:val="21"/>
        </w:rPr>
      </w:pPr>
      <w:r>
        <w:rPr>
          <w:rFonts w:hint="eastAsia" w:ascii="仿宋_GB2312" w:hAnsi="仿宋" w:cs="仿宋"/>
          <w:b/>
          <w:sz w:val="21"/>
        </w:rPr>
        <w:t>服务类项目要求及供方对质量负责的条件和期限：</w:t>
      </w:r>
    </w:p>
    <w:p w14:paraId="66A525F8">
      <w:pPr>
        <w:spacing w:line="360" w:lineRule="auto"/>
        <w:outlineLvl w:val="1"/>
        <w:rPr>
          <w:rFonts w:hint="eastAsia" w:ascii="仿宋_GB2312" w:hAnsi="仿宋"/>
          <w:b/>
          <w:bCs/>
          <w:sz w:val="21"/>
          <w:szCs w:val="21"/>
        </w:rPr>
      </w:pPr>
      <w:r>
        <w:rPr>
          <w:rFonts w:hint="eastAsia" w:ascii="仿宋_GB2312" w:hAnsi="仿宋"/>
          <w:b/>
          <w:bCs/>
          <w:sz w:val="21"/>
          <w:szCs w:val="21"/>
        </w:rPr>
        <w:t>（一）服务内容：</w:t>
      </w:r>
    </w:p>
    <w:p w14:paraId="68AE7BE6">
      <w:pPr>
        <w:pStyle w:val="97"/>
        <w:numPr>
          <w:ilvl w:val="0"/>
          <w:numId w:val="15"/>
        </w:numPr>
        <w:spacing w:line="360" w:lineRule="auto"/>
        <w:ind w:left="0" w:firstLine="0" w:firstLineChars="0"/>
        <w:outlineLvl w:val="1"/>
        <w:rPr>
          <w:rFonts w:hint="eastAsia" w:ascii="仿宋_GB2312" w:hAnsi="仿宋"/>
          <w:sz w:val="21"/>
          <w:szCs w:val="21"/>
        </w:rPr>
      </w:pPr>
      <w:r>
        <w:rPr>
          <w:rFonts w:hint="eastAsia" w:ascii="仿宋_GB2312" w:hAnsi="仿宋"/>
          <w:sz w:val="21"/>
          <w:szCs w:val="21"/>
        </w:rPr>
        <w:t>提供基于诊疗知识库的 AI 引擎 SaaS 服务（授权 License）：完成临床与知识类文本结构化、分词、去重、归一化与标准化；对诊疗知识库（指南共识+文献+诊疗规则+药品知识等）及用户请求进行向量化表示，实现多维度循证依据与患者特征精准匹配；GPU 算力资源需要支撑模型推理、检索及训练。</w:t>
      </w:r>
    </w:p>
    <w:p w14:paraId="08D41A79">
      <w:pPr>
        <w:pStyle w:val="97"/>
        <w:numPr>
          <w:ilvl w:val="0"/>
          <w:numId w:val="15"/>
        </w:numPr>
        <w:spacing w:line="360" w:lineRule="auto"/>
        <w:ind w:left="0" w:firstLine="0" w:firstLineChars="0"/>
        <w:outlineLvl w:val="1"/>
        <w:rPr>
          <w:rFonts w:hint="eastAsia" w:ascii="仿宋_GB2312" w:hAnsi="仿宋"/>
          <w:sz w:val="21"/>
          <w:szCs w:val="21"/>
        </w:rPr>
      </w:pPr>
      <w:r>
        <w:rPr>
          <w:rFonts w:hint="eastAsia" w:ascii="仿宋_GB2312" w:hAnsi="仿宋"/>
          <w:sz w:val="21"/>
          <w:szCs w:val="21"/>
        </w:rPr>
        <w:t>提供本项目相关的知识图谱构建和知识关联查询服务：覆盖核心指南、专家经验、脱敏临床数据（≤500条）；支持添加指南&amp;文献/经验/脱敏临床数据；图谱实体关系直接赋能模型训练，优化概率预测精准度；检索知识图谱相关实体属性和关系，并实现多跳查询；多跳查询结果参与概率置信区间校准，输出量化权重。</w:t>
      </w:r>
    </w:p>
    <w:p w14:paraId="4C08475C">
      <w:pPr>
        <w:pStyle w:val="97"/>
        <w:numPr>
          <w:ilvl w:val="0"/>
          <w:numId w:val="15"/>
        </w:numPr>
        <w:spacing w:line="360" w:lineRule="auto"/>
        <w:ind w:left="0" w:firstLine="0" w:firstLineChars="0"/>
        <w:outlineLvl w:val="1"/>
        <w:rPr>
          <w:rFonts w:hint="eastAsia" w:ascii="仿宋_GB2312" w:hAnsi="仿宋"/>
          <w:sz w:val="21"/>
          <w:szCs w:val="21"/>
        </w:rPr>
      </w:pPr>
      <w:r>
        <w:rPr>
          <w:rFonts w:hint="eastAsia" w:ascii="仿宋_GB2312" w:hAnsi="仿宋"/>
          <w:sz w:val="21"/>
          <w:szCs w:val="21"/>
        </w:rPr>
        <w:t>提供相似病例检索服务：检索结果参与概率校准，提升达标概率预测精准度。</w:t>
      </w:r>
    </w:p>
    <w:p w14:paraId="74A65F1F">
      <w:pPr>
        <w:pStyle w:val="97"/>
        <w:numPr>
          <w:ilvl w:val="0"/>
          <w:numId w:val="15"/>
        </w:numPr>
        <w:spacing w:line="360" w:lineRule="auto"/>
        <w:ind w:left="0" w:firstLine="0" w:firstLineChars="0"/>
        <w:outlineLvl w:val="1"/>
        <w:rPr>
          <w:rFonts w:hint="eastAsia" w:ascii="仿宋_GB2312" w:hAnsi="仿宋"/>
          <w:sz w:val="21"/>
          <w:szCs w:val="21"/>
        </w:rPr>
      </w:pPr>
      <w:r>
        <w:rPr>
          <w:rFonts w:hint="eastAsia" w:ascii="仿宋_GB2312" w:hAnsi="仿宋"/>
          <w:sz w:val="21"/>
          <w:szCs w:val="21"/>
        </w:rPr>
        <w:t>提供脱敏病例数据预处理服务：明确数据收集模板及数据移交标准制定，数据清洗、疗效标注、数据集划分。</w:t>
      </w:r>
    </w:p>
    <w:p w14:paraId="2D9C2C23">
      <w:pPr>
        <w:pStyle w:val="97"/>
        <w:numPr>
          <w:ilvl w:val="0"/>
          <w:numId w:val="15"/>
        </w:numPr>
        <w:spacing w:line="360" w:lineRule="auto"/>
        <w:ind w:left="0" w:firstLine="0" w:firstLineChars="0"/>
        <w:outlineLvl w:val="1"/>
        <w:rPr>
          <w:rFonts w:hint="eastAsia" w:ascii="仿宋_GB2312" w:hAnsi="仿宋"/>
          <w:sz w:val="21"/>
          <w:szCs w:val="21"/>
        </w:rPr>
      </w:pPr>
      <w:r>
        <w:rPr>
          <w:rFonts w:hint="eastAsia" w:ascii="仿宋_GB2312" w:hAnsi="仿宋"/>
          <w:sz w:val="21"/>
          <w:szCs w:val="21"/>
        </w:rPr>
        <w:t>提供疗效预测模型训练服务：完成模型训练，交付独立可运行的疗效预测模型，并提供模型的训练代码、参数配置、评估报告及 API 调用接口。</w:t>
      </w:r>
    </w:p>
    <w:p w14:paraId="5B560890">
      <w:pPr>
        <w:spacing w:line="360" w:lineRule="auto"/>
        <w:ind w:left="-664" w:leftChars="-200" w:firstLine="786" w:firstLineChars="300"/>
        <w:outlineLvl w:val="1"/>
        <w:rPr>
          <w:rFonts w:hint="eastAsia" w:ascii="仿宋_GB2312" w:hAnsi="仿宋"/>
          <w:b/>
          <w:bCs/>
          <w:sz w:val="21"/>
          <w:szCs w:val="21"/>
        </w:rPr>
      </w:pPr>
      <w:r>
        <w:rPr>
          <w:rFonts w:hint="eastAsia" w:ascii="仿宋_GB2312" w:hAnsi="仿宋"/>
          <w:b/>
          <w:bCs/>
          <w:sz w:val="21"/>
          <w:szCs w:val="21"/>
        </w:rPr>
        <w:t>（二）服务流程：</w:t>
      </w:r>
    </w:p>
    <w:p w14:paraId="0E9371F4">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需求分析与知识范围确认：根据采购人提供的疾病领域、临床场景及预期功能要求，确定知识图谱覆盖范围、推理任务类型及关键评价指标。</w:t>
      </w:r>
    </w:p>
    <w:p w14:paraId="498757DC">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授权基于诊疗知识库的 AI 引擎 SaaS 服务：知识获取与结构化、向量化，熟悉语义 Hybrid 检索。</w:t>
      </w:r>
    </w:p>
    <w:p w14:paraId="684271EE">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知识图谱构建与质检：从权威资料中抽取、清洗、标准化知识，构建实体—关系—属性三元组库；采用图数据库存储，形成可视化知识网络；对知识一致性、完整性和时效性进行质检，交付初版知识图谱。</w:t>
      </w:r>
    </w:p>
    <w:p w14:paraId="58199D96">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实现相似病例检索：明确相似病例检索核心特征与权重，开发相似度检索算法，检索结果参与概率校准，提升达标概率预测精准度。</w:t>
      </w:r>
    </w:p>
    <w:p w14:paraId="69BF736F">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模型训练与验证：脱敏数据预处理与特征工程，利用标注好的临床病例数据（招标人提供），训练决策推理模型；采用交叉验证、外部验证等方法评估模型性能。</w:t>
      </w:r>
    </w:p>
    <w:p w14:paraId="70BC5166">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集成模型测试校准及部署：深度集成模型，收集专家的测试反馈，进行错误分析与 Bad Case 治理，总结错误原因并提出可能的解决办法，完成验证通过后完成版本部署与上线。</w:t>
      </w:r>
    </w:p>
    <w:p w14:paraId="2D48D8E8">
      <w:pPr>
        <w:pStyle w:val="97"/>
        <w:numPr>
          <w:ilvl w:val="0"/>
          <w:numId w:val="16"/>
        </w:numPr>
        <w:spacing w:line="360" w:lineRule="auto"/>
        <w:ind w:left="0" w:firstLine="0" w:firstLineChars="0"/>
        <w:rPr>
          <w:rFonts w:hint="eastAsia" w:ascii="仿宋_GB2312" w:hAnsi="仿宋"/>
          <w:sz w:val="21"/>
          <w:szCs w:val="21"/>
        </w:rPr>
      </w:pPr>
      <w:r>
        <w:rPr>
          <w:rFonts w:hint="eastAsia" w:ascii="仿宋_GB2312" w:hAnsi="仿宋"/>
          <w:sz w:val="21"/>
          <w:szCs w:val="21"/>
        </w:rPr>
        <w:t>最终交付与培训：交付全部源代码、模型文件、知识库文件、API 文档、测试报告、使用手册，并提供不少于 2 天的现场/远程技术培训。</w:t>
      </w:r>
    </w:p>
    <w:p w14:paraId="0902E5E1">
      <w:pPr>
        <w:pStyle w:val="97"/>
        <w:numPr>
          <w:ilvl w:val="0"/>
          <w:numId w:val="16"/>
        </w:numPr>
        <w:spacing w:line="360" w:lineRule="auto"/>
        <w:ind w:left="0" w:firstLine="0" w:firstLineChars="0"/>
        <w:rPr>
          <w:rFonts w:hint="eastAsia" w:ascii="仿宋_GB2312" w:hAnsi="仿宋"/>
          <w:sz w:val="21"/>
          <w:szCs w:val="21"/>
        </w:rPr>
      </w:pPr>
      <w:bookmarkStart w:id="2" w:name="OLE_LINK1"/>
      <w:r>
        <w:rPr>
          <w:rFonts w:ascii="仿宋_GB2312" w:hAnsi="仿宋"/>
          <w:sz w:val="21"/>
          <w:szCs w:val="21"/>
        </w:rPr>
        <w:t>自合同签订之日起</w:t>
      </w:r>
      <w:r>
        <w:rPr>
          <w:rFonts w:hint="eastAsia" w:ascii="仿宋_GB2312" w:hAnsi="仿宋"/>
          <w:sz w:val="21"/>
          <w:szCs w:val="21"/>
        </w:rPr>
        <w:t>两年内，乙方须协助甲方申请专利和软件著作权。</w:t>
      </w:r>
    </w:p>
    <w:bookmarkEnd w:id="2"/>
    <w:p w14:paraId="5D23A30E">
      <w:pPr>
        <w:spacing w:line="360" w:lineRule="auto"/>
        <w:rPr>
          <w:rFonts w:hint="eastAsia" w:ascii="仿宋_GB2312" w:hAnsi="仿宋"/>
          <w:b/>
          <w:bCs/>
          <w:sz w:val="21"/>
          <w:szCs w:val="21"/>
        </w:rPr>
      </w:pPr>
      <w:r>
        <w:rPr>
          <w:rFonts w:hint="eastAsia" w:ascii="仿宋_GB2312" w:hAnsi="仿宋"/>
          <w:b/>
          <w:bCs/>
          <w:sz w:val="21"/>
          <w:szCs w:val="21"/>
        </w:rPr>
        <w:t>（三）项目交付周期</w:t>
      </w:r>
    </w:p>
    <w:p w14:paraId="131634DC">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乙方承诺，自本合同生效且甲方提供全部经确认的基础数据之日起，在140个自然日（对应20周）内完成全部服务内容，并向甲方交付本合同约定的全部成果。</w:t>
      </w:r>
    </w:p>
    <w:p w14:paraId="1D4E4B34">
      <w:pPr>
        <w:pStyle w:val="97"/>
        <w:numPr>
          <w:ilvl w:val="0"/>
          <w:numId w:val="17"/>
        </w:numPr>
        <w:spacing w:line="360" w:lineRule="auto"/>
        <w:ind w:left="0" w:firstLine="0" w:firstLineChars="0"/>
        <w:rPr>
          <w:rFonts w:hint="eastAsia" w:ascii="仿宋_GB2312" w:hAnsi="仿宋"/>
          <w:sz w:val="21"/>
          <w:szCs w:val="21"/>
        </w:rPr>
      </w:pPr>
      <w:r>
        <w:rPr>
          <w:rFonts w:ascii="仿宋_GB2312" w:hAnsi="仿宋"/>
          <w:sz w:val="21"/>
          <w:szCs w:val="21"/>
        </w:rPr>
        <w:t>因甲方未能按时提供数据、反馈确认或需求变更导致的延期，经双方书面确认后，上述交付周期可相应顺延。</w:t>
      </w:r>
    </w:p>
    <w:p w14:paraId="6494E1F2">
      <w:pPr>
        <w:pStyle w:val="97"/>
        <w:spacing w:line="360" w:lineRule="auto"/>
        <w:ind w:firstLine="0" w:firstLineChars="0"/>
        <w:rPr>
          <w:rFonts w:hint="eastAsia" w:ascii="仿宋_GB2312" w:hAnsi="仿宋"/>
          <w:sz w:val="21"/>
          <w:szCs w:val="21"/>
        </w:rPr>
      </w:pPr>
      <w:r>
        <w:rPr>
          <w:rFonts w:hint="eastAsia" w:ascii="仿宋_GB2312" w:hAnsi="仿宋"/>
          <w:b/>
          <w:bCs/>
          <w:sz w:val="21"/>
          <w:szCs w:val="21"/>
        </w:rPr>
        <w:t>（四）质量要求、技术标准：</w:t>
      </w:r>
    </w:p>
    <w:p w14:paraId="3EACE219">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系统必须满足数据安全与隐私保护要求，对训练数据中的患者敏感信息进行脱敏处理，不得留存原始可识别信息。研发过程中使用的所有数据均限于采购人授权范围内。</w:t>
      </w:r>
    </w:p>
    <w:p w14:paraId="096AA31D">
      <w:pPr>
        <w:pStyle w:val="97"/>
        <w:numPr>
          <w:ilvl w:val="0"/>
          <w:numId w:val="17"/>
        </w:numPr>
        <w:spacing w:line="360" w:lineRule="auto"/>
        <w:ind w:left="0" w:firstLine="0" w:firstLineChars="0"/>
        <w:jc w:val="left"/>
        <w:rPr>
          <w:rFonts w:hint="eastAsia" w:ascii="仿宋_GB2312" w:hAnsi="仿宋"/>
          <w:sz w:val="21"/>
          <w:szCs w:val="21"/>
        </w:rPr>
      </w:pPr>
      <w:r>
        <w:rPr>
          <w:rFonts w:hint="eastAsia" w:ascii="仿宋_GB2312" w:hAnsi="仿宋"/>
          <w:sz w:val="21"/>
          <w:szCs w:val="21"/>
        </w:rPr>
        <w:t>医学专业领域知识图谱：具备医学专业领域知识图谱的构建与质量评估能力，知识图谱构建必须基于严谨的医学证据，每条知识需标注来源及证据等级，确保可追溯、可验证。</w:t>
      </w:r>
    </w:p>
    <w:p w14:paraId="5B0054B1">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疗效预测模型：决策支持模型需具备可解释性，能够对每条推荐结果输出依据，如引用知识图谱中的具体节点、指南/文献来源等。</w:t>
      </w:r>
    </w:p>
    <w:p w14:paraId="36BDFD3E">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相似病例检索：基于多维患者相似度分析，通过特征归一化、NLP 向量提取、分层加权相似度计算，匹配历史病例提供治疗建议。</w:t>
      </w:r>
    </w:p>
    <w:p w14:paraId="31A8FF6D">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医学内容生成与溯源：采用 Hybrid 检索（关键词+语义）+ Reranker 重排；结论绑定医学文献引用，严格溯源，高风险场景强制提示。</w:t>
      </w:r>
    </w:p>
    <w:p w14:paraId="3B5BD283">
      <w:pPr>
        <w:pStyle w:val="97"/>
        <w:numPr>
          <w:ilvl w:val="0"/>
          <w:numId w:val="17"/>
        </w:numPr>
        <w:spacing w:line="360" w:lineRule="auto"/>
        <w:ind w:left="0" w:firstLine="0" w:firstLineChars="0"/>
        <w:rPr>
          <w:rFonts w:hint="eastAsia" w:ascii="仿宋_GB2312" w:hAnsi="仿宋"/>
          <w:sz w:val="21"/>
          <w:szCs w:val="21"/>
        </w:rPr>
      </w:pPr>
      <w:r>
        <w:rPr>
          <w:rFonts w:hint="eastAsia" w:ascii="仿宋_GB2312" w:hAnsi="仿宋"/>
          <w:sz w:val="21"/>
          <w:szCs w:val="21"/>
        </w:rPr>
        <w:t>课题交付验收后，合同期内可免费提供工作时间的售后服务和技术支持。</w:t>
      </w:r>
    </w:p>
    <w:p w14:paraId="4CA7C43B">
      <w:pPr>
        <w:pStyle w:val="97"/>
        <w:spacing w:line="360" w:lineRule="auto"/>
        <w:ind w:firstLine="0" w:firstLineChars="0"/>
        <w:rPr>
          <w:rFonts w:hint="eastAsia" w:ascii="仿宋_GB2312" w:hAnsi="仿宋"/>
          <w:b/>
          <w:bCs/>
          <w:sz w:val="21"/>
          <w:szCs w:val="21"/>
        </w:rPr>
      </w:pPr>
      <w:r>
        <w:rPr>
          <w:rFonts w:hint="eastAsia" w:ascii="仿宋_GB2312" w:hAnsi="仿宋"/>
          <w:b/>
          <w:bCs/>
          <w:sz w:val="21"/>
          <w:szCs w:val="21"/>
        </w:rPr>
        <w:t>（五）验收方式、标准及提出异议期限:</w:t>
      </w:r>
    </w:p>
    <w:p w14:paraId="7BB493E1">
      <w:pPr>
        <w:pStyle w:val="97"/>
        <w:numPr>
          <w:ilvl w:val="0"/>
          <w:numId w:val="18"/>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验收方式：供应商以新增移动端或聚合变量方式交付全部成果物（源代码、知识库、模型文件、文档）。所有交付物需通过专为本项目搭建的独立测试环境验证运行。</w:t>
      </w:r>
    </w:p>
    <w:p w14:paraId="599A0AB5">
      <w:pPr>
        <w:pStyle w:val="97"/>
        <w:numPr>
          <w:ilvl w:val="0"/>
          <w:numId w:val="18"/>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验收标准：全部功能上线，关键指标：检索准确率 top10 ≥80%；首 token 响应时间≤5秒；相关度≥95%；流式输出平均50秒。</w:t>
      </w:r>
    </w:p>
    <w:p w14:paraId="0599B838">
      <w:pPr>
        <w:pStyle w:val="97"/>
        <w:numPr>
          <w:ilvl w:val="0"/>
          <w:numId w:val="18"/>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提出异议期限：甲方在收到交付物后如有异议，需在14个工作日内向乙方提出书面异议。如逾期未提出书面异议的，视为验收通过。</w:t>
      </w:r>
    </w:p>
    <w:p w14:paraId="006E499A">
      <w:pPr>
        <w:pStyle w:val="97"/>
        <w:spacing w:line="360" w:lineRule="auto"/>
        <w:ind w:firstLine="0" w:firstLineChars="0"/>
        <w:rPr>
          <w:rFonts w:hint="eastAsia" w:ascii="仿宋_GB2312" w:hAnsi="仿宋"/>
          <w:b/>
          <w:bCs/>
          <w:sz w:val="21"/>
          <w:szCs w:val="21"/>
        </w:rPr>
      </w:pPr>
      <w:r>
        <w:rPr>
          <w:rFonts w:hint="eastAsia" w:ascii="仿宋_GB2312" w:hAnsi="仿宋"/>
          <w:b/>
          <w:bCs/>
          <w:sz w:val="21"/>
          <w:szCs w:val="21"/>
        </w:rPr>
        <w:t>（六）结算方式</w:t>
      </w:r>
    </w:p>
    <w:p w14:paraId="6F78EEBA">
      <w:pPr>
        <w:pStyle w:val="97"/>
        <w:numPr>
          <w:ilvl w:val="0"/>
          <w:numId w:val="19"/>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在合同生效后30个工作日内，甲方凭乙方开具的增值税专用发票向乙方支付合同总额30%的预付款项；</w:t>
      </w:r>
    </w:p>
    <w:p w14:paraId="0D6B3FE6">
      <w:pPr>
        <w:pStyle w:val="97"/>
        <w:numPr>
          <w:ilvl w:val="0"/>
          <w:numId w:val="19"/>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乙方完成知识图谱构建及初步模型训练后，经甲方阶段性验收通过后</w:t>
      </w:r>
      <w:r>
        <w:rPr>
          <w:rFonts w:ascii="仿宋_GB2312" w:hAnsi="仿宋"/>
          <w:color w:val="000000" w:themeColor="text1"/>
          <w:sz w:val="21"/>
          <w:szCs w:val="21"/>
          <w14:textFill>
            <w14:solidFill>
              <w14:schemeClr w14:val="tx1"/>
            </w14:solidFill>
          </w14:textFill>
        </w:rPr>
        <w:t>30</w:t>
      </w:r>
      <w:r>
        <w:rPr>
          <w:rFonts w:hint="eastAsia" w:ascii="仿宋_GB2312" w:hAnsi="仿宋"/>
          <w:color w:val="000000" w:themeColor="text1"/>
          <w:sz w:val="21"/>
          <w:szCs w:val="21"/>
          <w14:textFill>
            <w14:solidFill>
              <w14:schemeClr w14:val="tx1"/>
            </w14:solidFill>
          </w14:textFill>
        </w:rPr>
        <w:t>个工作日内，甲方凭乙方开具的增值税专用发票支付合同总额50%的进度款；</w:t>
      </w:r>
    </w:p>
    <w:p w14:paraId="667F0470">
      <w:pPr>
        <w:pStyle w:val="97"/>
        <w:numPr>
          <w:ilvl w:val="0"/>
          <w:numId w:val="19"/>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乙方完成集成模型测试校准、部署及全部成果交付工作，经甲方最终验收通过后3</w:t>
      </w:r>
      <w:r>
        <w:rPr>
          <w:rFonts w:ascii="仿宋_GB2312" w:hAnsi="仿宋"/>
          <w:color w:val="000000" w:themeColor="text1"/>
          <w:sz w:val="21"/>
          <w:szCs w:val="21"/>
          <w14:textFill>
            <w14:solidFill>
              <w14:schemeClr w14:val="tx1"/>
            </w14:solidFill>
          </w14:textFill>
        </w:rPr>
        <w:t>0</w:t>
      </w:r>
      <w:r>
        <w:rPr>
          <w:rFonts w:hint="eastAsia" w:ascii="仿宋_GB2312" w:hAnsi="仿宋"/>
          <w:color w:val="000000" w:themeColor="text1"/>
          <w:sz w:val="21"/>
          <w:szCs w:val="21"/>
          <w14:textFill>
            <w14:solidFill>
              <w14:schemeClr w14:val="tx1"/>
            </w14:solidFill>
          </w14:textFill>
        </w:rPr>
        <w:t>个工作日内，甲方凭乙方开具的增值税专用发票向乙方支付合同总额20%的剩余款项。</w:t>
      </w:r>
    </w:p>
    <w:p w14:paraId="234B9DFE">
      <w:pPr>
        <w:spacing w:line="360" w:lineRule="auto"/>
        <w:rPr>
          <w:rFonts w:hint="eastAsia" w:ascii="仿宋_GB2312" w:hAnsi="仿宋"/>
          <w:b/>
          <w:bCs/>
          <w:sz w:val="21"/>
          <w:szCs w:val="21"/>
        </w:rPr>
      </w:pPr>
      <w:r>
        <w:rPr>
          <w:rFonts w:hint="eastAsia" w:ascii="仿宋_GB2312" w:hAnsi="仿宋"/>
          <w:b/>
          <w:bCs/>
          <w:sz w:val="21"/>
          <w:szCs w:val="21"/>
        </w:rPr>
        <w:t>（七）知识产权</w:t>
      </w:r>
    </w:p>
    <w:p w14:paraId="26F8CD80">
      <w:pPr>
        <w:pStyle w:val="97"/>
        <w:numPr>
          <w:ilvl w:val="0"/>
          <w:numId w:val="13"/>
        </w:numPr>
        <w:tabs>
          <w:tab w:val="left" w:pos="0"/>
          <w:tab w:val="clear" w:pos="720"/>
        </w:tabs>
        <w:spacing w:line="360" w:lineRule="auto"/>
        <w:ind w:left="1" w:leftChars="-3" w:hanging="10" w:hangingChars="4"/>
        <w:rPr>
          <w:rFonts w:hint="eastAsia" w:ascii="仿宋_GB2312" w:hAnsi="仿宋"/>
          <w:sz w:val="21"/>
          <w:szCs w:val="21"/>
        </w:rPr>
      </w:pPr>
      <w:r>
        <w:rPr>
          <w:rFonts w:hint="eastAsia" w:ascii="仿宋_GB2312" w:hAnsi="仿宋"/>
          <w:sz w:val="21"/>
          <w:szCs w:val="21"/>
        </w:rPr>
        <w:t xml:space="preserve">本委托项目下产生的技术服务成果为甲方所有，甲方拥有本委托项目下专利技术服务成果的专利申请权。 </w:t>
      </w:r>
    </w:p>
    <w:p w14:paraId="31F07221">
      <w:pPr>
        <w:pStyle w:val="97"/>
        <w:numPr>
          <w:ilvl w:val="0"/>
          <w:numId w:val="13"/>
        </w:numPr>
        <w:tabs>
          <w:tab w:val="left" w:pos="0"/>
          <w:tab w:val="clear" w:pos="720"/>
        </w:tabs>
        <w:spacing w:line="360" w:lineRule="auto"/>
        <w:ind w:left="1" w:leftChars="-3" w:hanging="10" w:hangingChars="4"/>
        <w:rPr>
          <w:rFonts w:hint="eastAsia" w:ascii="仿宋_GB2312" w:hAnsi="仿宋"/>
          <w:sz w:val="21"/>
          <w:szCs w:val="21"/>
        </w:rPr>
      </w:pPr>
      <w:r>
        <w:rPr>
          <w:rFonts w:hint="eastAsia" w:ascii="仿宋_GB2312" w:hAnsi="仿宋"/>
          <w:sz w:val="21"/>
          <w:szCs w:val="21"/>
        </w:rPr>
        <w:t xml:space="preserve">本委托项目中所使用的属于甲方的知识产权，仍为甲方所有，甲方对这类知识产权的使用承担全部法律责任。甲方保证“甲方知识产权”不会侵犯任何第三方的知识产权。 </w:t>
      </w:r>
    </w:p>
    <w:p w14:paraId="70573287">
      <w:pPr>
        <w:pStyle w:val="97"/>
        <w:numPr>
          <w:ilvl w:val="0"/>
          <w:numId w:val="13"/>
        </w:numPr>
        <w:tabs>
          <w:tab w:val="left" w:pos="0"/>
          <w:tab w:val="clear" w:pos="720"/>
        </w:tabs>
        <w:spacing w:line="360" w:lineRule="auto"/>
        <w:ind w:left="1" w:leftChars="-3" w:hanging="10" w:hangingChars="4"/>
        <w:rPr>
          <w:rFonts w:hint="eastAsia" w:ascii="仿宋_GB2312" w:hAnsi="仿宋"/>
          <w:sz w:val="21"/>
          <w:szCs w:val="21"/>
        </w:rPr>
      </w:pPr>
      <w:r>
        <w:rPr>
          <w:rFonts w:hint="eastAsia" w:ascii="仿宋_GB2312" w:hAnsi="仿宋"/>
          <w:sz w:val="21"/>
          <w:szCs w:val="21"/>
        </w:rPr>
        <w:t>本委托项目中所使用的属于乙方的知识产权仍为乙方所有，乙方对这类知识产权的使用承担全部法律责任，乙方对乙方知识产权的任何改进、优化等仍归属乙方所有。乙方在此给予甲方一个有限许可，使甲方为科研目的、为实现本合同项目成果以不可转让、不可分许可之形式使用“乙方知识产权”。乙方保证“乙方知识产权”不会侵犯任何第三方的知识产权。</w:t>
      </w:r>
    </w:p>
    <w:p w14:paraId="608E60D6">
      <w:pPr>
        <w:pStyle w:val="97"/>
        <w:spacing w:line="360" w:lineRule="auto"/>
        <w:ind w:firstLine="0" w:firstLineChars="0"/>
        <w:rPr>
          <w:rFonts w:hint="eastAsia" w:ascii="仿宋_GB2312" w:hAnsi="仿宋"/>
          <w:b/>
          <w:bCs/>
          <w:sz w:val="21"/>
          <w:szCs w:val="21"/>
        </w:rPr>
      </w:pPr>
      <w:r>
        <w:rPr>
          <w:rFonts w:hint="eastAsia" w:ascii="仿宋_GB2312" w:hAnsi="仿宋"/>
          <w:b/>
          <w:bCs/>
          <w:sz w:val="21"/>
          <w:szCs w:val="21"/>
        </w:rPr>
        <w:t>（八）违约责任</w:t>
      </w:r>
    </w:p>
    <w:p w14:paraId="176681C3">
      <w:pPr>
        <w:pStyle w:val="97"/>
        <w:numPr>
          <w:ilvl w:val="0"/>
          <w:numId w:val="20"/>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如因乙方原因，在合同约定的服务流程阶段（如知识图谱构建阶段）无法达到约定的质量指标或无法交付可运行的产品，甲方有权要求乙方按照要求进行整改，并有权拒绝支付未执行部分的款项。</w:t>
      </w:r>
    </w:p>
    <w:p w14:paraId="528CE45D">
      <w:pPr>
        <w:pStyle w:val="97"/>
        <w:numPr>
          <w:ilvl w:val="0"/>
          <w:numId w:val="20"/>
        </w:numPr>
        <w:tabs>
          <w:tab w:val="left" w:pos="0"/>
        </w:tabs>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乙方如无正当理由提前终止合同，甲方已支付且未执行部分的费用及已交付的中间成果应当全部退还给甲方。</w:t>
      </w:r>
    </w:p>
    <w:p w14:paraId="0221AB6A">
      <w:pPr>
        <w:pStyle w:val="97"/>
        <w:numPr>
          <w:ilvl w:val="0"/>
          <w:numId w:val="20"/>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如因甲方或乙方单方原因导致项目未在本合同约定的总交付周期内完成最终验收（以双方协商日期为准），自超出期限次日起，每迟延一日，违约方须向履约方支付合同总额0.</w:t>
      </w:r>
      <w:r>
        <w:rPr>
          <w:rFonts w:ascii="仿宋_GB2312" w:hAnsi="仿宋"/>
          <w:color w:val="000000" w:themeColor="text1"/>
          <w:sz w:val="21"/>
          <w:szCs w:val="21"/>
          <w14:textFill>
            <w14:solidFill>
              <w14:schemeClr w14:val="tx1"/>
            </w14:solidFill>
          </w14:textFill>
        </w:rPr>
        <w:t>1</w:t>
      </w:r>
      <w:r>
        <w:rPr>
          <w:rFonts w:hint="eastAsia" w:ascii="仿宋_GB2312" w:hAnsi="仿宋"/>
          <w:color w:val="000000" w:themeColor="text1"/>
          <w:sz w:val="21"/>
          <w:szCs w:val="21"/>
          <w14:textFill>
            <w14:solidFill>
              <w14:schemeClr w14:val="tx1"/>
            </w14:solidFill>
          </w14:textFill>
        </w:rPr>
        <w:t>% 的违约金，累计上限不超过合同总额的20%；迟延超过30日的，守约方有权单方解除合同。</w:t>
      </w:r>
    </w:p>
    <w:p w14:paraId="60B9BD00">
      <w:pPr>
        <w:pStyle w:val="97"/>
        <w:numPr>
          <w:ilvl w:val="0"/>
          <w:numId w:val="20"/>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如乙方交付的任何阶段成果（知识图谱、预测模型、最终系统等）未通过甲方验收，乙方应在甲方要求的合理期限内免费修正或重做。如因乙方过错提供的项目成果不符合合同规定时，甲方有权拒收并要求乙方应重新提供符合合同规定的服务。</w:t>
      </w:r>
    </w:p>
    <w:p w14:paraId="50948B62">
      <w:pPr>
        <w:pStyle w:val="97"/>
        <w:numPr>
          <w:ilvl w:val="0"/>
          <w:numId w:val="20"/>
        </w:numPr>
        <w:tabs>
          <w:tab w:val="left" w:pos="0"/>
        </w:tabs>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若由于甲方单方面要求终止项目，则甲方应支付乙方已完成项目阶段的费用，乙方应将已完成阶段的项目成果交付给甲方。</w:t>
      </w:r>
    </w:p>
    <w:p w14:paraId="6DB40C09">
      <w:pPr>
        <w:pStyle w:val="97"/>
        <w:numPr>
          <w:ilvl w:val="0"/>
          <w:numId w:val="20"/>
        </w:numPr>
        <w:tabs>
          <w:tab w:val="left" w:pos="0"/>
        </w:tabs>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ascii="仿宋_GB2312" w:hAnsi="仿宋"/>
          <w:color w:val="000000" w:themeColor="text1"/>
          <w:sz w:val="21"/>
          <w:szCs w:val="21"/>
          <w14:textFill>
            <w14:solidFill>
              <w14:schemeClr w14:val="tx1"/>
            </w14:solidFill>
          </w14:textFill>
        </w:rPr>
        <w:t>本项目核心服务内容（知识图谱构建、模型训练）不得转包或变相转包。若乙方未经甲方书面同意擅自转包，甲方有权立即解除合同，乙方须并向甲方支付合同总额</w:t>
      </w:r>
      <w:r>
        <w:rPr>
          <w:rFonts w:ascii="仿宋_GB2312" w:hAnsi="仿宋"/>
          <w:b/>
          <w:bCs/>
          <w:color w:val="000000" w:themeColor="text1"/>
          <w:sz w:val="21"/>
          <w:szCs w:val="21"/>
          <w14:textFill>
            <w14:solidFill>
              <w14:schemeClr w14:val="tx1"/>
            </w14:solidFill>
          </w14:textFill>
        </w:rPr>
        <w:t>20%</w:t>
      </w:r>
      <w:r>
        <w:rPr>
          <w:rFonts w:ascii="Calibri" w:hAnsi="Calibri" w:cs="Calibri"/>
          <w:color w:val="000000" w:themeColor="text1"/>
          <w:sz w:val="21"/>
          <w:szCs w:val="21"/>
          <w14:textFill>
            <w14:solidFill>
              <w14:schemeClr w14:val="tx1"/>
            </w14:solidFill>
          </w14:textFill>
        </w:rPr>
        <w:t> </w:t>
      </w:r>
      <w:r>
        <w:rPr>
          <w:rFonts w:ascii="仿宋_GB2312" w:hAnsi="仿宋"/>
          <w:color w:val="000000" w:themeColor="text1"/>
          <w:sz w:val="21"/>
          <w:szCs w:val="21"/>
          <w14:textFill>
            <w14:solidFill>
              <w14:schemeClr w14:val="tx1"/>
            </w14:solidFill>
          </w14:textFill>
        </w:rPr>
        <w:t>的违约金。</w:t>
      </w:r>
    </w:p>
    <w:p w14:paraId="1C06F9DA">
      <w:pPr>
        <w:pStyle w:val="97"/>
        <w:spacing w:line="360" w:lineRule="auto"/>
        <w:ind w:firstLine="0" w:firstLineChars="0"/>
        <w:rPr>
          <w:rFonts w:hint="eastAsia" w:ascii="仿宋_GB2312" w:hAnsi="仿宋"/>
          <w:sz w:val="21"/>
          <w:szCs w:val="21"/>
        </w:rPr>
      </w:pPr>
      <w:r>
        <w:rPr>
          <w:rFonts w:ascii="仿宋_GB2312" w:hAnsi="仿宋"/>
          <w:b/>
          <w:bCs/>
          <w:sz w:val="21"/>
          <w:szCs w:val="21"/>
        </w:rPr>
        <w:t>（</w:t>
      </w:r>
      <w:r>
        <w:rPr>
          <w:rFonts w:hint="eastAsia" w:ascii="仿宋_GB2312" w:hAnsi="仿宋"/>
          <w:b/>
          <w:bCs/>
          <w:sz w:val="21"/>
          <w:szCs w:val="21"/>
        </w:rPr>
        <w:t>九</w:t>
      </w:r>
      <w:r>
        <w:rPr>
          <w:rFonts w:ascii="仿宋_GB2312" w:hAnsi="仿宋"/>
          <w:b/>
          <w:bCs/>
          <w:sz w:val="21"/>
          <w:szCs w:val="21"/>
        </w:rPr>
        <w:t>）服务成果的追溯</w:t>
      </w:r>
    </w:p>
    <w:p w14:paraId="4CD40A38">
      <w:pPr>
        <w:pStyle w:val="97"/>
        <w:numPr>
          <w:ilvl w:val="0"/>
          <w:numId w:val="21"/>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甲方有义务在验收前进行充分的测试，只要验收通过，视为甲方认可交付成果的质量。若甲方在验收通过后才提出修改意见或缺陷主张，双方可协商解决。在合同期内，若甲方提供充分证据证明乙方交付的源代码、模型、知识图谱或技术报告存在重大缺陷（导致核心功能完全不可用的缺陷）、数据造假，且该等问题在验收时通过双方约定的测试方法无法合理发现的，甲方应书面通知乙方，乙方有权在30日内进行核实并修复。</w:t>
      </w:r>
    </w:p>
    <w:p w14:paraId="7D98F42F">
      <w:pPr>
        <w:pStyle w:val="97"/>
        <w:numPr>
          <w:ilvl w:val="0"/>
          <w:numId w:val="21"/>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hint="eastAsia" w:ascii="仿宋_GB2312" w:hAnsi="仿宋"/>
          <w:color w:val="000000" w:themeColor="text1"/>
          <w:sz w:val="21"/>
          <w:szCs w:val="21"/>
          <w14:textFill>
            <w14:solidFill>
              <w14:schemeClr w14:val="tx1"/>
            </w14:solidFill>
          </w14:textFill>
        </w:rPr>
        <w:t>若</w:t>
      </w:r>
      <w:r>
        <w:rPr>
          <w:rFonts w:ascii="仿宋_GB2312" w:hAnsi="仿宋"/>
          <w:color w:val="000000" w:themeColor="text1"/>
          <w:sz w:val="21"/>
          <w:szCs w:val="21"/>
          <w14:textFill>
            <w14:solidFill>
              <w14:schemeClr w14:val="tx1"/>
            </w14:solidFill>
          </w14:textFill>
        </w:rPr>
        <w:t>发生上款情形的，乙方应</w:t>
      </w:r>
      <w:r>
        <w:rPr>
          <w:rFonts w:hint="eastAsia" w:ascii="仿宋_GB2312" w:hAnsi="仿宋"/>
          <w:color w:val="000000" w:themeColor="text1"/>
          <w:sz w:val="21"/>
          <w:szCs w:val="21"/>
          <w14:textFill>
            <w14:solidFill>
              <w14:schemeClr w14:val="tx1"/>
            </w14:solidFill>
          </w14:textFill>
        </w:rPr>
        <w:t>免费修复或替换。</w:t>
      </w:r>
    </w:p>
    <w:p w14:paraId="6FDCBA37">
      <w:pPr>
        <w:pStyle w:val="97"/>
        <w:numPr>
          <w:ilvl w:val="0"/>
          <w:numId w:val="21"/>
        </w:numPr>
        <w:spacing w:line="360" w:lineRule="auto"/>
        <w:ind w:left="0" w:firstLine="0" w:firstLineChars="0"/>
        <w:rPr>
          <w:rFonts w:hint="eastAsia" w:ascii="仿宋_GB2312" w:hAnsi="仿宋"/>
          <w:color w:val="000000" w:themeColor="text1"/>
          <w:sz w:val="21"/>
          <w:szCs w:val="21"/>
          <w14:textFill>
            <w14:solidFill>
              <w14:schemeClr w14:val="tx1"/>
            </w14:solidFill>
          </w14:textFill>
        </w:rPr>
      </w:pPr>
      <w:r>
        <w:rPr>
          <w:rFonts w:ascii="仿宋_GB2312" w:hAnsi="仿宋"/>
          <w:color w:val="000000" w:themeColor="text1"/>
          <w:sz w:val="21"/>
          <w:szCs w:val="21"/>
          <w14:textFill>
            <w14:solidFill>
              <w14:schemeClr w14:val="tx1"/>
            </w14:solidFill>
          </w14:textFill>
        </w:rPr>
        <w:t>知识产权侵权追溯保证：乙方保证</w:t>
      </w:r>
      <w:r>
        <w:rPr>
          <w:rFonts w:hint="eastAsia" w:ascii="仿宋_GB2312" w:hAnsi="仿宋"/>
          <w:color w:val="000000" w:themeColor="text1"/>
          <w:sz w:val="21"/>
          <w:szCs w:val="21"/>
          <w14:textFill>
            <w14:solidFill>
              <w14:schemeClr w14:val="tx1"/>
            </w14:solidFill>
          </w14:textFill>
        </w:rPr>
        <w:t>，非因甲方原因，乙方</w:t>
      </w:r>
      <w:r>
        <w:rPr>
          <w:rFonts w:ascii="仿宋_GB2312" w:hAnsi="仿宋"/>
          <w:color w:val="000000" w:themeColor="text1"/>
          <w:sz w:val="21"/>
          <w:szCs w:val="21"/>
          <w14:textFill>
            <w14:solidFill>
              <w14:schemeClr w14:val="tx1"/>
            </w14:solidFill>
          </w14:textFill>
        </w:rPr>
        <w:t>交付的全部成果不侵犯任何第三方知识产权。</w:t>
      </w:r>
    </w:p>
    <w:p w14:paraId="206FEDC3">
      <w:pPr>
        <w:pStyle w:val="97"/>
        <w:spacing w:line="360" w:lineRule="auto"/>
        <w:ind w:firstLine="0" w:firstLineChars="0"/>
        <w:rPr>
          <w:rFonts w:hint="eastAsia" w:ascii="仿宋_GB2312" w:hAnsi="仿宋" w:cs="仿宋"/>
          <w:b/>
          <w:bCs/>
          <w:sz w:val="21"/>
          <w:szCs w:val="21"/>
        </w:rPr>
      </w:pPr>
      <w:r>
        <w:rPr>
          <w:rFonts w:hint="eastAsia" w:ascii="仿宋_GB2312" w:hAnsi="仿宋" w:cs="仿宋"/>
          <w:b/>
          <w:bCs/>
          <w:sz w:val="21"/>
          <w:szCs w:val="21"/>
        </w:rPr>
        <w:t>（十）</w:t>
      </w:r>
      <w:r>
        <w:rPr>
          <w:rFonts w:hint="eastAsia" w:ascii="仿宋_GB2312" w:hAnsi="仿宋"/>
          <w:b/>
          <w:bCs/>
          <w:sz w:val="21"/>
          <w:szCs w:val="21"/>
        </w:rPr>
        <w:t>双方责任与违约条款</w:t>
      </w:r>
      <w:r>
        <w:rPr>
          <w:rFonts w:hint="eastAsia" w:ascii="仿宋_GB2312" w:hAnsi="仿宋" w:cs="仿宋"/>
          <w:b/>
          <w:bCs/>
          <w:sz w:val="21"/>
          <w:szCs w:val="21"/>
        </w:rPr>
        <w:t xml:space="preserve">： </w:t>
      </w:r>
    </w:p>
    <w:p w14:paraId="3FA2E2C1">
      <w:pPr>
        <w:pStyle w:val="97"/>
        <w:numPr>
          <w:ilvl w:val="0"/>
          <w:numId w:val="22"/>
        </w:numPr>
        <w:spacing w:line="360" w:lineRule="auto"/>
        <w:ind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甲方责任</w:t>
      </w:r>
    </w:p>
    <w:p w14:paraId="66E1DF5A">
      <w:pPr>
        <w:pStyle w:val="97"/>
        <w:numPr>
          <w:ilvl w:val="0"/>
          <w:numId w:val="23"/>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甲方应按照本合同约定及时向乙方提供项目实施所需的资料、数据、样本材料、业务需求、验收标准及其他必要协助，并保证其提供资料、数据及样本材料来源合法、真实、完整、有效。</w:t>
      </w:r>
    </w:p>
    <w:p w14:paraId="0242665A">
      <w:pPr>
        <w:pStyle w:val="97"/>
        <w:numPr>
          <w:ilvl w:val="0"/>
          <w:numId w:val="23"/>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因甲方迟延提供、不能提供或拒绝提供本合同约定的资料、数据、样本材料、临床需求确认、验收反馈等，导致项目进度延误、中止或终止的，乙方不承担相应违约责任；因此增加的工作量、成本或乙方已实际发生的费用，由甲方承担。</w:t>
      </w:r>
    </w:p>
    <w:p w14:paraId="485D3854">
      <w:pPr>
        <w:pStyle w:val="97"/>
        <w:numPr>
          <w:ilvl w:val="0"/>
          <w:numId w:val="23"/>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甲方应按照合同约定的付款节点及时向乙方支付相应款项。甲方逾期付款的，应在乙方书面催告后及时支付；因甲方逾期付款导致项目暂停、延期或交付延迟的，乙方不承担相应违约责任。</w:t>
      </w:r>
    </w:p>
    <w:p w14:paraId="3B46B9BF">
      <w:pPr>
        <w:pStyle w:val="97"/>
        <w:numPr>
          <w:ilvl w:val="0"/>
          <w:numId w:val="23"/>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甲方应对其提供的患者信息、临床数据、样本材料及相关资料进行必要的脱敏、授权及合规审查。因甲方提供的数据、样本或资料存在权属瑕疵、授权不足、违法违规或侵犯第三方合法权益而引发的责任，由甲方自行承担；乙方因此遭受损失的，甲方应予以赔偿。</w:t>
      </w:r>
    </w:p>
    <w:p w14:paraId="2350ACF4">
      <w:pPr>
        <w:pStyle w:val="97"/>
        <w:numPr>
          <w:ilvl w:val="0"/>
          <w:numId w:val="23"/>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甲方基于本合同项下产生的成果或乙方向甲方交付的成果进行后续利用、改造、开发、发表、申报、推广、商业化或其他活动的，应自行承担相应法律责任。除因乙方交付成果本身存在过错外，该等后续行为或活动与乙方无关。</w:t>
      </w:r>
    </w:p>
    <w:p w14:paraId="6907DAF0">
      <w:pPr>
        <w:pStyle w:val="97"/>
        <w:numPr>
          <w:ilvl w:val="0"/>
          <w:numId w:val="22"/>
        </w:numPr>
        <w:spacing w:line="360" w:lineRule="auto"/>
        <w:ind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乙方责任</w:t>
      </w:r>
    </w:p>
    <w:p w14:paraId="6D672245">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乙方应按照本合同约定的服务内容、技术路线、服务流程、质量要求及交付期限开展技术服务工作，并按阶段向甲方告知项目进度。</w:t>
      </w:r>
    </w:p>
    <w:p w14:paraId="289A9F4A">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如因乙方过错导致项目迟延的，乙方应及时与甲方沟通，说明迟延原因、影响范围及补救措施，并与甲方协商延期安排。经双方协商一致后，乙方可根据实际迟延情况减免相应部分服务费用或采取其他补救措施。</w:t>
      </w:r>
    </w:p>
    <w:p w14:paraId="4EDD94DA">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如因乙方过错导致项目无法完成、项目失败或无法交付符合合同约定的成果，乙方应重新提供相应服务；经重新服务后仍无法达到合同约定要求的，乙方应向甲方支付本合同总金额的10%作为违约金。</w:t>
      </w:r>
    </w:p>
    <w:p w14:paraId="25A4472A">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如因乙方过错导致交付的项目成果不符合双方约定的质量要求、技术标准或验收标准，甲方有权要求乙方在合理期限内进行修改、补正或重新免费提供相关服务。</w:t>
      </w:r>
    </w:p>
    <w:p w14:paraId="2A4AD32D">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应保证其交付给甲方的研究开发成果不侵犯任何第三人的合法权益。因乙方原因导致交付成果侵犯第三方知识产权或其他合法权益的，由乙方承担相应法律责任；因此给甲方造成损失的，乙方应承担赔偿责任。如因甲方原因导致的，乙方不承担违约责任。</w:t>
      </w:r>
    </w:p>
    <w:p w14:paraId="139432AD">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非经甲方事先书面同意，乙方不得在向甲方交付研究开发成果之前，自行将本合同项下研究开发成果转让、许可、披露或交付给任何第三方，但法律法规另有规定或本合同另有约定的除外。</w:t>
      </w:r>
    </w:p>
    <w:p w14:paraId="3768DBB5">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乙方应按照项目约定及时向甲方告知项目进度情况，并以甲方确认后的项目进度或阶段性验收结果为依据，向甲方开具相应金额的合法有效发票。</w:t>
      </w:r>
    </w:p>
    <w:p w14:paraId="4CC185D2">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承诺遵循国家法律法规及医学伦理、数据安全、个人信息保护等相关规定。甲方提供的样本、数据及相关资料仅限用于本合同约定的技术服务目的，不得擅自挪作他用，不得擅自向第三方披露、转让或用于其他项目。如乙方存在违法违规或违反本合同约定的行为，乙方应承担全部责任；因此给甲方造成损失的，乙方应予以赔偿。</w:t>
      </w:r>
    </w:p>
    <w:p w14:paraId="3737A5AD">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hint="eastAsia" w:ascii="仿宋_GB2312" w:hAnsi="仿宋" w:cs="仿宋"/>
          <w:color w:val="000000" w:themeColor="text1"/>
          <w:sz w:val="21"/>
          <w:szCs w:val="21"/>
          <w14:textFill>
            <w14:solidFill>
              <w14:schemeClr w14:val="tx1"/>
            </w14:solidFill>
          </w14:textFill>
        </w:rPr>
        <w:t>乙方应妥善保管甲方提供的资料、数据、样本及项目过程中形成的相关文件，并采取合理的数据安全、访问控制、加密存储、权限管理等措施，防止数据泄露、毁损、丢失或被非法使用。合同履行完毕或终止后，乙方应按照甲方要求返还、销毁或继续保管相关资料和数据。</w:t>
      </w:r>
    </w:p>
    <w:p w14:paraId="6CDBB643">
      <w:pPr>
        <w:pStyle w:val="97"/>
        <w:numPr>
          <w:ilvl w:val="0"/>
          <w:numId w:val="24"/>
        </w:numPr>
        <w:spacing w:line="360" w:lineRule="auto"/>
        <w:ind w:left="0" w:firstLine="0" w:firstLineChars="0"/>
        <w:rPr>
          <w:rFonts w:hint="eastAsia" w:ascii="仿宋_GB2312" w:hAnsi="仿宋" w:cs="仿宋"/>
          <w:color w:val="000000" w:themeColor="text1"/>
          <w:sz w:val="21"/>
          <w:szCs w:val="21"/>
          <w14:textFill>
            <w14:solidFill>
              <w14:schemeClr w14:val="tx1"/>
            </w14:solidFill>
          </w14:textFill>
        </w:rPr>
      </w:pPr>
      <w:r>
        <w:rPr>
          <w:rFonts w:ascii="仿宋_GB2312" w:hAnsi="仿宋" w:cs="仿宋"/>
          <w:color w:val="000000" w:themeColor="text1"/>
          <w:sz w:val="21"/>
          <w:szCs w:val="21"/>
          <w14:textFill>
            <w14:solidFill>
              <w14:schemeClr w14:val="tx1"/>
            </w14:solidFill>
          </w14:textFill>
        </w:rPr>
        <w:t>乙方理解并同意，若发生上述任何违约情形，应严格按照本合同第（</w:t>
      </w:r>
      <w:r>
        <w:rPr>
          <w:rFonts w:hint="eastAsia" w:ascii="仿宋_GB2312" w:hAnsi="仿宋" w:cs="仿宋"/>
          <w:color w:val="000000" w:themeColor="text1"/>
          <w:sz w:val="21"/>
          <w:szCs w:val="21"/>
          <w14:textFill>
            <w14:solidFill>
              <w14:schemeClr w14:val="tx1"/>
            </w14:solidFill>
          </w14:textFill>
        </w:rPr>
        <w:t>八</w:t>
      </w:r>
      <w:r>
        <w:rPr>
          <w:rFonts w:ascii="仿宋_GB2312" w:hAnsi="仿宋" w:cs="仿宋"/>
          <w:color w:val="000000" w:themeColor="text1"/>
          <w:sz w:val="21"/>
          <w:szCs w:val="21"/>
          <w14:textFill>
            <w14:solidFill>
              <w14:schemeClr w14:val="tx1"/>
            </w14:solidFill>
          </w14:textFill>
        </w:rPr>
        <w:t>）条“</w:t>
      </w:r>
      <w:r>
        <w:rPr>
          <w:rFonts w:hint="eastAsia" w:ascii="仿宋_GB2312" w:hAnsi="仿宋"/>
          <w:b/>
          <w:bCs/>
          <w:color w:val="000000" w:themeColor="text1"/>
          <w:sz w:val="21"/>
          <w:szCs w:val="21"/>
          <w14:textFill>
            <w14:solidFill>
              <w14:schemeClr w14:val="tx1"/>
            </w14:solidFill>
          </w14:textFill>
        </w:rPr>
        <w:t>违约责任</w:t>
      </w:r>
      <w:r>
        <w:rPr>
          <w:rFonts w:ascii="仿宋_GB2312" w:hAnsi="仿宋" w:cs="仿宋"/>
          <w:color w:val="000000" w:themeColor="text1"/>
          <w:sz w:val="21"/>
          <w:szCs w:val="21"/>
          <w14:textFill>
            <w14:solidFill>
              <w14:schemeClr w14:val="tx1"/>
            </w14:solidFill>
          </w14:textFill>
        </w:rPr>
        <w:t>”及第（</w:t>
      </w:r>
      <w:r>
        <w:rPr>
          <w:rFonts w:hint="eastAsia" w:ascii="仿宋_GB2312" w:hAnsi="仿宋" w:cs="仿宋"/>
          <w:color w:val="000000" w:themeColor="text1"/>
          <w:sz w:val="21"/>
          <w:szCs w:val="21"/>
          <w14:textFill>
            <w14:solidFill>
              <w14:schemeClr w14:val="tx1"/>
            </w14:solidFill>
          </w14:textFill>
        </w:rPr>
        <w:t>九</w:t>
      </w:r>
      <w:r>
        <w:rPr>
          <w:rFonts w:ascii="仿宋_GB2312" w:hAnsi="仿宋" w:cs="仿宋"/>
          <w:color w:val="000000" w:themeColor="text1"/>
          <w:sz w:val="21"/>
          <w:szCs w:val="21"/>
          <w14:textFill>
            <w14:solidFill>
              <w14:schemeClr w14:val="tx1"/>
            </w14:solidFill>
          </w14:textFill>
        </w:rPr>
        <w:t>）条“</w:t>
      </w:r>
      <w:r>
        <w:rPr>
          <w:rFonts w:ascii="仿宋_GB2312" w:hAnsi="仿宋" w:cs="仿宋"/>
          <w:b/>
          <w:bCs/>
          <w:color w:val="000000" w:themeColor="text1"/>
          <w:sz w:val="21"/>
          <w:szCs w:val="21"/>
          <w14:textFill>
            <w14:solidFill>
              <w14:schemeClr w14:val="tx1"/>
            </w14:solidFill>
          </w14:textFill>
        </w:rPr>
        <w:t>服务成果的追溯</w:t>
      </w:r>
      <w:r>
        <w:rPr>
          <w:rFonts w:ascii="仿宋_GB2312" w:hAnsi="仿宋" w:cs="仿宋"/>
          <w:color w:val="000000" w:themeColor="text1"/>
          <w:sz w:val="21"/>
          <w:szCs w:val="21"/>
          <w14:textFill>
            <w14:solidFill>
              <w14:schemeClr w14:val="tx1"/>
            </w14:solidFill>
          </w14:textFill>
        </w:rPr>
        <w:t>”向甲方承担全部违约金、赔偿金及其他法律责任。</w:t>
      </w:r>
    </w:p>
    <w:p w14:paraId="2929D7D0">
      <w:pPr>
        <w:pStyle w:val="97"/>
        <w:spacing w:line="360" w:lineRule="auto"/>
        <w:ind w:firstLine="0" w:firstLineChars="0"/>
        <w:rPr>
          <w:rFonts w:hint="eastAsia" w:ascii="仿宋_GB2312" w:hAnsi="仿宋" w:cs="仿宋"/>
          <w:sz w:val="21"/>
          <w:szCs w:val="21"/>
        </w:rPr>
      </w:pPr>
      <w:r>
        <w:rPr>
          <w:rFonts w:hint="eastAsia" w:ascii="仿宋_GB2312" w:hAnsi="仿宋"/>
          <w:b/>
          <w:bCs/>
          <w:sz w:val="21"/>
          <w:szCs w:val="21"/>
        </w:rPr>
        <w:t>（十一）售后服务</w:t>
      </w:r>
    </w:p>
    <w:p w14:paraId="1CBE3705">
      <w:pPr>
        <w:spacing w:line="360" w:lineRule="auto"/>
        <w:rPr>
          <w:rFonts w:hint="eastAsia" w:ascii="仿宋_GB2312" w:hAnsi="仿宋"/>
          <w:sz w:val="21"/>
          <w:szCs w:val="21"/>
        </w:rPr>
      </w:pPr>
      <w:r>
        <w:rPr>
          <w:rFonts w:hint="eastAsia" w:ascii="仿宋_GB2312" w:hAnsi="仿宋"/>
          <w:sz w:val="21"/>
          <w:szCs w:val="21"/>
        </w:rPr>
        <w:t>课题交付验收后可提供工作时间的售后服务和技术支持，免费进行疑难问题解答，并通过技术人员上门、往来信函、电话、传真、电子邮件等，解答客户遇到的各种技术问题。</w:t>
      </w:r>
    </w:p>
    <w:p w14:paraId="48518C57">
      <w:pPr>
        <w:spacing w:line="360" w:lineRule="auto"/>
        <w:rPr>
          <w:rFonts w:ascii="仿宋_GB2312"/>
          <w:b/>
          <w:bCs/>
          <w:sz w:val="21"/>
          <w:szCs w:val="21"/>
        </w:rPr>
      </w:pPr>
      <w:r>
        <w:rPr>
          <w:rFonts w:hint="eastAsia" w:ascii="仿宋_GB2312"/>
          <w:b/>
          <w:bCs/>
          <w:sz w:val="21"/>
          <w:szCs w:val="21"/>
        </w:rPr>
        <w:t>（十二）技术支持及培训</w:t>
      </w:r>
    </w:p>
    <w:p w14:paraId="7B81B10E">
      <w:pPr>
        <w:spacing w:line="360" w:lineRule="auto"/>
        <w:rPr>
          <w:rFonts w:ascii="仿宋_GB2312"/>
          <w:sz w:val="21"/>
          <w:szCs w:val="21"/>
        </w:rPr>
      </w:pPr>
      <w:r>
        <w:rPr>
          <w:rFonts w:hint="eastAsia" w:ascii="仿宋_GB2312"/>
          <w:sz w:val="21"/>
          <w:szCs w:val="21"/>
        </w:rPr>
        <w:t>专业的技术支持，辅助设计实验方案，提供及时的项目进展汇报。</w:t>
      </w:r>
    </w:p>
    <w:p w14:paraId="74499C85">
      <w:pPr>
        <w:spacing w:line="360" w:lineRule="auto"/>
        <w:rPr>
          <w:rFonts w:ascii="仿宋_GB2312"/>
          <w:b/>
          <w:bCs/>
          <w:sz w:val="21"/>
          <w:szCs w:val="21"/>
        </w:rPr>
      </w:pPr>
      <w:r>
        <w:rPr>
          <w:rFonts w:hint="eastAsia" w:ascii="仿宋_GB2312"/>
          <w:b/>
          <w:bCs/>
          <w:sz w:val="21"/>
          <w:szCs w:val="21"/>
        </w:rPr>
        <w:t>四.合同的争议解决:</w:t>
      </w:r>
    </w:p>
    <w:p w14:paraId="4706A1A3">
      <w:pPr>
        <w:spacing w:line="360" w:lineRule="auto"/>
        <w:rPr>
          <w:rFonts w:ascii="仿宋_GB2312"/>
          <w:sz w:val="21"/>
          <w:szCs w:val="21"/>
        </w:rPr>
      </w:pPr>
      <w:r>
        <w:rPr>
          <w:rFonts w:hint="eastAsia" w:ascii="仿宋_GB2312"/>
          <w:sz w:val="21"/>
          <w:szCs w:val="21"/>
        </w:rPr>
        <w:t>本合同发生争议，由双方协商或调解解决，协商或调解不成时向签订合同所在地人民法院起诉。</w:t>
      </w:r>
    </w:p>
    <w:p w14:paraId="0FB1425D">
      <w:pPr>
        <w:widowControl/>
        <w:jc w:val="left"/>
        <w:rPr>
          <w:rFonts w:ascii="仿宋_GB2312"/>
          <w:sz w:val="21"/>
          <w:szCs w:val="21"/>
        </w:rPr>
      </w:pPr>
      <w:r>
        <w:rPr>
          <w:rFonts w:hint="eastAsia" w:ascii="仿宋_GB2312"/>
          <w:b/>
          <w:bCs/>
          <w:sz w:val="21"/>
          <w:szCs w:val="21"/>
        </w:rPr>
        <w:t>五</w:t>
      </w:r>
      <w:r>
        <w:rPr>
          <w:rFonts w:hint="eastAsia" w:ascii="仿宋_GB2312"/>
          <w:sz w:val="21"/>
          <w:szCs w:val="21"/>
        </w:rPr>
        <w:t>．本合同一式     份，双方各持     份，具有同等法律效力。</w:t>
      </w:r>
    </w:p>
    <w:p w14:paraId="38F9D0C0">
      <w:pPr>
        <w:widowControl/>
        <w:jc w:val="left"/>
        <w:rPr>
          <w:sz w:val="21"/>
          <w:szCs w:val="21"/>
        </w:rPr>
      </w:pPr>
    </w:p>
    <w:tbl>
      <w:tblPr>
        <w:tblStyle w:val="22"/>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7"/>
        <w:gridCol w:w="4986"/>
      </w:tblGrid>
      <w:tr w14:paraId="2E8D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4947" w:type="dxa"/>
            <w:vAlign w:val="center"/>
          </w:tcPr>
          <w:p w14:paraId="0F83BF3F">
            <w:pPr>
              <w:spacing w:line="360" w:lineRule="auto"/>
              <w:ind w:firstLine="524" w:firstLineChars="200"/>
              <w:rPr>
                <w:sz w:val="21"/>
                <w:szCs w:val="21"/>
              </w:rPr>
            </w:pPr>
            <w:r>
              <w:rPr>
                <w:rFonts w:hint="eastAsia"/>
                <w:sz w:val="21"/>
                <w:szCs w:val="21"/>
              </w:rPr>
              <w:t>甲方（盖章）：汕头大学医学院</w:t>
            </w:r>
          </w:p>
        </w:tc>
        <w:tc>
          <w:tcPr>
            <w:tcW w:w="4986" w:type="dxa"/>
            <w:vAlign w:val="center"/>
          </w:tcPr>
          <w:p w14:paraId="4C4C84BD">
            <w:pPr>
              <w:spacing w:line="360" w:lineRule="auto"/>
              <w:ind w:firstLine="524" w:firstLineChars="200"/>
              <w:rPr>
                <w:sz w:val="21"/>
                <w:szCs w:val="21"/>
              </w:rPr>
            </w:pPr>
            <w:r>
              <w:rPr>
                <w:rFonts w:hint="eastAsia"/>
                <w:sz w:val="21"/>
                <w:szCs w:val="21"/>
              </w:rPr>
              <w:t xml:space="preserve">乙方（盖章）： </w:t>
            </w:r>
          </w:p>
        </w:tc>
      </w:tr>
      <w:tr w14:paraId="1F67C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4947" w:type="dxa"/>
            <w:vAlign w:val="center"/>
          </w:tcPr>
          <w:p w14:paraId="799D03B8">
            <w:pPr>
              <w:spacing w:line="360" w:lineRule="auto"/>
              <w:ind w:firstLine="524" w:firstLineChars="200"/>
              <w:rPr>
                <w:sz w:val="21"/>
                <w:szCs w:val="21"/>
              </w:rPr>
            </w:pPr>
            <w:r>
              <w:rPr>
                <w:rFonts w:hint="eastAsia"/>
                <w:sz w:val="21"/>
                <w:szCs w:val="21"/>
              </w:rPr>
              <w:t>地址：汕头市金平区新陵路22号</w:t>
            </w:r>
          </w:p>
        </w:tc>
        <w:tc>
          <w:tcPr>
            <w:tcW w:w="4986" w:type="dxa"/>
            <w:vAlign w:val="center"/>
          </w:tcPr>
          <w:p w14:paraId="17A49153">
            <w:pPr>
              <w:spacing w:line="360" w:lineRule="auto"/>
              <w:ind w:firstLine="524" w:firstLineChars="200"/>
              <w:rPr>
                <w:sz w:val="21"/>
                <w:szCs w:val="21"/>
              </w:rPr>
            </w:pPr>
            <w:r>
              <w:rPr>
                <w:rFonts w:hint="eastAsia"/>
                <w:sz w:val="21"/>
                <w:szCs w:val="21"/>
              </w:rPr>
              <w:t xml:space="preserve">地址： </w:t>
            </w:r>
          </w:p>
        </w:tc>
      </w:tr>
      <w:tr w14:paraId="0DA4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6BDB4C3F">
            <w:pPr>
              <w:spacing w:line="360" w:lineRule="auto"/>
              <w:ind w:firstLine="524" w:firstLineChars="200"/>
              <w:rPr>
                <w:sz w:val="21"/>
                <w:szCs w:val="21"/>
              </w:rPr>
            </w:pPr>
            <w:r>
              <w:rPr>
                <w:rFonts w:hint="eastAsia"/>
                <w:sz w:val="21"/>
                <w:szCs w:val="21"/>
              </w:rPr>
              <w:t>法定代表人： 夏欧东</w:t>
            </w:r>
          </w:p>
        </w:tc>
        <w:tc>
          <w:tcPr>
            <w:tcW w:w="4986" w:type="dxa"/>
            <w:vAlign w:val="center"/>
          </w:tcPr>
          <w:p w14:paraId="5708F4D0">
            <w:pPr>
              <w:spacing w:line="360" w:lineRule="auto"/>
              <w:ind w:firstLine="524" w:firstLineChars="200"/>
              <w:rPr>
                <w:sz w:val="21"/>
                <w:szCs w:val="21"/>
              </w:rPr>
            </w:pPr>
            <w:r>
              <w:rPr>
                <w:rFonts w:hint="eastAsia"/>
                <w:sz w:val="21"/>
                <w:szCs w:val="21"/>
              </w:rPr>
              <w:t>法定代表人：</w:t>
            </w:r>
          </w:p>
        </w:tc>
      </w:tr>
      <w:tr w14:paraId="4917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00A7AA3C">
            <w:pPr>
              <w:spacing w:line="360" w:lineRule="auto"/>
              <w:ind w:firstLine="524" w:firstLineChars="200"/>
              <w:rPr>
                <w:sz w:val="21"/>
                <w:szCs w:val="21"/>
              </w:rPr>
            </w:pPr>
            <w:r>
              <w:rPr>
                <w:rFonts w:hint="eastAsia"/>
                <w:sz w:val="21"/>
                <w:szCs w:val="21"/>
              </w:rPr>
              <w:t>委托代理人：</w:t>
            </w:r>
          </w:p>
        </w:tc>
        <w:tc>
          <w:tcPr>
            <w:tcW w:w="4986" w:type="dxa"/>
            <w:vAlign w:val="center"/>
          </w:tcPr>
          <w:p w14:paraId="3B3A5D3F">
            <w:pPr>
              <w:spacing w:line="360" w:lineRule="auto"/>
              <w:ind w:firstLine="524" w:firstLineChars="200"/>
              <w:rPr>
                <w:sz w:val="21"/>
                <w:szCs w:val="21"/>
              </w:rPr>
            </w:pPr>
            <w:r>
              <w:rPr>
                <w:rFonts w:hint="eastAsia"/>
                <w:sz w:val="21"/>
                <w:szCs w:val="21"/>
              </w:rPr>
              <w:t>委托代理人：</w:t>
            </w:r>
          </w:p>
        </w:tc>
      </w:tr>
      <w:tr w14:paraId="668B8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947" w:type="dxa"/>
            <w:vAlign w:val="center"/>
          </w:tcPr>
          <w:p w14:paraId="38302C72">
            <w:pPr>
              <w:spacing w:line="360" w:lineRule="auto"/>
              <w:ind w:firstLine="524" w:firstLineChars="200"/>
              <w:rPr>
                <w:sz w:val="21"/>
                <w:szCs w:val="21"/>
              </w:rPr>
            </w:pPr>
            <w:r>
              <w:rPr>
                <w:rFonts w:hint="eastAsia"/>
                <w:sz w:val="21"/>
                <w:szCs w:val="21"/>
              </w:rPr>
              <w:t>电话：0754-88900477</w:t>
            </w:r>
          </w:p>
        </w:tc>
        <w:tc>
          <w:tcPr>
            <w:tcW w:w="4986" w:type="dxa"/>
            <w:vAlign w:val="center"/>
          </w:tcPr>
          <w:p w14:paraId="2B25DC92">
            <w:pPr>
              <w:spacing w:line="360" w:lineRule="auto"/>
              <w:ind w:firstLine="524" w:firstLineChars="200"/>
              <w:rPr>
                <w:sz w:val="21"/>
                <w:szCs w:val="21"/>
              </w:rPr>
            </w:pPr>
            <w:r>
              <w:rPr>
                <w:rFonts w:hint="eastAsia"/>
                <w:sz w:val="21"/>
                <w:szCs w:val="21"/>
              </w:rPr>
              <w:t>电话：</w:t>
            </w:r>
          </w:p>
        </w:tc>
      </w:tr>
      <w:tr w14:paraId="296BA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11DF2D58">
            <w:pPr>
              <w:spacing w:line="360" w:lineRule="auto"/>
              <w:ind w:firstLine="524" w:firstLineChars="200"/>
              <w:rPr>
                <w:sz w:val="21"/>
                <w:szCs w:val="21"/>
              </w:rPr>
            </w:pPr>
            <w:r>
              <w:rPr>
                <w:rFonts w:hint="eastAsia"/>
                <w:sz w:val="21"/>
                <w:szCs w:val="21"/>
              </w:rPr>
              <w:t>传真：0754-88900305</w:t>
            </w:r>
          </w:p>
        </w:tc>
        <w:tc>
          <w:tcPr>
            <w:tcW w:w="4986" w:type="dxa"/>
            <w:vAlign w:val="center"/>
          </w:tcPr>
          <w:p w14:paraId="39DB3421">
            <w:pPr>
              <w:spacing w:line="360" w:lineRule="auto"/>
              <w:ind w:firstLine="524" w:firstLineChars="200"/>
              <w:rPr>
                <w:sz w:val="21"/>
                <w:szCs w:val="21"/>
              </w:rPr>
            </w:pPr>
            <w:r>
              <w:rPr>
                <w:rFonts w:hint="eastAsia"/>
                <w:sz w:val="21"/>
                <w:szCs w:val="21"/>
              </w:rPr>
              <w:t>传真：</w:t>
            </w:r>
          </w:p>
        </w:tc>
      </w:tr>
      <w:tr w14:paraId="2925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211D4285">
            <w:pPr>
              <w:spacing w:line="360" w:lineRule="auto"/>
              <w:ind w:firstLine="524" w:firstLineChars="200"/>
              <w:rPr>
                <w:sz w:val="21"/>
                <w:szCs w:val="21"/>
              </w:rPr>
            </w:pPr>
            <w:r>
              <w:rPr>
                <w:rFonts w:hint="eastAsia"/>
                <w:sz w:val="21"/>
                <w:szCs w:val="21"/>
              </w:rPr>
              <w:t>邮政编码：515041</w:t>
            </w:r>
          </w:p>
        </w:tc>
        <w:tc>
          <w:tcPr>
            <w:tcW w:w="4986" w:type="dxa"/>
            <w:vAlign w:val="center"/>
          </w:tcPr>
          <w:p w14:paraId="7A8DB351">
            <w:pPr>
              <w:spacing w:line="360" w:lineRule="auto"/>
              <w:ind w:firstLine="524" w:firstLineChars="200"/>
              <w:rPr>
                <w:sz w:val="21"/>
                <w:szCs w:val="21"/>
              </w:rPr>
            </w:pPr>
            <w:r>
              <w:rPr>
                <w:rFonts w:hint="eastAsia"/>
                <w:sz w:val="21"/>
                <w:szCs w:val="21"/>
              </w:rPr>
              <w:t>邮政编码：</w:t>
            </w:r>
          </w:p>
        </w:tc>
      </w:tr>
      <w:tr w14:paraId="2FC7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947" w:type="dxa"/>
            <w:vAlign w:val="center"/>
          </w:tcPr>
          <w:p w14:paraId="10DB9FEF">
            <w:pPr>
              <w:spacing w:line="360" w:lineRule="auto"/>
              <w:ind w:firstLine="524" w:firstLineChars="200"/>
              <w:rPr>
                <w:sz w:val="21"/>
                <w:szCs w:val="21"/>
              </w:rPr>
            </w:pPr>
            <w:r>
              <w:rPr>
                <w:rFonts w:hint="eastAsia"/>
                <w:sz w:val="21"/>
                <w:szCs w:val="21"/>
              </w:rPr>
              <w:t>开户银行：中行嘉泰支行</w:t>
            </w:r>
          </w:p>
        </w:tc>
        <w:tc>
          <w:tcPr>
            <w:tcW w:w="4986" w:type="dxa"/>
            <w:vAlign w:val="center"/>
          </w:tcPr>
          <w:p w14:paraId="54933E3C">
            <w:pPr>
              <w:spacing w:line="360" w:lineRule="auto"/>
              <w:ind w:firstLine="524" w:firstLineChars="200"/>
              <w:rPr>
                <w:sz w:val="21"/>
                <w:szCs w:val="21"/>
              </w:rPr>
            </w:pPr>
            <w:r>
              <w:rPr>
                <w:rFonts w:hint="eastAsia"/>
                <w:sz w:val="21"/>
                <w:szCs w:val="21"/>
              </w:rPr>
              <w:t xml:space="preserve">开户银行： </w:t>
            </w:r>
          </w:p>
        </w:tc>
      </w:tr>
      <w:tr w14:paraId="145BB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0D465490">
            <w:pPr>
              <w:spacing w:line="360" w:lineRule="auto"/>
              <w:ind w:firstLine="524" w:firstLineChars="200"/>
              <w:rPr>
                <w:sz w:val="21"/>
                <w:szCs w:val="21"/>
              </w:rPr>
            </w:pPr>
            <w:r>
              <w:rPr>
                <w:rFonts w:hint="eastAsia"/>
                <w:sz w:val="21"/>
                <w:szCs w:val="21"/>
              </w:rPr>
              <w:t>开户账号：7055 5774 4822</w:t>
            </w:r>
          </w:p>
        </w:tc>
        <w:tc>
          <w:tcPr>
            <w:tcW w:w="4986" w:type="dxa"/>
            <w:vAlign w:val="center"/>
          </w:tcPr>
          <w:p w14:paraId="5E26DF91">
            <w:pPr>
              <w:spacing w:line="360" w:lineRule="auto"/>
              <w:ind w:firstLine="524" w:firstLineChars="200"/>
              <w:rPr>
                <w:sz w:val="21"/>
                <w:szCs w:val="21"/>
              </w:rPr>
            </w:pPr>
            <w:r>
              <w:rPr>
                <w:rFonts w:hint="eastAsia"/>
                <w:sz w:val="21"/>
                <w:szCs w:val="21"/>
              </w:rPr>
              <w:t>开户账号：</w:t>
            </w:r>
          </w:p>
        </w:tc>
      </w:tr>
      <w:tr w14:paraId="3E1D0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1D11E39D">
            <w:pPr>
              <w:spacing w:line="360" w:lineRule="auto"/>
              <w:ind w:firstLine="524" w:firstLineChars="200"/>
              <w:rPr>
                <w:sz w:val="21"/>
                <w:szCs w:val="21"/>
              </w:rPr>
            </w:pPr>
            <w:r>
              <w:rPr>
                <w:rFonts w:hint="eastAsia"/>
                <w:sz w:val="21"/>
                <w:szCs w:val="21"/>
              </w:rPr>
              <w:t>统一社会信用代码：12440000455861456K</w:t>
            </w:r>
          </w:p>
        </w:tc>
        <w:tc>
          <w:tcPr>
            <w:tcW w:w="4986" w:type="dxa"/>
            <w:vAlign w:val="center"/>
          </w:tcPr>
          <w:p w14:paraId="5255BC13">
            <w:pPr>
              <w:spacing w:line="360" w:lineRule="auto"/>
              <w:ind w:firstLine="524" w:firstLineChars="200"/>
              <w:rPr>
                <w:sz w:val="21"/>
                <w:szCs w:val="21"/>
              </w:rPr>
            </w:pPr>
            <w:r>
              <w:rPr>
                <w:rFonts w:hint="eastAsia"/>
                <w:sz w:val="21"/>
                <w:szCs w:val="21"/>
              </w:rPr>
              <w:t>统一社会信用代码：</w:t>
            </w:r>
          </w:p>
        </w:tc>
      </w:tr>
      <w:tr w14:paraId="332C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4947" w:type="dxa"/>
            <w:vAlign w:val="center"/>
          </w:tcPr>
          <w:p w14:paraId="7BAFF64F">
            <w:pPr>
              <w:spacing w:line="360" w:lineRule="auto"/>
              <w:ind w:firstLine="524" w:firstLineChars="200"/>
              <w:rPr>
                <w:sz w:val="21"/>
                <w:szCs w:val="21"/>
              </w:rPr>
            </w:pPr>
            <w:r>
              <w:rPr>
                <w:rFonts w:hint="eastAsia"/>
                <w:sz w:val="21"/>
                <w:szCs w:val="21"/>
              </w:rPr>
              <w:t>签订日期：       年     月     日</w:t>
            </w:r>
          </w:p>
        </w:tc>
        <w:tc>
          <w:tcPr>
            <w:tcW w:w="4986" w:type="dxa"/>
            <w:vAlign w:val="center"/>
          </w:tcPr>
          <w:p w14:paraId="288937C0">
            <w:pPr>
              <w:spacing w:line="360" w:lineRule="auto"/>
              <w:ind w:firstLine="524" w:firstLineChars="200"/>
              <w:rPr>
                <w:sz w:val="21"/>
                <w:szCs w:val="21"/>
              </w:rPr>
            </w:pPr>
            <w:r>
              <w:rPr>
                <w:rFonts w:hint="eastAsia"/>
                <w:sz w:val="21"/>
                <w:szCs w:val="21"/>
              </w:rPr>
              <w:t>签订日期：       年     月     日</w:t>
            </w:r>
          </w:p>
        </w:tc>
      </w:tr>
    </w:tbl>
    <w:p w14:paraId="2F41A9F0">
      <w:pPr>
        <w:kinsoku w:val="0"/>
        <w:wordWrap w:val="0"/>
        <w:topLinePunct/>
        <w:spacing w:line="360" w:lineRule="atLeast"/>
        <w:ind w:firstLine="186" w:firstLineChars="50"/>
        <w:rPr>
          <w:rFonts w:hint="eastAsia" w:ascii="仿宋" w:hAnsi="仿宋" w:eastAsia="仿宋" w:cs="仿宋"/>
          <w:b/>
          <w:sz w:val="32"/>
        </w:rPr>
      </w:pPr>
      <w:r>
        <w:rPr>
          <w:rFonts w:hint="eastAsia" w:ascii="仿宋" w:hAnsi="仿宋" w:eastAsia="仿宋" w:cs="仿宋"/>
          <w:b/>
          <w:sz w:val="32"/>
        </w:rPr>
        <w:t>第四部分    投  标  书（格式）</w:t>
      </w:r>
    </w:p>
    <w:p w14:paraId="052132A9">
      <w:pPr>
        <w:kinsoku w:val="0"/>
        <w:wordWrap w:val="0"/>
        <w:topLinePunct/>
        <w:spacing w:after="120" w:line="360" w:lineRule="atLeast"/>
        <w:rPr>
          <w:rFonts w:hint="eastAsia" w:ascii="仿宋" w:hAnsi="仿宋" w:eastAsia="仿宋" w:cs="仿宋"/>
          <w:sz w:val="24"/>
        </w:rPr>
      </w:pPr>
      <w:r>
        <w:rPr>
          <w:rFonts w:hint="eastAsia" w:ascii="仿宋" w:hAnsi="仿宋" w:eastAsia="仿宋" w:cs="仿宋"/>
          <w:sz w:val="24"/>
        </w:rPr>
        <w:t>致：汕头大学医学院：</w:t>
      </w:r>
    </w:p>
    <w:p w14:paraId="65A12208">
      <w:pPr>
        <w:kinsoku w:val="0"/>
        <w:wordWrap w:val="0"/>
        <w:topLinePunct/>
        <w:spacing w:after="120" w:line="240" w:lineRule="atLeast"/>
        <w:ind w:firstLine="585"/>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号（招标编号）招标文件要求，</w:t>
      </w:r>
      <w:r>
        <w:rPr>
          <w:rFonts w:hint="eastAsia" w:ascii="仿宋" w:hAnsi="仿宋" w:eastAsia="仿宋" w:cs="仿宋"/>
          <w:sz w:val="24"/>
          <w:u w:val="single"/>
        </w:rPr>
        <w:t xml:space="preserve">                </w:t>
      </w:r>
      <w:r>
        <w:rPr>
          <w:rFonts w:hint="eastAsia" w:ascii="仿宋" w:hAnsi="仿宋" w:eastAsia="仿宋" w:cs="仿宋"/>
          <w:sz w:val="24"/>
        </w:rPr>
        <w:t>（全名及职衔）经正式授权并以投标人</w:t>
      </w:r>
      <w:r>
        <w:rPr>
          <w:rFonts w:hint="eastAsia" w:ascii="仿宋" w:hAnsi="仿宋" w:eastAsia="仿宋" w:cs="仿宋"/>
          <w:sz w:val="24"/>
          <w:u w:val="single"/>
        </w:rPr>
        <w:t xml:space="preserve">                             </w:t>
      </w:r>
      <w:r>
        <w:rPr>
          <w:rFonts w:hint="eastAsia" w:ascii="仿宋" w:hAnsi="仿宋" w:eastAsia="仿宋" w:cs="仿宋"/>
          <w:sz w:val="24"/>
        </w:rPr>
        <w:t>（投标人名称、地址）的名义投标。提交下述文件正本一份和副本一式五份。</w:t>
      </w:r>
    </w:p>
    <w:p w14:paraId="71A3864A">
      <w:pPr>
        <w:pStyle w:val="6"/>
        <w:numPr>
          <w:ilvl w:val="3"/>
          <w:numId w:val="25"/>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投标书；</w:t>
      </w:r>
    </w:p>
    <w:p w14:paraId="2963A89D">
      <w:pPr>
        <w:pStyle w:val="6"/>
        <w:numPr>
          <w:ilvl w:val="3"/>
          <w:numId w:val="25"/>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开标一览表；</w:t>
      </w:r>
    </w:p>
    <w:p w14:paraId="6F485FE1">
      <w:pPr>
        <w:pStyle w:val="6"/>
        <w:numPr>
          <w:ilvl w:val="3"/>
          <w:numId w:val="25"/>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设备配置一览表；</w:t>
      </w:r>
    </w:p>
    <w:p w14:paraId="46933A91">
      <w:pPr>
        <w:pStyle w:val="6"/>
        <w:numPr>
          <w:ilvl w:val="3"/>
          <w:numId w:val="25"/>
        </w:numPr>
        <w:kinsoku w:val="0"/>
        <w:wordWrap w:val="0"/>
        <w:topLinePunct/>
        <w:autoSpaceDE/>
        <w:autoSpaceDN/>
        <w:spacing w:line="200" w:lineRule="atLeast"/>
        <w:ind w:left="1912" w:hanging="584"/>
        <w:rPr>
          <w:rFonts w:hint="eastAsia" w:ascii="仿宋" w:hAnsi="仿宋" w:eastAsia="仿宋" w:cs="仿宋"/>
          <w:sz w:val="24"/>
        </w:rPr>
      </w:pPr>
      <w:r>
        <w:rPr>
          <w:rFonts w:hint="eastAsia" w:ascii="仿宋" w:hAnsi="仿宋" w:eastAsia="仿宋" w:cs="仿宋"/>
          <w:sz w:val="24"/>
        </w:rPr>
        <w:t>服务承诺书；</w:t>
      </w:r>
    </w:p>
    <w:p w14:paraId="193AA206">
      <w:pPr>
        <w:pStyle w:val="6"/>
        <w:kinsoku w:val="0"/>
        <w:wordWrap w:val="0"/>
        <w:topLinePunct/>
        <w:autoSpaceDE/>
        <w:autoSpaceDN/>
        <w:spacing w:line="200" w:lineRule="atLeast"/>
        <w:ind w:left="1328" w:leftChars="0" w:firstLine="0" w:firstLineChars="0"/>
        <w:rPr>
          <w:rFonts w:hint="eastAsia" w:ascii="仿宋" w:hAnsi="仿宋" w:eastAsia="仿宋" w:cs="仿宋"/>
          <w:sz w:val="24"/>
        </w:rPr>
      </w:pPr>
    </w:p>
    <w:p w14:paraId="79666F62">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签字代表在此声明并同意：</w:t>
      </w:r>
    </w:p>
    <w:p w14:paraId="69CBED13">
      <w:pPr>
        <w:kinsoku w:val="0"/>
        <w:wordWrap w:val="0"/>
        <w:topLinePunct/>
        <w:spacing w:line="360" w:lineRule="atLeast"/>
        <w:ind w:left="830" w:hanging="830"/>
        <w:rPr>
          <w:rFonts w:hint="eastAsia" w:ascii="仿宋" w:hAnsi="仿宋" w:eastAsia="仿宋" w:cs="仿宋"/>
          <w:sz w:val="24"/>
        </w:rPr>
      </w:pPr>
      <w:r>
        <w:rPr>
          <w:rFonts w:hint="eastAsia" w:ascii="仿宋" w:hAnsi="仿宋" w:eastAsia="仿宋" w:cs="仿宋"/>
          <w:sz w:val="24"/>
        </w:rPr>
        <w:t xml:space="preserve">   １.我们愿意遵守招标人招标文件中的各项规定，供应符合“技术规范”所要求的设备，投标总报价为：</w:t>
      </w:r>
      <w:r>
        <w:rPr>
          <w:rFonts w:hint="eastAsia" w:ascii="仿宋" w:hAnsi="仿宋" w:eastAsia="仿宋" w:cs="仿宋"/>
          <w:sz w:val="24"/>
          <w:u w:val="single"/>
        </w:rPr>
        <w:t xml:space="preserve">         </w:t>
      </w:r>
      <w:r>
        <w:rPr>
          <w:rFonts w:hint="eastAsia" w:ascii="仿宋" w:hAnsi="仿宋" w:eastAsia="仿宋" w:cs="仿宋"/>
          <w:sz w:val="24"/>
        </w:rPr>
        <w:t>元。</w:t>
      </w:r>
    </w:p>
    <w:p w14:paraId="4F52D01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２.我们同意本投标自投标截止日起30天内有效。如果我们的投标被接受，则直至合同生效时止，本投标始终有效。</w:t>
      </w:r>
    </w:p>
    <w:p w14:paraId="3705C232">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３.我们已经详细地阅读了全部招标文件及附件，包括澄清及参考文件（如果有的话），我们完全理解并同意放弃对这方面有不明及误解的权利。</w:t>
      </w:r>
    </w:p>
    <w:p w14:paraId="72F7C8B6">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４.我们同意提供招标人要求的有关投标的其他资料。</w:t>
      </w:r>
    </w:p>
    <w:p w14:paraId="26DBD213">
      <w:pPr>
        <w:kinsoku w:val="0"/>
        <w:wordWrap w:val="0"/>
        <w:topLinePunct/>
        <w:spacing w:line="360" w:lineRule="atLeast"/>
        <w:ind w:left="851" w:hanging="851"/>
        <w:rPr>
          <w:rFonts w:hint="eastAsia" w:ascii="仿宋" w:hAnsi="仿宋" w:eastAsia="仿宋" w:cs="仿宋"/>
          <w:sz w:val="24"/>
        </w:rPr>
      </w:pPr>
      <w:r>
        <w:rPr>
          <w:rFonts w:hint="eastAsia" w:ascii="仿宋" w:hAnsi="仿宋" w:eastAsia="仿宋" w:cs="仿宋"/>
          <w:sz w:val="24"/>
        </w:rPr>
        <w:t xml:space="preserve">   ５.我们理解，招标人并无义务必须接受最低报价的投标或其他任何投标。</w:t>
      </w:r>
    </w:p>
    <w:p w14:paraId="5A16E25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６.所有有关本次投标的函电请寄：</w:t>
      </w:r>
      <w:r>
        <w:rPr>
          <w:rFonts w:hint="eastAsia" w:ascii="仿宋" w:hAnsi="仿宋" w:eastAsia="仿宋" w:cs="仿宋"/>
          <w:sz w:val="24"/>
          <w:u w:val="single"/>
        </w:rPr>
        <w:t xml:space="preserve">                     </w:t>
      </w:r>
    </w:p>
    <w:p w14:paraId="3AF70438">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授权代表（签名）:</w:t>
      </w:r>
      <w:r>
        <w:rPr>
          <w:rFonts w:hint="eastAsia" w:ascii="仿宋" w:hAnsi="仿宋" w:eastAsia="仿宋" w:cs="仿宋"/>
          <w:sz w:val="24"/>
          <w:u w:val="single"/>
        </w:rPr>
        <w:t xml:space="preserve">                          </w:t>
      </w:r>
    </w:p>
    <w:p w14:paraId="3169AA8B">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职      位:</w:t>
      </w:r>
      <w:r>
        <w:rPr>
          <w:rFonts w:hint="eastAsia" w:ascii="仿宋" w:hAnsi="仿宋" w:eastAsia="仿宋" w:cs="仿宋"/>
          <w:sz w:val="24"/>
          <w:u w:val="single"/>
        </w:rPr>
        <w:t xml:space="preserve">                                </w:t>
      </w:r>
    </w:p>
    <w:p w14:paraId="3DC053F0">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投标方名称:</w:t>
      </w:r>
      <w:r>
        <w:rPr>
          <w:rFonts w:hint="eastAsia" w:ascii="仿宋" w:hAnsi="仿宋" w:eastAsia="仿宋" w:cs="仿宋"/>
          <w:sz w:val="24"/>
          <w:u w:val="single"/>
        </w:rPr>
        <w:t xml:space="preserve">                                </w:t>
      </w:r>
    </w:p>
    <w:p w14:paraId="1660F5EE">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投标方印章:</w:t>
      </w:r>
      <w:r>
        <w:rPr>
          <w:rFonts w:hint="eastAsia" w:ascii="仿宋" w:hAnsi="仿宋" w:eastAsia="仿宋" w:cs="仿宋"/>
          <w:sz w:val="24"/>
          <w:u w:val="single"/>
        </w:rPr>
        <w:t xml:space="preserve">                                </w:t>
      </w:r>
    </w:p>
    <w:p w14:paraId="20C779D7">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 xml:space="preserve">  </w:t>
      </w:r>
    </w:p>
    <w:p w14:paraId="1F99E06F">
      <w:pPr>
        <w:kinsoku w:val="0"/>
        <w:wordWrap w:val="0"/>
        <w:topLinePunct/>
        <w:spacing w:line="360" w:lineRule="atLeast"/>
        <w:rPr>
          <w:rFonts w:hint="eastAsia" w:ascii="仿宋" w:hAnsi="仿宋" w:eastAsia="仿宋" w:cs="仿宋"/>
          <w:sz w:val="24"/>
        </w:rPr>
      </w:pPr>
      <w:r>
        <w:rPr>
          <w:rFonts w:hint="eastAsia" w:ascii="仿宋" w:hAnsi="仿宋" w:eastAsia="仿宋" w:cs="仿宋"/>
          <w:sz w:val="24"/>
        </w:rPr>
        <w:t>电  话：           传  真：            E_mail:</w:t>
      </w:r>
    </w:p>
    <w:p w14:paraId="6D43C60F">
      <w:pPr>
        <w:kinsoku w:val="0"/>
        <w:wordWrap w:val="0"/>
        <w:topLinePunct/>
        <w:spacing w:line="360" w:lineRule="exact"/>
        <w:rPr>
          <w:rFonts w:hint="eastAsia" w:ascii="仿宋" w:hAnsi="仿宋" w:eastAsia="仿宋" w:cs="仿宋"/>
          <w:sz w:val="24"/>
        </w:rPr>
      </w:pPr>
    </w:p>
    <w:p w14:paraId="5C120F14">
      <w:pPr>
        <w:kinsoku w:val="0"/>
        <w:wordWrap w:val="0"/>
        <w:topLinePunct/>
        <w:spacing w:line="360" w:lineRule="exact"/>
        <w:rPr>
          <w:rFonts w:hint="eastAsia" w:ascii="仿宋" w:hAnsi="仿宋" w:eastAsia="仿宋" w:cs="仿宋"/>
          <w:sz w:val="24"/>
        </w:rPr>
      </w:pPr>
    </w:p>
    <w:p w14:paraId="3BD9662E">
      <w:pPr>
        <w:kinsoku w:val="0"/>
        <w:wordWrap w:val="0"/>
        <w:topLinePunct/>
        <w:spacing w:line="360" w:lineRule="exact"/>
        <w:rPr>
          <w:rFonts w:hint="eastAsia" w:ascii="仿宋" w:hAnsi="仿宋" w:eastAsia="仿宋" w:cs="仿宋"/>
          <w:sz w:val="24"/>
        </w:rPr>
      </w:pPr>
    </w:p>
    <w:p w14:paraId="1E31CC7A">
      <w:pPr>
        <w:widowControl/>
        <w:jc w:val="left"/>
        <w:rPr>
          <w:rFonts w:hint="eastAsia" w:ascii="仿宋" w:hAnsi="仿宋" w:eastAsia="仿宋" w:cs="仿宋"/>
          <w:sz w:val="24"/>
        </w:rPr>
      </w:pPr>
      <w:r>
        <w:rPr>
          <w:rFonts w:hint="eastAsia" w:ascii="仿宋" w:hAnsi="仿宋" w:eastAsia="仿宋" w:cs="仿宋"/>
          <w:sz w:val="24"/>
        </w:rPr>
        <w:br w:type="page"/>
      </w:r>
    </w:p>
    <w:p w14:paraId="4A1230C7">
      <w:pPr>
        <w:kinsoku w:val="0"/>
        <w:wordWrap w:val="0"/>
        <w:topLinePunct/>
        <w:spacing w:line="360" w:lineRule="exact"/>
        <w:rPr>
          <w:rFonts w:hint="eastAsia" w:ascii="仿宋" w:hAnsi="仿宋" w:eastAsia="仿宋" w:cs="仿宋"/>
          <w:sz w:val="24"/>
        </w:rPr>
      </w:pPr>
    </w:p>
    <w:p w14:paraId="59C83171">
      <w:pPr>
        <w:kinsoku w:val="0"/>
        <w:wordWrap w:val="0"/>
        <w:topLinePunct/>
        <w:spacing w:line="360" w:lineRule="exact"/>
        <w:rPr>
          <w:rFonts w:hint="eastAsia" w:ascii="仿宋" w:hAnsi="仿宋" w:eastAsia="仿宋" w:cs="仿宋"/>
          <w:sz w:val="24"/>
        </w:rPr>
      </w:pPr>
      <w:r>
        <w:rPr>
          <w:rFonts w:hint="eastAsia" w:ascii="仿宋" w:hAnsi="仿宋" w:eastAsia="仿宋" w:cs="仿宋"/>
          <w:sz w:val="24"/>
        </w:rPr>
        <w:t>投标书附件1：</w:t>
      </w:r>
    </w:p>
    <w:p w14:paraId="701D9CA1">
      <w:pPr>
        <w:kinsoku w:val="0"/>
        <w:wordWrap w:val="0"/>
        <w:topLinePunct/>
        <w:spacing w:line="360" w:lineRule="exact"/>
        <w:jc w:val="center"/>
        <w:rPr>
          <w:rFonts w:hint="eastAsia" w:ascii="仿宋" w:hAnsi="仿宋" w:eastAsia="仿宋" w:cs="仿宋"/>
          <w:b/>
          <w:sz w:val="32"/>
        </w:rPr>
      </w:pPr>
    </w:p>
    <w:p w14:paraId="3B0ED1DC">
      <w:pPr>
        <w:kinsoku w:val="0"/>
        <w:wordWrap w:val="0"/>
        <w:topLinePunct/>
        <w:spacing w:line="360" w:lineRule="exact"/>
        <w:jc w:val="center"/>
        <w:rPr>
          <w:rFonts w:hint="eastAsia" w:ascii="仿宋" w:hAnsi="仿宋" w:eastAsia="仿宋" w:cs="仿宋"/>
          <w:b/>
          <w:sz w:val="32"/>
        </w:rPr>
      </w:pPr>
    </w:p>
    <w:p w14:paraId="4295CB0D">
      <w:pPr>
        <w:kinsoku w:val="0"/>
        <w:wordWrap w:val="0"/>
        <w:topLinePunct/>
        <w:spacing w:line="360" w:lineRule="exact"/>
        <w:jc w:val="center"/>
        <w:rPr>
          <w:rFonts w:hint="eastAsia" w:ascii="仿宋" w:hAnsi="仿宋" w:eastAsia="仿宋" w:cs="仿宋"/>
          <w:b/>
          <w:sz w:val="32"/>
        </w:rPr>
      </w:pPr>
      <w:r>
        <w:rPr>
          <w:rFonts w:hint="eastAsia" w:ascii="仿宋" w:hAnsi="仿宋" w:eastAsia="仿宋" w:cs="仿宋"/>
          <w:b/>
          <w:sz w:val="32"/>
        </w:rPr>
        <w:t>开标一览表</w:t>
      </w:r>
    </w:p>
    <w:p w14:paraId="079B7B4E">
      <w:pPr>
        <w:kinsoku w:val="0"/>
        <w:wordWrap w:val="0"/>
        <w:topLinePunct/>
        <w:spacing w:line="360" w:lineRule="exact"/>
        <w:rPr>
          <w:rFonts w:hint="eastAsia" w:ascii="仿宋" w:hAnsi="仿宋" w:eastAsia="仿宋" w:cs="仿宋"/>
          <w:sz w:val="24"/>
        </w:rPr>
      </w:pPr>
    </w:p>
    <w:p w14:paraId="72D6210C">
      <w:pPr>
        <w:kinsoku w:val="0"/>
        <w:wordWrap w:val="0"/>
        <w:topLinePunct/>
        <w:spacing w:line="360" w:lineRule="exact"/>
        <w:rPr>
          <w:rFonts w:hint="eastAsia" w:ascii="仿宋" w:hAnsi="仿宋" w:eastAsia="仿宋" w:cs="仿宋"/>
          <w:sz w:val="24"/>
          <w:u w:val="single"/>
        </w:rPr>
      </w:pPr>
      <w:r>
        <w:rPr>
          <w:rFonts w:hint="eastAsia" w:ascii="仿宋" w:hAnsi="仿宋" w:eastAsia="仿宋" w:cs="仿宋"/>
          <w:sz w:val="24"/>
        </w:rPr>
        <w:t>投标方名称：</w:t>
      </w:r>
      <w:r>
        <w:rPr>
          <w:rFonts w:hint="eastAsia" w:ascii="仿宋" w:hAnsi="仿宋" w:eastAsia="仿宋" w:cs="仿宋"/>
          <w:sz w:val="24"/>
          <w:u w:val="single"/>
        </w:rPr>
        <w:t xml:space="preserve">                     </w:t>
      </w:r>
      <w:r>
        <w:rPr>
          <w:rFonts w:hint="eastAsia" w:ascii="仿宋" w:hAnsi="仿宋" w:eastAsia="仿宋" w:cs="仿宋"/>
          <w:sz w:val="24"/>
        </w:rPr>
        <w:t>，招标编号：</w:t>
      </w:r>
      <w:r>
        <w:rPr>
          <w:rFonts w:hint="eastAsia" w:ascii="仿宋" w:hAnsi="仿宋" w:eastAsia="仿宋" w:cs="仿宋"/>
          <w:sz w:val="24"/>
          <w:u w:val="single"/>
        </w:rPr>
        <w:t xml:space="preserve">         </w:t>
      </w:r>
    </w:p>
    <w:p w14:paraId="1BBEAEAA">
      <w:pPr>
        <w:kinsoku w:val="0"/>
        <w:wordWrap w:val="0"/>
        <w:topLinePunct/>
        <w:spacing w:line="360" w:lineRule="exact"/>
        <w:rPr>
          <w:rFonts w:hint="eastAsia" w:ascii="仿宋" w:hAnsi="仿宋" w:eastAsia="仿宋" w:cs="仿宋"/>
          <w:sz w:val="21"/>
        </w:rPr>
      </w:pPr>
      <w:r>
        <w:rPr>
          <w:rFonts w:hint="eastAsia" w:ascii="仿宋" w:hAnsi="仿宋" w:eastAsia="仿宋" w:cs="仿宋"/>
          <w:sz w:val="21"/>
        </w:rPr>
        <w:t xml:space="preserve">                                              金额单位：元  人民币</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6"/>
        <w:gridCol w:w="3652"/>
        <w:gridCol w:w="1992"/>
        <w:gridCol w:w="2656"/>
      </w:tblGrid>
      <w:tr w14:paraId="0E074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7D3F7969">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序号</w:t>
            </w:r>
          </w:p>
        </w:tc>
        <w:tc>
          <w:tcPr>
            <w:tcW w:w="3652" w:type="dxa"/>
            <w:vAlign w:val="center"/>
          </w:tcPr>
          <w:p w14:paraId="0721A031">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项目名称</w:t>
            </w:r>
          </w:p>
        </w:tc>
        <w:tc>
          <w:tcPr>
            <w:tcW w:w="1992" w:type="dxa"/>
            <w:vAlign w:val="center"/>
          </w:tcPr>
          <w:p w14:paraId="300B32C5">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投标总报价</w:t>
            </w:r>
          </w:p>
        </w:tc>
        <w:tc>
          <w:tcPr>
            <w:tcW w:w="2656" w:type="dxa"/>
            <w:vAlign w:val="center"/>
          </w:tcPr>
          <w:p w14:paraId="38A78788">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备注</w:t>
            </w:r>
          </w:p>
        </w:tc>
      </w:tr>
      <w:tr w14:paraId="11D52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988E043">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一</w:t>
            </w:r>
          </w:p>
        </w:tc>
        <w:tc>
          <w:tcPr>
            <w:tcW w:w="3652" w:type="dxa"/>
            <w:vAlign w:val="center"/>
          </w:tcPr>
          <w:p w14:paraId="23105590">
            <w:pPr>
              <w:kinsoku w:val="0"/>
              <w:wordWrap w:val="0"/>
              <w:topLinePunct/>
              <w:spacing w:line="360" w:lineRule="exact"/>
              <w:rPr>
                <w:rFonts w:hint="eastAsia" w:ascii="仿宋" w:hAnsi="仿宋" w:eastAsia="仿宋" w:cs="仿宋"/>
                <w:sz w:val="18"/>
              </w:rPr>
            </w:pPr>
          </w:p>
        </w:tc>
        <w:tc>
          <w:tcPr>
            <w:tcW w:w="1992" w:type="dxa"/>
            <w:vAlign w:val="center"/>
          </w:tcPr>
          <w:p w14:paraId="44AF4C61">
            <w:pPr>
              <w:kinsoku w:val="0"/>
              <w:wordWrap w:val="0"/>
              <w:topLinePunct/>
              <w:spacing w:line="360" w:lineRule="exact"/>
              <w:jc w:val="center"/>
              <w:rPr>
                <w:rFonts w:hint="eastAsia" w:ascii="仿宋" w:hAnsi="仿宋" w:eastAsia="仿宋" w:cs="仿宋"/>
                <w:sz w:val="18"/>
              </w:rPr>
            </w:pPr>
          </w:p>
        </w:tc>
        <w:tc>
          <w:tcPr>
            <w:tcW w:w="2656" w:type="dxa"/>
            <w:vAlign w:val="center"/>
          </w:tcPr>
          <w:p w14:paraId="141201A1">
            <w:pPr>
              <w:kinsoku w:val="0"/>
              <w:wordWrap w:val="0"/>
              <w:topLinePunct/>
              <w:spacing w:line="360" w:lineRule="exact"/>
              <w:jc w:val="center"/>
              <w:rPr>
                <w:rFonts w:hint="eastAsia" w:ascii="仿宋" w:hAnsi="仿宋" w:eastAsia="仿宋" w:cs="仿宋"/>
                <w:sz w:val="18"/>
              </w:rPr>
            </w:pPr>
          </w:p>
        </w:tc>
      </w:tr>
      <w:tr w14:paraId="0EFA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A8DA7D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二</w:t>
            </w:r>
          </w:p>
        </w:tc>
        <w:tc>
          <w:tcPr>
            <w:tcW w:w="3652" w:type="dxa"/>
            <w:vAlign w:val="center"/>
          </w:tcPr>
          <w:p w14:paraId="676D7DE2">
            <w:pPr>
              <w:kinsoku w:val="0"/>
              <w:wordWrap w:val="0"/>
              <w:topLinePunct/>
              <w:spacing w:line="360" w:lineRule="exact"/>
              <w:rPr>
                <w:rFonts w:hint="eastAsia" w:ascii="仿宋" w:hAnsi="仿宋" w:eastAsia="仿宋" w:cs="仿宋"/>
                <w:sz w:val="18"/>
              </w:rPr>
            </w:pPr>
          </w:p>
        </w:tc>
        <w:tc>
          <w:tcPr>
            <w:tcW w:w="1992" w:type="dxa"/>
            <w:vAlign w:val="center"/>
          </w:tcPr>
          <w:p w14:paraId="6E833492">
            <w:pPr>
              <w:kinsoku w:val="0"/>
              <w:wordWrap w:val="0"/>
              <w:topLinePunct/>
              <w:spacing w:line="360" w:lineRule="exact"/>
              <w:jc w:val="center"/>
              <w:rPr>
                <w:rFonts w:hint="eastAsia" w:ascii="仿宋" w:hAnsi="仿宋" w:eastAsia="仿宋" w:cs="仿宋"/>
                <w:sz w:val="18"/>
              </w:rPr>
            </w:pPr>
          </w:p>
        </w:tc>
        <w:tc>
          <w:tcPr>
            <w:tcW w:w="2656" w:type="dxa"/>
            <w:vAlign w:val="center"/>
          </w:tcPr>
          <w:p w14:paraId="3A84AD57">
            <w:pPr>
              <w:kinsoku w:val="0"/>
              <w:wordWrap w:val="0"/>
              <w:topLinePunct/>
              <w:spacing w:line="360" w:lineRule="exact"/>
              <w:jc w:val="center"/>
              <w:rPr>
                <w:rFonts w:hint="eastAsia" w:ascii="仿宋" w:hAnsi="仿宋" w:eastAsia="仿宋" w:cs="仿宋"/>
                <w:sz w:val="18"/>
              </w:rPr>
            </w:pPr>
          </w:p>
        </w:tc>
      </w:tr>
      <w:tr w14:paraId="4567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43363D6F">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三</w:t>
            </w:r>
          </w:p>
        </w:tc>
        <w:tc>
          <w:tcPr>
            <w:tcW w:w="3652" w:type="dxa"/>
            <w:vAlign w:val="center"/>
          </w:tcPr>
          <w:p w14:paraId="12DF9522">
            <w:pPr>
              <w:kinsoku w:val="0"/>
              <w:wordWrap w:val="0"/>
              <w:topLinePunct/>
              <w:spacing w:line="360" w:lineRule="exact"/>
              <w:rPr>
                <w:rFonts w:hint="eastAsia" w:ascii="仿宋" w:hAnsi="仿宋" w:eastAsia="仿宋" w:cs="仿宋"/>
                <w:sz w:val="18"/>
              </w:rPr>
            </w:pPr>
          </w:p>
        </w:tc>
        <w:tc>
          <w:tcPr>
            <w:tcW w:w="1992" w:type="dxa"/>
            <w:vAlign w:val="center"/>
          </w:tcPr>
          <w:p w14:paraId="2668E99B">
            <w:pPr>
              <w:kinsoku w:val="0"/>
              <w:wordWrap w:val="0"/>
              <w:topLinePunct/>
              <w:spacing w:line="360" w:lineRule="exact"/>
              <w:jc w:val="center"/>
              <w:rPr>
                <w:rFonts w:hint="eastAsia" w:ascii="仿宋" w:hAnsi="仿宋" w:eastAsia="仿宋" w:cs="仿宋"/>
                <w:sz w:val="18"/>
              </w:rPr>
            </w:pPr>
          </w:p>
        </w:tc>
        <w:tc>
          <w:tcPr>
            <w:tcW w:w="2656" w:type="dxa"/>
            <w:vAlign w:val="center"/>
          </w:tcPr>
          <w:p w14:paraId="21D6B840">
            <w:pPr>
              <w:kinsoku w:val="0"/>
              <w:wordWrap w:val="0"/>
              <w:topLinePunct/>
              <w:spacing w:line="360" w:lineRule="exact"/>
              <w:jc w:val="center"/>
              <w:rPr>
                <w:rFonts w:hint="eastAsia" w:ascii="仿宋" w:hAnsi="仿宋" w:eastAsia="仿宋" w:cs="仿宋"/>
                <w:sz w:val="18"/>
              </w:rPr>
            </w:pPr>
          </w:p>
        </w:tc>
      </w:tr>
      <w:tr w14:paraId="2401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242A0306">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四</w:t>
            </w:r>
          </w:p>
        </w:tc>
        <w:tc>
          <w:tcPr>
            <w:tcW w:w="3652" w:type="dxa"/>
            <w:vAlign w:val="center"/>
          </w:tcPr>
          <w:p w14:paraId="7AC2C6E8">
            <w:pPr>
              <w:kinsoku w:val="0"/>
              <w:wordWrap w:val="0"/>
              <w:topLinePunct/>
              <w:spacing w:line="360" w:lineRule="exact"/>
              <w:rPr>
                <w:rFonts w:hint="eastAsia" w:ascii="仿宋" w:hAnsi="仿宋" w:eastAsia="仿宋" w:cs="仿宋"/>
                <w:sz w:val="18"/>
              </w:rPr>
            </w:pPr>
          </w:p>
        </w:tc>
        <w:tc>
          <w:tcPr>
            <w:tcW w:w="1992" w:type="dxa"/>
            <w:vAlign w:val="center"/>
          </w:tcPr>
          <w:p w14:paraId="1D55A84C">
            <w:pPr>
              <w:kinsoku w:val="0"/>
              <w:wordWrap w:val="0"/>
              <w:topLinePunct/>
              <w:spacing w:line="360" w:lineRule="exact"/>
              <w:jc w:val="center"/>
              <w:rPr>
                <w:rFonts w:hint="eastAsia" w:ascii="仿宋" w:hAnsi="仿宋" w:eastAsia="仿宋" w:cs="仿宋"/>
                <w:sz w:val="18"/>
              </w:rPr>
            </w:pPr>
          </w:p>
        </w:tc>
        <w:tc>
          <w:tcPr>
            <w:tcW w:w="2656" w:type="dxa"/>
            <w:vAlign w:val="center"/>
          </w:tcPr>
          <w:p w14:paraId="7A262261">
            <w:pPr>
              <w:kinsoku w:val="0"/>
              <w:wordWrap w:val="0"/>
              <w:topLinePunct/>
              <w:spacing w:line="360" w:lineRule="exact"/>
              <w:jc w:val="center"/>
              <w:rPr>
                <w:rFonts w:hint="eastAsia" w:ascii="仿宋" w:hAnsi="仿宋" w:eastAsia="仿宋" w:cs="仿宋"/>
                <w:sz w:val="18"/>
              </w:rPr>
            </w:pPr>
          </w:p>
        </w:tc>
      </w:tr>
      <w:tr w14:paraId="529B7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763A667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五</w:t>
            </w:r>
          </w:p>
        </w:tc>
        <w:tc>
          <w:tcPr>
            <w:tcW w:w="3652" w:type="dxa"/>
            <w:vAlign w:val="center"/>
          </w:tcPr>
          <w:p w14:paraId="397A8FB2">
            <w:pPr>
              <w:kinsoku w:val="0"/>
              <w:wordWrap w:val="0"/>
              <w:topLinePunct/>
              <w:spacing w:line="360" w:lineRule="exact"/>
              <w:rPr>
                <w:rFonts w:hint="eastAsia" w:ascii="仿宋" w:hAnsi="仿宋" w:eastAsia="仿宋" w:cs="仿宋"/>
                <w:sz w:val="18"/>
              </w:rPr>
            </w:pPr>
          </w:p>
        </w:tc>
        <w:tc>
          <w:tcPr>
            <w:tcW w:w="1992" w:type="dxa"/>
            <w:vAlign w:val="center"/>
          </w:tcPr>
          <w:p w14:paraId="2DE761D4">
            <w:pPr>
              <w:kinsoku w:val="0"/>
              <w:wordWrap w:val="0"/>
              <w:topLinePunct/>
              <w:spacing w:line="360" w:lineRule="exact"/>
              <w:jc w:val="center"/>
              <w:rPr>
                <w:rFonts w:hint="eastAsia" w:ascii="仿宋" w:hAnsi="仿宋" w:eastAsia="仿宋" w:cs="仿宋"/>
                <w:sz w:val="18"/>
              </w:rPr>
            </w:pPr>
          </w:p>
        </w:tc>
        <w:tc>
          <w:tcPr>
            <w:tcW w:w="2656" w:type="dxa"/>
            <w:vAlign w:val="center"/>
          </w:tcPr>
          <w:p w14:paraId="20A0C468">
            <w:pPr>
              <w:kinsoku w:val="0"/>
              <w:wordWrap w:val="0"/>
              <w:topLinePunct/>
              <w:spacing w:line="360" w:lineRule="exact"/>
              <w:jc w:val="center"/>
              <w:rPr>
                <w:rFonts w:hint="eastAsia" w:ascii="仿宋" w:hAnsi="仿宋" w:eastAsia="仿宋" w:cs="仿宋"/>
                <w:sz w:val="18"/>
              </w:rPr>
            </w:pPr>
          </w:p>
        </w:tc>
      </w:tr>
      <w:tr w14:paraId="4E92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31BF630C">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六</w:t>
            </w:r>
          </w:p>
        </w:tc>
        <w:tc>
          <w:tcPr>
            <w:tcW w:w="3652" w:type="dxa"/>
            <w:vAlign w:val="center"/>
          </w:tcPr>
          <w:p w14:paraId="16478F6A">
            <w:pPr>
              <w:kinsoku w:val="0"/>
              <w:wordWrap w:val="0"/>
              <w:topLinePunct/>
              <w:spacing w:line="360" w:lineRule="exact"/>
              <w:rPr>
                <w:rFonts w:hint="eastAsia" w:ascii="仿宋" w:hAnsi="仿宋" w:eastAsia="仿宋" w:cs="仿宋"/>
                <w:sz w:val="18"/>
              </w:rPr>
            </w:pPr>
          </w:p>
        </w:tc>
        <w:tc>
          <w:tcPr>
            <w:tcW w:w="1992" w:type="dxa"/>
            <w:vAlign w:val="center"/>
          </w:tcPr>
          <w:p w14:paraId="525596FF">
            <w:pPr>
              <w:kinsoku w:val="0"/>
              <w:wordWrap w:val="0"/>
              <w:topLinePunct/>
              <w:spacing w:line="360" w:lineRule="exact"/>
              <w:jc w:val="center"/>
              <w:rPr>
                <w:rFonts w:hint="eastAsia" w:ascii="仿宋" w:hAnsi="仿宋" w:eastAsia="仿宋" w:cs="仿宋"/>
                <w:sz w:val="18"/>
              </w:rPr>
            </w:pPr>
          </w:p>
        </w:tc>
        <w:tc>
          <w:tcPr>
            <w:tcW w:w="2656" w:type="dxa"/>
            <w:vAlign w:val="center"/>
          </w:tcPr>
          <w:p w14:paraId="388E8509">
            <w:pPr>
              <w:kinsoku w:val="0"/>
              <w:wordWrap w:val="0"/>
              <w:topLinePunct/>
              <w:spacing w:line="360" w:lineRule="exact"/>
              <w:jc w:val="center"/>
              <w:rPr>
                <w:rFonts w:hint="eastAsia" w:ascii="仿宋" w:hAnsi="仿宋" w:eastAsia="仿宋" w:cs="仿宋"/>
                <w:sz w:val="18"/>
              </w:rPr>
            </w:pPr>
          </w:p>
        </w:tc>
      </w:tr>
      <w:tr w14:paraId="2EAD7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65505E70">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七</w:t>
            </w:r>
          </w:p>
        </w:tc>
        <w:tc>
          <w:tcPr>
            <w:tcW w:w="3652" w:type="dxa"/>
            <w:vAlign w:val="center"/>
          </w:tcPr>
          <w:p w14:paraId="5743DA6F">
            <w:pPr>
              <w:kinsoku w:val="0"/>
              <w:wordWrap w:val="0"/>
              <w:topLinePunct/>
              <w:spacing w:line="360" w:lineRule="exact"/>
              <w:rPr>
                <w:rFonts w:hint="eastAsia" w:ascii="仿宋" w:hAnsi="仿宋" w:eastAsia="仿宋" w:cs="仿宋"/>
                <w:sz w:val="18"/>
              </w:rPr>
            </w:pPr>
          </w:p>
        </w:tc>
        <w:tc>
          <w:tcPr>
            <w:tcW w:w="1992" w:type="dxa"/>
            <w:vAlign w:val="center"/>
          </w:tcPr>
          <w:p w14:paraId="611FB5CE">
            <w:pPr>
              <w:kinsoku w:val="0"/>
              <w:wordWrap w:val="0"/>
              <w:topLinePunct/>
              <w:spacing w:line="360" w:lineRule="exact"/>
              <w:jc w:val="center"/>
              <w:rPr>
                <w:rFonts w:hint="eastAsia" w:ascii="仿宋" w:hAnsi="仿宋" w:eastAsia="仿宋" w:cs="仿宋"/>
                <w:sz w:val="18"/>
              </w:rPr>
            </w:pPr>
          </w:p>
        </w:tc>
        <w:tc>
          <w:tcPr>
            <w:tcW w:w="2656" w:type="dxa"/>
            <w:vAlign w:val="center"/>
          </w:tcPr>
          <w:p w14:paraId="188E85BE">
            <w:pPr>
              <w:kinsoku w:val="0"/>
              <w:wordWrap w:val="0"/>
              <w:topLinePunct/>
              <w:spacing w:line="360" w:lineRule="exact"/>
              <w:jc w:val="center"/>
              <w:rPr>
                <w:rFonts w:hint="eastAsia" w:ascii="仿宋" w:hAnsi="仿宋" w:eastAsia="仿宋" w:cs="仿宋"/>
                <w:sz w:val="18"/>
              </w:rPr>
            </w:pPr>
          </w:p>
        </w:tc>
      </w:tr>
      <w:tr w14:paraId="4F875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06" w:type="dxa"/>
          </w:tcPr>
          <w:p w14:paraId="50E2671A">
            <w:pPr>
              <w:kinsoku w:val="0"/>
              <w:wordWrap w:val="0"/>
              <w:topLinePunct/>
              <w:spacing w:line="360" w:lineRule="exact"/>
              <w:jc w:val="center"/>
              <w:rPr>
                <w:rFonts w:hint="eastAsia" w:ascii="仿宋" w:hAnsi="仿宋" w:eastAsia="仿宋" w:cs="仿宋"/>
                <w:sz w:val="18"/>
              </w:rPr>
            </w:pPr>
            <w:r>
              <w:rPr>
                <w:rFonts w:hint="eastAsia" w:ascii="仿宋" w:hAnsi="仿宋" w:eastAsia="仿宋" w:cs="仿宋"/>
                <w:sz w:val="18"/>
              </w:rPr>
              <w:t>八</w:t>
            </w:r>
          </w:p>
        </w:tc>
        <w:tc>
          <w:tcPr>
            <w:tcW w:w="3652" w:type="dxa"/>
            <w:vAlign w:val="center"/>
          </w:tcPr>
          <w:p w14:paraId="189A34A1">
            <w:pPr>
              <w:kinsoku w:val="0"/>
              <w:wordWrap w:val="0"/>
              <w:topLinePunct/>
              <w:spacing w:line="360" w:lineRule="exact"/>
              <w:rPr>
                <w:rFonts w:hint="eastAsia" w:ascii="仿宋" w:hAnsi="仿宋" w:eastAsia="仿宋" w:cs="仿宋"/>
                <w:sz w:val="18"/>
              </w:rPr>
            </w:pPr>
          </w:p>
        </w:tc>
        <w:tc>
          <w:tcPr>
            <w:tcW w:w="1992" w:type="dxa"/>
            <w:vAlign w:val="center"/>
          </w:tcPr>
          <w:p w14:paraId="6EE1B258">
            <w:pPr>
              <w:kinsoku w:val="0"/>
              <w:wordWrap w:val="0"/>
              <w:topLinePunct/>
              <w:spacing w:line="360" w:lineRule="exact"/>
              <w:jc w:val="center"/>
              <w:rPr>
                <w:rFonts w:hint="eastAsia" w:ascii="仿宋" w:hAnsi="仿宋" w:eastAsia="仿宋" w:cs="仿宋"/>
                <w:sz w:val="18"/>
              </w:rPr>
            </w:pPr>
          </w:p>
        </w:tc>
        <w:tc>
          <w:tcPr>
            <w:tcW w:w="2656" w:type="dxa"/>
            <w:vAlign w:val="center"/>
          </w:tcPr>
          <w:p w14:paraId="6383BA1A">
            <w:pPr>
              <w:kinsoku w:val="0"/>
              <w:wordWrap w:val="0"/>
              <w:topLinePunct/>
              <w:spacing w:line="360" w:lineRule="exact"/>
              <w:jc w:val="center"/>
              <w:rPr>
                <w:rFonts w:hint="eastAsia" w:ascii="仿宋" w:hAnsi="仿宋" w:eastAsia="仿宋" w:cs="仿宋"/>
                <w:sz w:val="18"/>
              </w:rPr>
            </w:pPr>
          </w:p>
        </w:tc>
      </w:tr>
    </w:tbl>
    <w:p w14:paraId="158B2C17">
      <w:pPr>
        <w:kinsoku w:val="0"/>
        <w:wordWrap w:val="0"/>
        <w:topLinePunct/>
        <w:spacing w:line="360" w:lineRule="exact"/>
        <w:rPr>
          <w:rFonts w:hint="eastAsia" w:ascii="仿宋" w:hAnsi="仿宋" w:eastAsia="仿宋" w:cs="仿宋"/>
          <w:sz w:val="24"/>
        </w:rPr>
      </w:pPr>
    </w:p>
    <w:p w14:paraId="17273192">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投标书附件2：</w:t>
      </w:r>
    </w:p>
    <w:p w14:paraId="55A55EE4">
      <w:pPr>
        <w:kinsoku w:val="0"/>
        <w:wordWrap w:val="0"/>
        <w:topLinePunct/>
        <w:rPr>
          <w:rFonts w:hint="eastAsia" w:ascii="仿宋" w:hAnsi="仿宋" w:eastAsia="仿宋" w:cs="仿宋"/>
        </w:rPr>
      </w:pPr>
    </w:p>
    <w:p w14:paraId="44363B27">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服务承诺书（格式）</w:t>
      </w:r>
    </w:p>
    <w:p w14:paraId="6F881757">
      <w:pPr>
        <w:kinsoku w:val="0"/>
        <w:wordWrap w:val="0"/>
        <w:topLinePunct/>
        <w:ind w:left="851" w:hanging="851"/>
        <w:jc w:val="center"/>
        <w:rPr>
          <w:rFonts w:hint="eastAsia" w:ascii="仿宋" w:hAnsi="仿宋" w:eastAsia="仿宋" w:cs="仿宋"/>
        </w:rPr>
      </w:pPr>
    </w:p>
    <w:p w14:paraId="52F44C15">
      <w:pPr>
        <w:kinsoku w:val="0"/>
        <w:wordWrap w:val="0"/>
        <w:topLinePunct/>
        <w:ind w:left="851" w:hanging="851"/>
        <w:rPr>
          <w:rFonts w:hint="eastAsia" w:ascii="仿宋" w:hAnsi="仿宋" w:eastAsia="仿宋" w:cs="仿宋"/>
          <w:sz w:val="24"/>
        </w:rPr>
      </w:pPr>
      <w:r>
        <w:rPr>
          <w:rFonts w:hint="eastAsia" w:ascii="仿宋" w:hAnsi="仿宋" w:eastAsia="仿宋" w:cs="仿宋"/>
          <w:sz w:val="24"/>
        </w:rPr>
        <w:t>致：汕头大学医学院：</w:t>
      </w:r>
    </w:p>
    <w:p w14:paraId="011795A1">
      <w:pPr>
        <w:kinsoku w:val="0"/>
        <w:wordWrap w:val="0"/>
        <w:topLinePunct/>
        <w:ind w:firstLine="664"/>
        <w:rPr>
          <w:rFonts w:hint="eastAsia" w:ascii="仿宋" w:hAnsi="仿宋" w:eastAsia="仿宋" w:cs="仿宋"/>
          <w:sz w:val="24"/>
        </w:rPr>
      </w:pPr>
      <w:r>
        <w:rPr>
          <w:rFonts w:hint="eastAsia" w:ascii="仿宋" w:hAnsi="仿宋" w:eastAsia="仿宋" w:cs="仿宋"/>
          <w:sz w:val="24"/>
        </w:rPr>
        <w:t>根据你们第设</w:t>
      </w:r>
      <w:r>
        <w:rPr>
          <w:rFonts w:hint="eastAsia" w:ascii="仿宋" w:hAnsi="仿宋" w:eastAsia="仿宋" w:cs="仿宋"/>
          <w:sz w:val="24"/>
          <w:u w:val="single"/>
        </w:rPr>
        <w:t xml:space="preserve">            </w:t>
      </w:r>
      <w:r>
        <w:rPr>
          <w:rFonts w:hint="eastAsia" w:ascii="仿宋" w:hAnsi="仿宋" w:eastAsia="仿宋" w:cs="仿宋"/>
          <w:sz w:val="24"/>
        </w:rPr>
        <w:t>号（招标编号）招标书，我们同意招标文件中有关服务的要求，对所投的技术服务承诺如下服务：</w:t>
      </w:r>
    </w:p>
    <w:p w14:paraId="00D3E65B">
      <w:pPr>
        <w:kinsoku w:val="0"/>
        <w:wordWrap w:val="0"/>
        <w:topLinePunct/>
        <w:ind w:firstLine="664"/>
        <w:rPr>
          <w:rFonts w:hint="eastAsia" w:ascii="仿宋" w:hAnsi="仿宋" w:eastAsia="仿宋" w:cs="仿宋"/>
          <w:sz w:val="24"/>
        </w:rPr>
      </w:pPr>
    </w:p>
    <w:p w14:paraId="5C38F29F">
      <w:pPr>
        <w:kinsoku w:val="0"/>
        <w:wordWrap w:val="0"/>
        <w:topLinePunct/>
        <w:ind w:firstLine="664"/>
        <w:rPr>
          <w:rFonts w:hint="eastAsia" w:ascii="仿宋" w:hAnsi="仿宋" w:eastAsia="仿宋" w:cs="仿宋"/>
          <w:sz w:val="24"/>
        </w:rPr>
      </w:pPr>
    </w:p>
    <w:p w14:paraId="0FC0A0A1">
      <w:pPr>
        <w:kinsoku w:val="0"/>
        <w:wordWrap w:val="0"/>
        <w:topLinePunct/>
        <w:ind w:firstLine="664"/>
        <w:rPr>
          <w:rFonts w:hint="eastAsia" w:ascii="仿宋" w:hAnsi="仿宋" w:eastAsia="仿宋" w:cs="仿宋"/>
          <w:sz w:val="24"/>
        </w:rPr>
      </w:pPr>
    </w:p>
    <w:p w14:paraId="6BDF0A11">
      <w:pPr>
        <w:kinsoku w:val="0"/>
        <w:wordWrap w:val="0"/>
        <w:topLinePunct/>
        <w:ind w:firstLine="664"/>
        <w:rPr>
          <w:rFonts w:hint="eastAsia" w:ascii="仿宋" w:hAnsi="仿宋" w:eastAsia="仿宋" w:cs="仿宋"/>
          <w:sz w:val="24"/>
        </w:rPr>
      </w:pPr>
    </w:p>
    <w:p w14:paraId="66921640">
      <w:pPr>
        <w:kinsoku w:val="0"/>
        <w:wordWrap w:val="0"/>
        <w:topLinePunct/>
        <w:ind w:firstLine="664"/>
        <w:rPr>
          <w:rFonts w:hint="eastAsia" w:ascii="仿宋" w:hAnsi="仿宋" w:eastAsia="仿宋" w:cs="仿宋"/>
          <w:sz w:val="24"/>
        </w:rPr>
      </w:pPr>
    </w:p>
    <w:p w14:paraId="0D6C7AA2">
      <w:pPr>
        <w:kinsoku w:val="0"/>
        <w:wordWrap w:val="0"/>
        <w:topLinePunct/>
        <w:ind w:firstLine="664"/>
        <w:rPr>
          <w:rFonts w:hint="eastAsia" w:ascii="仿宋" w:hAnsi="仿宋" w:eastAsia="仿宋" w:cs="仿宋"/>
          <w:sz w:val="24"/>
        </w:rPr>
      </w:pPr>
    </w:p>
    <w:p w14:paraId="15A9431D">
      <w:pPr>
        <w:kinsoku w:val="0"/>
        <w:wordWrap w:val="0"/>
        <w:topLinePunct/>
        <w:ind w:firstLine="664"/>
        <w:rPr>
          <w:rFonts w:hint="eastAsia" w:ascii="仿宋" w:hAnsi="仿宋" w:eastAsia="仿宋" w:cs="仿宋"/>
          <w:sz w:val="24"/>
        </w:rPr>
      </w:pPr>
    </w:p>
    <w:p w14:paraId="19807419">
      <w:pPr>
        <w:kinsoku w:val="0"/>
        <w:wordWrap w:val="0"/>
        <w:topLinePunct/>
        <w:ind w:firstLine="664"/>
        <w:rPr>
          <w:rFonts w:hint="eastAsia" w:ascii="仿宋" w:hAnsi="仿宋" w:eastAsia="仿宋" w:cs="仿宋"/>
          <w:sz w:val="24"/>
        </w:rPr>
      </w:pPr>
    </w:p>
    <w:p w14:paraId="6FF29E46">
      <w:pPr>
        <w:kinsoku w:val="0"/>
        <w:wordWrap w:val="0"/>
        <w:topLinePunct/>
        <w:ind w:firstLine="664"/>
        <w:rPr>
          <w:rFonts w:hint="eastAsia" w:ascii="仿宋" w:hAnsi="仿宋" w:eastAsia="仿宋" w:cs="仿宋"/>
          <w:sz w:val="24"/>
        </w:rPr>
      </w:pPr>
    </w:p>
    <w:p w14:paraId="49AED04D">
      <w:pPr>
        <w:kinsoku w:val="0"/>
        <w:wordWrap w:val="0"/>
        <w:topLinePunct/>
        <w:ind w:firstLine="664"/>
        <w:rPr>
          <w:rFonts w:hint="eastAsia" w:ascii="仿宋" w:hAnsi="仿宋" w:eastAsia="仿宋" w:cs="仿宋"/>
          <w:sz w:val="24"/>
        </w:rPr>
      </w:pPr>
      <w:r>
        <w:rPr>
          <w:rFonts w:hint="eastAsia" w:ascii="仿宋" w:hAnsi="仿宋" w:eastAsia="仿宋" w:cs="仿宋"/>
          <w:sz w:val="24"/>
        </w:rPr>
        <w:t>特此承诺！</w:t>
      </w:r>
    </w:p>
    <w:p w14:paraId="5279F0F7">
      <w:pPr>
        <w:kinsoku w:val="0"/>
        <w:wordWrap w:val="0"/>
        <w:topLinePunct/>
        <w:ind w:firstLine="664"/>
        <w:rPr>
          <w:rFonts w:hint="eastAsia" w:ascii="仿宋" w:hAnsi="仿宋" w:eastAsia="仿宋" w:cs="仿宋"/>
          <w:sz w:val="24"/>
        </w:rPr>
      </w:pPr>
    </w:p>
    <w:p w14:paraId="2B1E0926">
      <w:pPr>
        <w:kinsoku w:val="0"/>
        <w:wordWrap w:val="0"/>
        <w:topLinePunct/>
        <w:rPr>
          <w:rFonts w:hint="eastAsia" w:ascii="仿宋" w:hAnsi="仿宋" w:eastAsia="仿宋" w:cs="仿宋"/>
          <w:sz w:val="24"/>
        </w:rPr>
      </w:pPr>
      <w:r>
        <w:rPr>
          <w:rFonts w:hint="eastAsia" w:ascii="仿宋" w:hAnsi="仿宋" w:eastAsia="仿宋" w:cs="仿宋"/>
          <w:sz w:val="24"/>
        </w:rPr>
        <w:t xml:space="preserve">    承诺方授权代表签字：</w:t>
      </w:r>
      <w:r>
        <w:rPr>
          <w:rFonts w:hint="eastAsia" w:ascii="仿宋" w:hAnsi="仿宋" w:eastAsia="仿宋" w:cs="仿宋"/>
          <w:sz w:val="24"/>
          <w:u w:val="single"/>
        </w:rPr>
        <w:t xml:space="preserve">                    </w:t>
      </w:r>
    </w:p>
    <w:p w14:paraId="3A51D358">
      <w:pPr>
        <w:kinsoku w:val="0"/>
        <w:wordWrap w:val="0"/>
        <w:topLinePunct/>
        <w:rPr>
          <w:rFonts w:hint="eastAsia" w:ascii="仿宋" w:hAnsi="仿宋" w:eastAsia="仿宋" w:cs="仿宋"/>
          <w:sz w:val="24"/>
        </w:rPr>
      </w:pPr>
      <w:r>
        <w:rPr>
          <w:rFonts w:hint="eastAsia" w:ascii="仿宋" w:hAnsi="仿宋" w:eastAsia="仿宋" w:cs="仿宋"/>
          <w:sz w:val="24"/>
        </w:rPr>
        <w:t xml:space="preserve">    职      位:</w:t>
      </w:r>
      <w:r>
        <w:rPr>
          <w:rFonts w:hint="eastAsia" w:ascii="仿宋" w:hAnsi="仿宋" w:eastAsia="仿宋" w:cs="仿宋"/>
          <w:sz w:val="24"/>
          <w:u w:val="single"/>
        </w:rPr>
        <w:t xml:space="preserve">                             </w:t>
      </w:r>
    </w:p>
    <w:p w14:paraId="702596F4">
      <w:pPr>
        <w:kinsoku w:val="0"/>
        <w:wordWrap w:val="0"/>
        <w:topLinePunct/>
        <w:rPr>
          <w:rFonts w:hint="eastAsia" w:ascii="仿宋" w:hAnsi="仿宋" w:eastAsia="仿宋" w:cs="仿宋"/>
          <w:sz w:val="24"/>
        </w:rPr>
      </w:pPr>
      <w:r>
        <w:rPr>
          <w:rFonts w:hint="eastAsia" w:ascii="仿宋" w:hAnsi="仿宋" w:eastAsia="仿宋" w:cs="仿宋"/>
          <w:sz w:val="24"/>
        </w:rPr>
        <w:t xml:space="preserve">    承诺方名称:</w:t>
      </w:r>
      <w:r>
        <w:rPr>
          <w:rFonts w:hint="eastAsia" w:ascii="仿宋" w:hAnsi="仿宋" w:eastAsia="仿宋" w:cs="仿宋"/>
          <w:sz w:val="24"/>
          <w:u w:val="single"/>
        </w:rPr>
        <w:t xml:space="preserve">                             </w:t>
      </w:r>
    </w:p>
    <w:p w14:paraId="6D1D137C">
      <w:pPr>
        <w:kinsoku w:val="0"/>
        <w:wordWrap w:val="0"/>
        <w:topLinePunct/>
        <w:rPr>
          <w:rFonts w:hint="eastAsia" w:ascii="仿宋" w:hAnsi="仿宋" w:eastAsia="仿宋" w:cs="仿宋"/>
          <w:sz w:val="24"/>
        </w:rPr>
      </w:pPr>
      <w:r>
        <w:rPr>
          <w:rFonts w:hint="eastAsia" w:ascii="仿宋" w:hAnsi="仿宋" w:eastAsia="仿宋" w:cs="仿宋"/>
          <w:sz w:val="24"/>
        </w:rPr>
        <w:t xml:space="preserve">    承诺方印章:</w:t>
      </w:r>
      <w:r>
        <w:rPr>
          <w:rFonts w:hint="eastAsia" w:ascii="仿宋" w:hAnsi="仿宋" w:eastAsia="仿宋" w:cs="仿宋"/>
          <w:sz w:val="24"/>
          <w:u w:val="single"/>
        </w:rPr>
        <w:t xml:space="preserve">                             </w:t>
      </w:r>
    </w:p>
    <w:p w14:paraId="0F817E33">
      <w:pPr>
        <w:kinsoku w:val="0"/>
        <w:wordWrap w:val="0"/>
        <w:topLinePunct/>
        <w:rPr>
          <w:rFonts w:hint="eastAsia" w:ascii="仿宋" w:hAnsi="仿宋" w:eastAsia="仿宋" w:cs="仿宋"/>
          <w:sz w:val="24"/>
        </w:rPr>
      </w:pPr>
      <w:r>
        <w:rPr>
          <w:rFonts w:hint="eastAsia" w:ascii="仿宋" w:hAnsi="仿宋" w:eastAsia="仿宋" w:cs="仿宋"/>
          <w:sz w:val="24"/>
        </w:rPr>
        <w:t xml:space="preserve">   </w:t>
      </w:r>
    </w:p>
    <w:p w14:paraId="75D331A2">
      <w:pPr>
        <w:kinsoku w:val="0"/>
        <w:wordWrap w:val="0"/>
        <w:topLinePunct/>
        <w:ind w:firstLine="735"/>
        <w:rPr>
          <w:rFonts w:hint="eastAsia" w:ascii="仿宋" w:hAnsi="仿宋" w:eastAsia="仿宋" w:cs="仿宋"/>
          <w:sz w:val="24"/>
        </w:rPr>
      </w:pPr>
      <w:r>
        <w:rPr>
          <w:rFonts w:hint="eastAsia" w:ascii="仿宋" w:hAnsi="仿宋" w:eastAsia="仿宋" w:cs="仿宋"/>
          <w:sz w:val="24"/>
        </w:rPr>
        <w:t>地  址：</w:t>
      </w:r>
    </w:p>
    <w:p w14:paraId="4223FC27">
      <w:pPr>
        <w:kinsoku w:val="0"/>
        <w:wordWrap w:val="0"/>
        <w:topLinePunct/>
        <w:ind w:firstLine="735"/>
        <w:rPr>
          <w:rFonts w:hint="eastAsia" w:ascii="仿宋" w:hAnsi="仿宋" w:eastAsia="仿宋" w:cs="仿宋"/>
          <w:sz w:val="24"/>
        </w:rPr>
      </w:pPr>
      <w:r>
        <w:rPr>
          <w:rFonts w:hint="eastAsia" w:ascii="仿宋" w:hAnsi="仿宋" w:eastAsia="仿宋" w:cs="仿宋"/>
          <w:sz w:val="24"/>
        </w:rPr>
        <w:t>邮  编：</w:t>
      </w:r>
    </w:p>
    <w:p w14:paraId="798D3802">
      <w:pPr>
        <w:kinsoku w:val="0"/>
        <w:wordWrap w:val="0"/>
        <w:topLinePunct/>
        <w:ind w:firstLine="735"/>
        <w:rPr>
          <w:rFonts w:hint="eastAsia" w:ascii="仿宋" w:hAnsi="仿宋" w:eastAsia="仿宋" w:cs="仿宋"/>
          <w:sz w:val="24"/>
        </w:rPr>
      </w:pPr>
      <w:r>
        <w:rPr>
          <w:rFonts w:hint="eastAsia" w:ascii="仿宋" w:hAnsi="仿宋" w:eastAsia="仿宋" w:cs="仿宋"/>
          <w:sz w:val="24"/>
        </w:rPr>
        <w:t>电  话：</w:t>
      </w:r>
    </w:p>
    <w:p w14:paraId="39AAAEBF">
      <w:pPr>
        <w:kinsoku w:val="0"/>
        <w:wordWrap w:val="0"/>
        <w:topLinePunct/>
        <w:ind w:firstLine="735"/>
        <w:rPr>
          <w:rFonts w:hint="eastAsia" w:ascii="仿宋" w:hAnsi="仿宋" w:eastAsia="仿宋" w:cs="仿宋"/>
          <w:sz w:val="24"/>
        </w:rPr>
      </w:pPr>
      <w:r>
        <w:rPr>
          <w:rFonts w:hint="eastAsia" w:ascii="仿宋" w:hAnsi="仿宋" w:eastAsia="仿宋" w:cs="仿宋"/>
          <w:sz w:val="24"/>
        </w:rPr>
        <w:t>传  真：</w:t>
      </w:r>
    </w:p>
    <w:p w14:paraId="63FE9F57">
      <w:pPr>
        <w:kinsoku w:val="0"/>
        <w:wordWrap w:val="0"/>
        <w:topLinePunct/>
        <w:rPr>
          <w:rFonts w:hint="eastAsia" w:ascii="仿宋" w:hAnsi="仿宋" w:eastAsia="仿宋" w:cs="仿宋"/>
          <w:sz w:val="24"/>
        </w:rPr>
      </w:pPr>
    </w:p>
    <w:p w14:paraId="3A33B129">
      <w:pPr>
        <w:kinsoku w:val="0"/>
        <w:wordWrap w:val="0"/>
        <w:topLinePunct/>
        <w:rPr>
          <w:rFonts w:hint="eastAsia" w:ascii="仿宋" w:hAnsi="仿宋" w:eastAsia="仿宋" w:cs="仿宋"/>
          <w:sz w:val="24"/>
        </w:rPr>
      </w:pPr>
    </w:p>
    <w:p w14:paraId="6C204297">
      <w:pPr>
        <w:kinsoku w:val="0"/>
        <w:wordWrap w:val="0"/>
        <w:topLinePunct/>
        <w:rPr>
          <w:rFonts w:hint="eastAsia" w:ascii="仿宋" w:hAnsi="仿宋" w:eastAsia="仿宋" w:cs="仿宋"/>
          <w:sz w:val="24"/>
        </w:rPr>
      </w:pPr>
    </w:p>
    <w:p w14:paraId="2CA78CBF">
      <w:pPr>
        <w:kinsoku w:val="0"/>
        <w:wordWrap w:val="0"/>
        <w:topLinePunct/>
        <w:rPr>
          <w:rFonts w:hint="eastAsia" w:ascii="仿宋" w:hAnsi="仿宋" w:eastAsia="仿宋" w:cs="仿宋"/>
          <w:sz w:val="24"/>
        </w:rPr>
      </w:pPr>
    </w:p>
    <w:p w14:paraId="32CF58D3">
      <w:pPr>
        <w:kinsoku w:val="0"/>
        <w:wordWrap w:val="0"/>
        <w:topLinePunct/>
        <w:ind w:left="851" w:hanging="851"/>
        <w:rPr>
          <w:rFonts w:hint="eastAsia" w:ascii="仿宋" w:hAnsi="仿宋" w:eastAsia="仿宋" w:cs="仿宋"/>
          <w:sz w:val="24"/>
        </w:rPr>
      </w:pPr>
      <w:r>
        <w:rPr>
          <w:rFonts w:hint="eastAsia" w:ascii="仿宋" w:hAnsi="仿宋" w:eastAsia="仿宋" w:cs="仿宋"/>
          <w:sz w:val="24"/>
        </w:rPr>
        <w:t xml:space="preserve"> </w:t>
      </w:r>
    </w:p>
    <w:p w14:paraId="578F5D89">
      <w:pPr>
        <w:kinsoku w:val="0"/>
        <w:wordWrap w:val="0"/>
        <w:topLinePunct/>
        <w:rPr>
          <w:rFonts w:hint="eastAsia" w:ascii="仿宋" w:hAnsi="仿宋" w:eastAsia="仿宋" w:cs="仿宋"/>
          <w:sz w:val="24"/>
        </w:rPr>
      </w:pPr>
      <w:r>
        <w:rPr>
          <w:rFonts w:hint="eastAsia" w:ascii="仿宋" w:hAnsi="仿宋" w:eastAsia="仿宋" w:cs="仿宋"/>
          <w:sz w:val="24"/>
        </w:rPr>
        <w:br w:type="page"/>
      </w:r>
      <w:r>
        <w:rPr>
          <w:rFonts w:hint="eastAsia" w:ascii="仿宋" w:hAnsi="仿宋" w:eastAsia="仿宋" w:cs="仿宋"/>
          <w:sz w:val="24"/>
        </w:rPr>
        <w:t>投标书附件3：</w:t>
      </w:r>
    </w:p>
    <w:p w14:paraId="3204242A">
      <w:pPr>
        <w:kinsoku w:val="0"/>
        <w:wordWrap w:val="0"/>
        <w:topLinePunct/>
        <w:ind w:left="851" w:hanging="851"/>
        <w:rPr>
          <w:rFonts w:hint="eastAsia" w:ascii="仿宋" w:hAnsi="仿宋" w:eastAsia="仿宋" w:cs="仿宋"/>
          <w:sz w:val="24"/>
        </w:rPr>
      </w:pPr>
    </w:p>
    <w:p w14:paraId="63EC3F77">
      <w:pPr>
        <w:kinsoku w:val="0"/>
        <w:wordWrap w:val="0"/>
        <w:topLinePunct/>
        <w:ind w:left="851" w:hanging="851"/>
        <w:jc w:val="center"/>
        <w:rPr>
          <w:rFonts w:hint="eastAsia" w:ascii="仿宋" w:hAnsi="仿宋" w:eastAsia="仿宋" w:cs="仿宋"/>
          <w:b/>
          <w:sz w:val="32"/>
        </w:rPr>
      </w:pPr>
      <w:r>
        <w:rPr>
          <w:rFonts w:hint="eastAsia" w:ascii="仿宋" w:hAnsi="仿宋" w:eastAsia="仿宋" w:cs="仿宋"/>
          <w:b/>
          <w:sz w:val="32"/>
        </w:rPr>
        <w:t>关于资格文件声明的函</w:t>
      </w:r>
    </w:p>
    <w:p w14:paraId="794B9AC2">
      <w:pPr>
        <w:kinsoku w:val="0"/>
        <w:wordWrap w:val="0"/>
        <w:topLinePunct/>
        <w:ind w:left="851" w:hanging="851"/>
        <w:rPr>
          <w:rFonts w:hint="eastAsia" w:ascii="仿宋" w:hAnsi="仿宋" w:eastAsia="仿宋" w:cs="仿宋"/>
          <w:sz w:val="24"/>
        </w:rPr>
      </w:pPr>
    </w:p>
    <w:p w14:paraId="647CFF35">
      <w:pPr>
        <w:kinsoku w:val="0"/>
        <w:wordWrap w:val="0"/>
        <w:topLinePunct/>
        <w:spacing w:after="180"/>
        <w:ind w:left="850" w:hanging="266"/>
        <w:rPr>
          <w:rFonts w:hint="eastAsia" w:ascii="仿宋" w:hAnsi="仿宋" w:eastAsia="仿宋" w:cs="仿宋"/>
          <w:sz w:val="24"/>
        </w:rPr>
      </w:pPr>
      <w:r>
        <w:rPr>
          <w:rFonts w:hint="eastAsia" w:ascii="仿宋" w:hAnsi="仿宋" w:eastAsia="仿宋" w:cs="仿宋"/>
          <w:sz w:val="24"/>
        </w:rPr>
        <w:t>致：汕头大学医学院</w:t>
      </w:r>
    </w:p>
    <w:p w14:paraId="2A57827A">
      <w:pPr>
        <w:kinsoku w:val="0"/>
        <w:wordWrap w:val="0"/>
        <w:topLinePunct/>
        <w:spacing w:after="180"/>
        <w:ind w:firstLine="585"/>
        <w:rPr>
          <w:rFonts w:hint="eastAsia" w:ascii="仿宋" w:hAnsi="仿宋" w:eastAsia="仿宋" w:cs="仿宋"/>
          <w:sz w:val="24"/>
        </w:rPr>
      </w:pPr>
      <w:r>
        <w:rPr>
          <w:rFonts w:hint="eastAsia" w:ascii="仿宋" w:hAnsi="仿宋" w:eastAsia="仿宋" w:cs="仿宋"/>
          <w:sz w:val="24"/>
        </w:rPr>
        <w:t>关于贵方</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日设</w:t>
      </w:r>
      <w:r>
        <w:rPr>
          <w:rFonts w:hint="eastAsia" w:ascii="仿宋" w:hAnsi="仿宋" w:eastAsia="仿宋" w:cs="仿宋"/>
          <w:sz w:val="24"/>
          <w:u w:val="single"/>
        </w:rPr>
        <w:t xml:space="preserve">           </w:t>
      </w:r>
      <w:r>
        <w:rPr>
          <w:rFonts w:hint="eastAsia" w:ascii="仿宋" w:hAnsi="仿宋" w:eastAsia="仿宋" w:cs="仿宋"/>
          <w:sz w:val="24"/>
        </w:rPr>
        <w:t>号招标文件的投标邀请，本签字人愿意参加投标，并证明提交的资格文件和说明是准确的和真实的。</w:t>
      </w:r>
    </w:p>
    <w:p w14:paraId="7A353D36">
      <w:pPr>
        <w:kinsoku w:val="0"/>
        <w:wordWrap w:val="0"/>
        <w:topLinePunct/>
        <w:spacing w:after="180"/>
        <w:rPr>
          <w:rFonts w:hint="eastAsia" w:ascii="仿宋" w:hAnsi="仿宋" w:eastAsia="仿宋" w:cs="仿宋"/>
          <w:sz w:val="24"/>
        </w:rPr>
      </w:pPr>
    </w:p>
    <w:p w14:paraId="677A37FA">
      <w:pPr>
        <w:kinsoku w:val="0"/>
        <w:wordWrap w:val="0"/>
        <w:topLinePunct/>
        <w:spacing w:after="180"/>
        <w:rPr>
          <w:rFonts w:hint="eastAsia" w:ascii="仿宋" w:hAnsi="仿宋" w:eastAsia="仿宋" w:cs="仿宋"/>
          <w:sz w:val="24"/>
        </w:rPr>
      </w:pPr>
    </w:p>
    <w:p w14:paraId="56C2594C">
      <w:pPr>
        <w:kinsoku w:val="0"/>
        <w:wordWrap w:val="0"/>
        <w:topLinePunct/>
        <w:spacing w:after="180"/>
        <w:rPr>
          <w:rFonts w:hint="eastAsia" w:ascii="仿宋" w:hAnsi="仿宋" w:eastAsia="仿宋" w:cs="仿宋"/>
          <w:sz w:val="24"/>
        </w:rPr>
      </w:pPr>
      <w:r>
        <w:rPr>
          <w:rFonts w:hint="eastAsia" w:ascii="仿宋" w:hAnsi="仿宋" w:eastAsia="仿宋" w:cs="仿宋"/>
          <w:sz w:val="24"/>
        </w:rPr>
        <w:t>单位名称和地址：              授权签署本资格文件人：</w:t>
      </w:r>
    </w:p>
    <w:p w14:paraId="78E88C87">
      <w:pPr>
        <w:kinsoku w:val="0"/>
        <w:wordWrap w:val="0"/>
        <w:topLinePunct/>
        <w:spacing w:after="180"/>
        <w:rPr>
          <w:rFonts w:hint="eastAsia" w:ascii="仿宋" w:hAnsi="仿宋" w:eastAsia="仿宋" w:cs="仿宋"/>
          <w:sz w:val="24"/>
        </w:rPr>
      </w:pPr>
      <w:r>
        <w:rPr>
          <w:rFonts w:hint="eastAsia" w:ascii="仿宋" w:hAnsi="仿宋" w:eastAsia="仿宋" w:cs="仿宋"/>
          <w:sz w:val="24"/>
        </w:rPr>
        <w:t>名  称：</w:t>
      </w:r>
      <w:r>
        <w:rPr>
          <w:rFonts w:hint="eastAsia" w:ascii="仿宋" w:hAnsi="仿宋" w:eastAsia="仿宋" w:cs="仿宋"/>
          <w:sz w:val="24"/>
          <w:u w:val="single"/>
        </w:rPr>
        <w:t xml:space="preserve">                 </w:t>
      </w:r>
      <w:r>
        <w:rPr>
          <w:rFonts w:hint="eastAsia" w:ascii="仿宋" w:hAnsi="仿宋" w:eastAsia="仿宋" w:cs="仿宋"/>
          <w:sz w:val="24"/>
        </w:rPr>
        <w:t xml:space="preserve">     签  字：</w:t>
      </w:r>
      <w:r>
        <w:rPr>
          <w:rFonts w:hint="eastAsia" w:ascii="仿宋" w:hAnsi="仿宋" w:eastAsia="仿宋" w:cs="仿宋"/>
          <w:sz w:val="24"/>
          <w:u w:val="single"/>
        </w:rPr>
        <w:t xml:space="preserve">                 </w:t>
      </w:r>
      <w:r>
        <w:rPr>
          <w:rFonts w:hint="eastAsia" w:ascii="仿宋" w:hAnsi="仿宋" w:eastAsia="仿宋" w:cs="仿宋"/>
          <w:sz w:val="24"/>
        </w:rPr>
        <w:t>.</w:t>
      </w:r>
    </w:p>
    <w:p w14:paraId="0C6401AB">
      <w:pPr>
        <w:kinsoku w:val="0"/>
        <w:wordWrap w:val="0"/>
        <w:topLinePunct/>
        <w:spacing w:after="180"/>
        <w:rPr>
          <w:rFonts w:hint="eastAsia" w:ascii="仿宋" w:hAnsi="仿宋" w:eastAsia="仿宋" w:cs="仿宋"/>
          <w:sz w:val="24"/>
        </w:rPr>
      </w:pPr>
      <w:r>
        <w:rPr>
          <w:rFonts w:hint="eastAsia" w:ascii="仿宋" w:hAnsi="仿宋" w:eastAsia="仿宋" w:cs="仿宋"/>
          <w:sz w:val="24"/>
        </w:rPr>
        <w:t>地  址：</w:t>
      </w:r>
      <w:r>
        <w:rPr>
          <w:rFonts w:hint="eastAsia" w:ascii="仿宋" w:hAnsi="仿宋" w:eastAsia="仿宋" w:cs="仿宋"/>
          <w:sz w:val="24"/>
          <w:u w:val="single"/>
        </w:rPr>
        <w:t xml:space="preserve">                 </w:t>
      </w:r>
      <w:r>
        <w:rPr>
          <w:rFonts w:hint="eastAsia" w:ascii="仿宋" w:hAnsi="仿宋" w:eastAsia="仿宋" w:cs="仿宋"/>
          <w:sz w:val="24"/>
        </w:rPr>
        <w:t xml:space="preserve">     签字人姓名、职务（印刷体）</w:t>
      </w:r>
    </w:p>
    <w:p w14:paraId="73A0C2E0">
      <w:pPr>
        <w:kinsoku w:val="0"/>
        <w:wordWrap w:val="0"/>
        <w:topLinePunct/>
        <w:spacing w:after="180"/>
        <w:rPr>
          <w:rFonts w:hint="eastAsia" w:ascii="仿宋" w:hAnsi="仿宋" w:eastAsia="仿宋" w:cs="仿宋"/>
          <w:sz w:val="24"/>
          <w:u w:val="single"/>
        </w:rPr>
      </w:pPr>
      <w:r>
        <w:rPr>
          <w:rFonts w:hint="eastAsia" w:ascii="仿宋" w:hAnsi="仿宋" w:eastAsia="仿宋" w:cs="仿宋"/>
          <w:sz w:val="24"/>
        </w:rPr>
        <w:t>传  真：</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w:t>
      </w:r>
    </w:p>
    <w:p w14:paraId="79610FB2">
      <w:pPr>
        <w:kinsoku w:val="0"/>
        <w:wordWrap w:val="0"/>
        <w:topLinePunct/>
        <w:spacing w:after="180"/>
        <w:rPr>
          <w:rFonts w:hint="eastAsia" w:ascii="仿宋" w:hAnsi="仿宋" w:eastAsia="仿宋" w:cs="仿宋"/>
          <w:sz w:val="24"/>
        </w:rPr>
      </w:pPr>
      <w:r>
        <w:rPr>
          <w:rFonts w:hint="eastAsia" w:ascii="仿宋" w:hAnsi="仿宋" w:eastAsia="仿宋" w:cs="仿宋"/>
          <w:sz w:val="24"/>
        </w:rPr>
        <w:t>邮  编：</w:t>
      </w:r>
      <w:r>
        <w:rPr>
          <w:rFonts w:hint="eastAsia" w:ascii="仿宋" w:hAnsi="仿宋" w:eastAsia="仿宋" w:cs="仿宋"/>
          <w:sz w:val="24"/>
          <w:u w:val="single"/>
        </w:rPr>
        <w:t xml:space="preserve">                 </w:t>
      </w:r>
      <w:r>
        <w:rPr>
          <w:rFonts w:hint="eastAsia" w:ascii="仿宋" w:hAnsi="仿宋" w:eastAsia="仿宋" w:cs="仿宋"/>
          <w:sz w:val="24"/>
        </w:rPr>
        <w:t xml:space="preserve">     电  话：</w:t>
      </w:r>
      <w:r>
        <w:rPr>
          <w:rFonts w:hint="eastAsia" w:ascii="仿宋" w:hAnsi="仿宋" w:eastAsia="仿宋" w:cs="仿宋"/>
          <w:sz w:val="24"/>
          <w:u w:val="single"/>
        </w:rPr>
        <w:t xml:space="preserve">                 </w:t>
      </w:r>
      <w:r>
        <w:rPr>
          <w:rFonts w:hint="eastAsia" w:ascii="仿宋" w:hAnsi="仿宋" w:eastAsia="仿宋" w:cs="仿宋"/>
          <w:sz w:val="24"/>
        </w:rPr>
        <w:t>.</w:t>
      </w:r>
    </w:p>
    <w:p w14:paraId="1BA4177A">
      <w:pPr>
        <w:kinsoku w:val="0"/>
        <w:wordWrap w:val="0"/>
        <w:topLinePunct/>
        <w:spacing w:after="180"/>
        <w:rPr>
          <w:rFonts w:hint="eastAsia" w:ascii="仿宋" w:hAnsi="仿宋" w:eastAsia="仿宋" w:cs="仿宋"/>
          <w:sz w:val="24"/>
        </w:rPr>
      </w:pPr>
    </w:p>
    <w:p w14:paraId="012567E2">
      <w:pPr>
        <w:kinsoku w:val="0"/>
        <w:wordWrap w:val="0"/>
        <w:topLinePunct/>
        <w:spacing w:after="180"/>
        <w:rPr>
          <w:rFonts w:hint="eastAsia" w:ascii="仿宋" w:hAnsi="仿宋" w:eastAsia="仿宋" w:cs="仿宋"/>
          <w:sz w:val="24"/>
        </w:rPr>
      </w:pPr>
    </w:p>
    <w:p w14:paraId="130F044C">
      <w:pPr>
        <w:kinsoku w:val="0"/>
        <w:wordWrap w:val="0"/>
        <w:topLinePunct/>
        <w:spacing w:after="180"/>
        <w:rPr>
          <w:rFonts w:hint="eastAsia" w:ascii="仿宋" w:hAnsi="仿宋" w:eastAsia="仿宋" w:cs="仿宋"/>
          <w:sz w:val="24"/>
        </w:rPr>
      </w:pPr>
    </w:p>
    <w:p w14:paraId="42249E1E">
      <w:pPr>
        <w:kinsoku w:val="0"/>
        <w:wordWrap w:val="0"/>
        <w:topLinePunct/>
        <w:spacing w:after="180"/>
        <w:rPr>
          <w:rFonts w:hint="eastAsia" w:ascii="仿宋" w:hAnsi="仿宋" w:eastAsia="仿宋" w:cs="仿宋"/>
          <w:sz w:val="24"/>
        </w:rPr>
      </w:pPr>
    </w:p>
    <w:p w14:paraId="11D2C752">
      <w:pPr>
        <w:kinsoku w:val="0"/>
        <w:wordWrap w:val="0"/>
        <w:topLinePunct/>
        <w:spacing w:after="180"/>
        <w:rPr>
          <w:rFonts w:hint="eastAsia" w:ascii="仿宋" w:hAnsi="仿宋" w:eastAsia="仿宋" w:cs="仿宋"/>
          <w:sz w:val="24"/>
        </w:rPr>
      </w:pPr>
    </w:p>
    <w:p w14:paraId="5E354B7C">
      <w:pPr>
        <w:kinsoku w:val="0"/>
        <w:wordWrap w:val="0"/>
        <w:topLinePunct/>
        <w:spacing w:after="180"/>
        <w:rPr>
          <w:rFonts w:hint="eastAsia" w:ascii="仿宋" w:hAnsi="仿宋" w:eastAsia="仿宋" w:cs="仿宋"/>
          <w:sz w:val="24"/>
        </w:rPr>
      </w:pPr>
    </w:p>
    <w:p w14:paraId="3D9DC4D0">
      <w:pPr>
        <w:kinsoku w:val="0"/>
        <w:wordWrap w:val="0"/>
        <w:topLinePunct/>
        <w:spacing w:after="180"/>
        <w:rPr>
          <w:rFonts w:hint="eastAsia" w:ascii="仿宋" w:hAnsi="仿宋" w:eastAsia="仿宋" w:cs="仿宋"/>
          <w:sz w:val="24"/>
        </w:rPr>
      </w:pPr>
    </w:p>
    <w:p w14:paraId="68944790">
      <w:pPr>
        <w:kinsoku w:val="0"/>
        <w:wordWrap w:val="0"/>
        <w:topLinePunct/>
        <w:spacing w:after="180"/>
        <w:rPr>
          <w:rFonts w:hint="eastAsia" w:ascii="仿宋" w:hAnsi="仿宋" w:eastAsia="仿宋" w:cs="仿宋"/>
          <w:sz w:val="24"/>
        </w:rPr>
      </w:pPr>
    </w:p>
    <w:p w14:paraId="1B8A3DA6">
      <w:pPr>
        <w:kinsoku w:val="0"/>
        <w:wordWrap w:val="0"/>
        <w:topLinePunct/>
        <w:spacing w:after="180"/>
        <w:rPr>
          <w:rFonts w:hint="eastAsia" w:ascii="仿宋" w:hAnsi="仿宋" w:eastAsia="仿宋" w:cs="仿宋"/>
          <w:sz w:val="24"/>
        </w:rPr>
      </w:pPr>
    </w:p>
    <w:p w14:paraId="216BD715">
      <w:pPr>
        <w:kinsoku w:val="0"/>
        <w:wordWrap w:val="0"/>
        <w:topLinePunct/>
        <w:spacing w:after="180"/>
        <w:rPr>
          <w:rFonts w:hint="eastAsia" w:ascii="仿宋" w:hAnsi="仿宋" w:eastAsia="仿宋" w:cs="仿宋"/>
          <w:sz w:val="24"/>
        </w:rPr>
      </w:pPr>
    </w:p>
    <w:p w14:paraId="412708EF">
      <w:pPr>
        <w:kinsoku w:val="0"/>
        <w:wordWrap w:val="0"/>
        <w:topLinePunct/>
        <w:spacing w:after="180"/>
        <w:rPr>
          <w:rFonts w:hint="eastAsia" w:ascii="仿宋" w:hAnsi="仿宋" w:eastAsia="仿宋" w:cs="仿宋"/>
          <w:sz w:val="24"/>
        </w:rPr>
      </w:pPr>
    </w:p>
    <w:p w14:paraId="118E9D88">
      <w:pPr>
        <w:kinsoku w:val="0"/>
        <w:wordWrap w:val="0"/>
        <w:topLinePunct/>
        <w:spacing w:after="180"/>
        <w:rPr>
          <w:rFonts w:hint="eastAsia" w:ascii="仿宋" w:hAnsi="仿宋" w:eastAsia="仿宋" w:cs="仿宋"/>
          <w:sz w:val="24"/>
        </w:rPr>
      </w:pPr>
    </w:p>
    <w:p w14:paraId="273E22AE">
      <w:pPr>
        <w:kinsoku w:val="0"/>
        <w:wordWrap w:val="0"/>
        <w:topLinePunct/>
        <w:spacing w:after="180"/>
        <w:rPr>
          <w:rFonts w:hint="eastAsia" w:ascii="仿宋" w:hAnsi="仿宋" w:eastAsia="仿宋" w:cs="仿宋"/>
          <w:sz w:val="24"/>
        </w:rPr>
      </w:pPr>
    </w:p>
    <w:p w14:paraId="15C53080">
      <w:pPr>
        <w:kinsoku w:val="0"/>
        <w:wordWrap w:val="0"/>
        <w:topLinePunct/>
        <w:spacing w:after="180"/>
        <w:rPr>
          <w:rFonts w:hint="eastAsia" w:ascii="仿宋" w:hAnsi="仿宋" w:eastAsia="仿宋" w:cs="仿宋"/>
          <w:sz w:val="24"/>
        </w:rPr>
      </w:pPr>
      <w:r>
        <w:rPr>
          <w:rFonts w:hint="eastAsia" w:ascii="仿宋" w:hAnsi="仿宋" w:eastAsia="仿宋" w:cs="仿宋"/>
          <w:sz w:val="24"/>
        </w:rPr>
        <w:t>投标书附件4：</w:t>
      </w:r>
    </w:p>
    <w:p w14:paraId="48E25652">
      <w:pPr>
        <w:kinsoku w:val="0"/>
        <w:wordWrap w:val="0"/>
        <w:topLinePunct/>
        <w:spacing w:after="180"/>
        <w:rPr>
          <w:rFonts w:hint="eastAsia" w:ascii="仿宋" w:hAnsi="仿宋" w:eastAsia="仿宋" w:cs="仿宋"/>
          <w:sz w:val="24"/>
        </w:rPr>
      </w:pPr>
    </w:p>
    <w:p w14:paraId="2E166DFE">
      <w:pPr>
        <w:kinsoku w:val="0"/>
        <w:wordWrap w:val="0"/>
        <w:topLinePunct/>
        <w:spacing w:after="180"/>
        <w:jc w:val="center"/>
        <w:rPr>
          <w:rFonts w:hint="eastAsia" w:ascii="仿宋" w:hAnsi="仿宋" w:eastAsia="仿宋" w:cs="仿宋"/>
          <w:b/>
          <w:sz w:val="32"/>
        </w:rPr>
      </w:pPr>
      <w:r>
        <w:rPr>
          <w:rFonts w:hint="eastAsia" w:ascii="仿宋" w:hAnsi="仿宋" w:eastAsia="仿宋" w:cs="仿宋"/>
          <w:b/>
          <w:sz w:val="32"/>
        </w:rPr>
        <w:t>资 格 文 件</w:t>
      </w:r>
    </w:p>
    <w:p w14:paraId="2D8679D3">
      <w:pPr>
        <w:kinsoku w:val="0"/>
        <w:wordWrap w:val="0"/>
        <w:topLinePunct/>
        <w:spacing w:after="180"/>
        <w:rPr>
          <w:rFonts w:hint="eastAsia" w:ascii="仿宋" w:hAnsi="仿宋" w:eastAsia="仿宋" w:cs="仿宋"/>
          <w:sz w:val="24"/>
        </w:rPr>
      </w:pPr>
    </w:p>
    <w:p w14:paraId="1AFC513F">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投标人应按下列要求提交资格文件：</w:t>
      </w:r>
    </w:p>
    <w:p w14:paraId="5CC59D33">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1. 投标人全称和注册国。</w:t>
      </w:r>
    </w:p>
    <w:p w14:paraId="242C9A07">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2. 营业执照和工商局签发的销售许可证（复印件）。</w:t>
      </w:r>
    </w:p>
    <w:p w14:paraId="5E1DB29E">
      <w:pPr>
        <w:kinsoku w:val="0"/>
        <w:wordWrap w:val="0"/>
        <w:topLinePunct/>
        <w:spacing w:after="180"/>
        <w:ind w:left="332" w:leftChars="100"/>
        <w:rPr>
          <w:rFonts w:hint="eastAsia" w:ascii="仿宋" w:hAnsi="仿宋" w:eastAsia="仿宋" w:cs="仿宋"/>
          <w:sz w:val="24"/>
        </w:rPr>
      </w:pPr>
      <w:r>
        <w:rPr>
          <w:rFonts w:hint="eastAsia" w:ascii="仿宋" w:hAnsi="仿宋" w:eastAsia="仿宋" w:cs="仿宋"/>
          <w:sz w:val="24"/>
        </w:rPr>
        <w:t xml:space="preserve">  3. 开户银行名称和帐号。</w:t>
      </w:r>
    </w:p>
    <w:p w14:paraId="345A3A74">
      <w:pPr>
        <w:kinsoku w:val="0"/>
        <w:wordWrap w:val="0"/>
        <w:topLinePunct/>
        <w:spacing w:after="180"/>
        <w:ind w:firstLine="292" w:firstLineChars="100"/>
        <w:rPr>
          <w:rFonts w:hint="eastAsia" w:ascii="仿宋" w:hAnsi="仿宋" w:eastAsia="仿宋" w:cs="仿宋"/>
          <w:sz w:val="24"/>
        </w:rPr>
      </w:pPr>
      <w:r>
        <w:rPr>
          <w:rFonts w:hint="eastAsia" w:ascii="仿宋" w:hAnsi="仿宋" w:eastAsia="仿宋" w:cs="仿宋"/>
          <w:sz w:val="24"/>
        </w:rPr>
        <w:t xml:space="preserve">  4. 参加本项目招标采购活动前三年内，在经营活动中没有重大违法记录书面声明。</w:t>
      </w:r>
    </w:p>
    <w:p w14:paraId="048152EE">
      <w:pPr>
        <w:kinsoku w:val="0"/>
        <w:wordWrap w:val="0"/>
        <w:topLinePunct/>
        <w:spacing w:after="180"/>
        <w:ind w:left="332" w:leftChars="100" w:firstLine="292" w:firstLineChars="100"/>
        <w:rPr>
          <w:rFonts w:hint="eastAsia" w:ascii="仿宋" w:hAnsi="仿宋" w:eastAsia="仿宋" w:cs="仿宋"/>
          <w:sz w:val="24"/>
        </w:rPr>
      </w:pPr>
      <w:r>
        <w:rPr>
          <w:rFonts w:hint="eastAsia" w:ascii="仿宋" w:hAnsi="仿宋" w:eastAsia="仿宋" w:cs="仿宋"/>
          <w:sz w:val="24"/>
        </w:rPr>
        <w:t>5. 投标人未被列入“信用中国”网站失信被执行人、重大税收违法案件严重违法失信行为记录名单 (截图）。</w:t>
      </w:r>
    </w:p>
    <w:p w14:paraId="6B8C3537">
      <w:pPr>
        <w:kinsoku w:val="0"/>
        <w:wordWrap w:val="0"/>
        <w:topLinePunct/>
        <w:spacing w:after="180"/>
        <w:ind w:left="332" w:leftChars="100" w:firstLine="292" w:firstLineChars="100"/>
        <w:rPr>
          <w:rFonts w:hint="default" w:ascii="仿宋" w:hAnsi="仿宋" w:eastAsia="仿宋" w:cs="仿宋"/>
          <w:sz w:val="24"/>
          <w:lang w:val="en-US" w:eastAsia="zh-CN"/>
        </w:rPr>
      </w:pPr>
      <w:r>
        <w:rPr>
          <w:rFonts w:hint="eastAsia" w:ascii="仿宋" w:hAnsi="仿宋" w:eastAsia="仿宋" w:cs="仿宋"/>
          <w:sz w:val="24"/>
          <w:lang w:val="en-US" w:eastAsia="zh-CN"/>
        </w:rPr>
        <w:t>6.</w:t>
      </w:r>
      <w:r>
        <w:rPr>
          <w:rFonts w:hint="eastAsia" w:ascii="仿宋" w:hAnsi="仿宋" w:eastAsia="仿宋" w:cs="仿宋"/>
          <w:sz w:val="24"/>
        </w:rPr>
        <w:t>提供境内深度合成服务算法备案信息及备案编号及有效证明文件。</w:t>
      </w:r>
    </w:p>
    <w:p w14:paraId="70571F51">
      <w:pPr>
        <w:kinsoku w:val="0"/>
        <w:wordWrap w:val="0"/>
        <w:topLinePunct/>
        <w:spacing w:after="180"/>
        <w:ind w:left="332" w:leftChars="100"/>
        <w:rPr>
          <w:rFonts w:hint="eastAsia" w:ascii="仿宋" w:hAnsi="仿宋" w:eastAsia="仿宋" w:cs="仿宋"/>
          <w:sz w:val="24"/>
        </w:rPr>
      </w:pPr>
    </w:p>
    <w:p w14:paraId="595962BB">
      <w:pPr>
        <w:kinsoku w:val="0"/>
        <w:wordWrap w:val="0"/>
        <w:topLinePunct/>
        <w:spacing w:after="180"/>
        <w:ind w:left="332" w:leftChars="100"/>
        <w:rPr>
          <w:rFonts w:hint="eastAsia" w:ascii="仿宋" w:hAnsi="仿宋" w:eastAsia="仿宋" w:cs="仿宋"/>
          <w:sz w:val="24"/>
        </w:rPr>
      </w:pPr>
    </w:p>
    <w:p w14:paraId="552D86F6">
      <w:pPr>
        <w:kinsoku w:val="0"/>
        <w:wordWrap w:val="0"/>
        <w:topLinePunct/>
        <w:spacing w:after="180"/>
        <w:ind w:left="332" w:leftChars="100"/>
        <w:rPr>
          <w:rFonts w:hint="eastAsia" w:ascii="仿宋" w:hAnsi="仿宋" w:eastAsia="仿宋" w:cs="仿宋"/>
          <w:sz w:val="24"/>
        </w:rPr>
      </w:pPr>
    </w:p>
    <w:sectPr>
      <w:headerReference r:id="rId3" w:type="default"/>
      <w:footerReference r:id="rId4" w:type="default"/>
      <w:footerReference r:id="rId5" w:type="even"/>
      <w:pgSz w:w="11907" w:h="16840"/>
      <w:pgMar w:top="1021" w:right="907" w:bottom="1021" w:left="1134" w:header="851" w:footer="992" w:gutter="0"/>
      <w:pgNumType w:start="0"/>
      <w:cols w:space="720" w:num="1"/>
      <w:titlePg/>
      <w:docGrid w:type="linesAndChars" w:linePitch="381" w:charSpace="106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Mangal">
    <w:altName w:val="DejaVu Math TeX Gyre"/>
    <w:panose1 w:val="02040503050203030202"/>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_x000B__x000C_">
    <w:altName w:val="Times New Roman"/>
    <w:panose1 w:val="00000000000000000000"/>
    <w:charset w:val="00"/>
    <w:family w:val="roman"/>
    <w:pitch w:val="default"/>
    <w:sig w:usb0="00000000" w:usb1="00000000" w:usb2="00000000"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13F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w:t>
    </w:r>
    <w:r>
      <w:fldChar w:fldCharType="end"/>
    </w:r>
  </w:p>
  <w:p w14:paraId="6E8AF08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D15F3">
    <w:pPr>
      <w:pStyle w:val="14"/>
      <w:framePr w:wrap="around" w:vAnchor="text" w:hAnchor="margin" w:xAlign="center" w:y="1"/>
      <w:rPr>
        <w:rStyle w:val="26"/>
      </w:rPr>
    </w:pPr>
    <w:r>
      <w:fldChar w:fldCharType="begin"/>
    </w:r>
    <w:r>
      <w:rPr>
        <w:rStyle w:val="26"/>
      </w:rPr>
      <w:instrText xml:space="preserve">PAGE  </w:instrText>
    </w:r>
    <w:r>
      <w:fldChar w:fldCharType="end"/>
    </w:r>
  </w:p>
  <w:p w14:paraId="0B7FE366">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F4E02">
    <w:pPr>
      <w:pStyle w:val="15"/>
      <w:jc w:val="both"/>
    </w:pPr>
    <w:r>
      <w:rPr>
        <w:rFonts w:hint="eastAsia"/>
      </w:rPr>
      <w:t>汕头大学医学院设备招标文件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B01A2B"/>
    <w:multiLevelType w:val="singleLevel"/>
    <w:tmpl w:val="EAB01A2B"/>
    <w:lvl w:ilvl="0" w:tentative="0">
      <w:start w:val="3"/>
      <w:numFmt w:val="chineseCounting"/>
      <w:suff w:val="space"/>
      <w:lvlText w:val="%1."/>
      <w:lvlJc w:val="left"/>
      <w:rPr>
        <w:rFonts w:hint="eastAsia"/>
      </w:rPr>
    </w:lvl>
  </w:abstractNum>
  <w:abstractNum w:abstractNumId="1">
    <w:nsid w:val="154413BC"/>
    <w:multiLevelType w:val="singleLevel"/>
    <w:tmpl w:val="154413BC"/>
    <w:lvl w:ilvl="0" w:tentative="0">
      <w:start w:val="1"/>
      <w:numFmt w:val="decimal"/>
      <w:lvlText w:val="%1."/>
      <w:lvlJc w:val="left"/>
      <w:pPr>
        <w:tabs>
          <w:tab w:val="left" w:pos="425"/>
        </w:tabs>
        <w:ind w:left="425" w:hanging="425"/>
      </w:pPr>
      <w:rPr>
        <w:rFonts w:hint="eastAsia"/>
      </w:rPr>
    </w:lvl>
  </w:abstractNum>
  <w:abstractNum w:abstractNumId="2">
    <w:nsid w:val="19946706"/>
    <w:multiLevelType w:val="multilevel"/>
    <w:tmpl w:val="19946706"/>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CBF7D15"/>
    <w:multiLevelType w:val="multilevel"/>
    <w:tmpl w:val="1CBF7D15"/>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60A78E0"/>
    <w:multiLevelType w:val="multilevel"/>
    <w:tmpl w:val="260A78E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2DFF5402"/>
    <w:multiLevelType w:val="multilevel"/>
    <w:tmpl w:val="2DFF5402"/>
    <w:lvl w:ilvl="0" w:tentative="0">
      <w:start w:val="1"/>
      <w:numFmt w:val="decimal"/>
      <w:lvlText w:val="%1."/>
      <w:lvlJc w:val="left"/>
      <w:pPr>
        <w:tabs>
          <w:tab w:val="left" w:pos="1260"/>
        </w:tabs>
        <w:ind w:left="1260" w:hanging="420"/>
      </w:pPr>
    </w:lvl>
    <w:lvl w:ilvl="1" w:tentative="0">
      <w:start w:val="2"/>
      <w:numFmt w:val="upperRoman"/>
      <w:pStyle w:val="4"/>
      <w:lvlText w:val="%2."/>
      <w:lvlJc w:val="left"/>
      <w:pPr>
        <w:tabs>
          <w:tab w:val="left" w:pos="1980"/>
        </w:tabs>
        <w:ind w:left="1680" w:hanging="420"/>
      </w:pPr>
      <w:rPr>
        <w:rFonts w:hint="eastAsia"/>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abstractNum w:abstractNumId="6">
    <w:nsid w:val="38C06D4F"/>
    <w:multiLevelType w:val="multilevel"/>
    <w:tmpl w:val="38C06D4F"/>
    <w:lvl w:ilvl="0" w:tentative="0">
      <w:start w:val="1"/>
      <w:numFmt w:val="upperRoman"/>
      <w:pStyle w:val="3"/>
      <w:lvlText w:val="%1."/>
      <w:lvlJc w:val="left"/>
      <w:pPr>
        <w:tabs>
          <w:tab w:val="left" w:pos="1085"/>
        </w:tabs>
        <w:ind w:left="1085" w:hanging="420"/>
      </w:pPr>
    </w:lvl>
    <w:lvl w:ilvl="1" w:tentative="0">
      <w:start w:val="1"/>
      <w:numFmt w:val="bullet"/>
      <w:lvlText w:val=""/>
      <w:lvlJc w:val="left"/>
      <w:pPr>
        <w:tabs>
          <w:tab w:val="left" w:pos="1505"/>
        </w:tabs>
        <w:ind w:left="1505" w:hanging="420"/>
      </w:pPr>
      <w:rPr>
        <w:rFonts w:hint="default" w:ascii="Wingdings" w:hAnsi="Wingdings"/>
      </w:rPr>
    </w:lvl>
    <w:lvl w:ilvl="2" w:tentative="0">
      <w:start w:val="1"/>
      <w:numFmt w:val="decimal"/>
      <w:lvlText w:val="%3."/>
      <w:lvlJc w:val="left"/>
      <w:pPr>
        <w:tabs>
          <w:tab w:val="left" w:pos="1925"/>
        </w:tabs>
        <w:ind w:left="1925" w:hanging="420"/>
      </w:pPr>
    </w:lvl>
    <w:lvl w:ilvl="3" w:tentative="0">
      <w:start w:val="1"/>
      <w:numFmt w:val="decimal"/>
      <w:lvlText w:val="%4."/>
      <w:lvlJc w:val="left"/>
      <w:pPr>
        <w:tabs>
          <w:tab w:val="left" w:pos="2345"/>
        </w:tabs>
        <w:ind w:left="2345" w:hanging="420"/>
      </w:pPr>
    </w:lvl>
    <w:lvl w:ilvl="4" w:tentative="0">
      <w:start w:val="1"/>
      <w:numFmt w:val="lowerLetter"/>
      <w:lvlText w:val="%5)"/>
      <w:lvlJc w:val="left"/>
      <w:pPr>
        <w:tabs>
          <w:tab w:val="left" w:pos="2765"/>
        </w:tabs>
        <w:ind w:left="2765" w:hanging="420"/>
      </w:pPr>
    </w:lvl>
    <w:lvl w:ilvl="5" w:tentative="0">
      <w:start w:val="1"/>
      <w:numFmt w:val="lowerRoman"/>
      <w:lvlText w:val="%6."/>
      <w:lvlJc w:val="right"/>
      <w:pPr>
        <w:tabs>
          <w:tab w:val="left" w:pos="3185"/>
        </w:tabs>
        <w:ind w:left="3185" w:hanging="420"/>
      </w:pPr>
    </w:lvl>
    <w:lvl w:ilvl="6" w:tentative="0">
      <w:start w:val="1"/>
      <w:numFmt w:val="decimal"/>
      <w:lvlText w:val="%7."/>
      <w:lvlJc w:val="left"/>
      <w:pPr>
        <w:tabs>
          <w:tab w:val="left" w:pos="3605"/>
        </w:tabs>
        <w:ind w:left="3605" w:hanging="420"/>
      </w:pPr>
    </w:lvl>
    <w:lvl w:ilvl="7" w:tentative="0">
      <w:start w:val="1"/>
      <w:numFmt w:val="lowerLetter"/>
      <w:lvlText w:val="%8)"/>
      <w:lvlJc w:val="left"/>
      <w:pPr>
        <w:tabs>
          <w:tab w:val="left" w:pos="4025"/>
        </w:tabs>
        <w:ind w:left="4025" w:hanging="420"/>
      </w:pPr>
    </w:lvl>
    <w:lvl w:ilvl="8" w:tentative="0">
      <w:start w:val="1"/>
      <w:numFmt w:val="lowerRoman"/>
      <w:lvlText w:val="%9."/>
      <w:lvlJc w:val="right"/>
      <w:pPr>
        <w:tabs>
          <w:tab w:val="left" w:pos="4445"/>
        </w:tabs>
        <w:ind w:left="4445" w:hanging="420"/>
      </w:pPr>
    </w:lvl>
  </w:abstractNum>
  <w:abstractNum w:abstractNumId="7">
    <w:nsid w:val="3B0C6DB3"/>
    <w:multiLevelType w:val="multilevel"/>
    <w:tmpl w:val="3B0C6DB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3D0E751A"/>
    <w:multiLevelType w:val="multilevel"/>
    <w:tmpl w:val="3D0E751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41F75970"/>
    <w:multiLevelType w:val="multilevel"/>
    <w:tmpl w:val="41F7597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5D52E3E"/>
    <w:multiLevelType w:val="singleLevel"/>
    <w:tmpl w:val="45D52E3E"/>
    <w:lvl w:ilvl="0" w:tentative="0">
      <w:start w:val="1"/>
      <w:numFmt w:val="japaneseCounting"/>
      <w:lvlText w:val="%1、"/>
      <w:lvlJc w:val="left"/>
      <w:pPr>
        <w:tabs>
          <w:tab w:val="left" w:pos="1920"/>
        </w:tabs>
        <w:ind w:left="1920" w:hanging="660"/>
      </w:pPr>
      <w:rPr>
        <w:rFonts w:hint="eastAsia"/>
      </w:rPr>
    </w:lvl>
  </w:abstractNum>
  <w:abstractNum w:abstractNumId="11">
    <w:nsid w:val="46045B7E"/>
    <w:multiLevelType w:val="multilevel"/>
    <w:tmpl w:val="46045B7E"/>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79C76A7"/>
    <w:multiLevelType w:val="multilevel"/>
    <w:tmpl w:val="479C76A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97E2A19"/>
    <w:multiLevelType w:val="multilevel"/>
    <w:tmpl w:val="497E2A19"/>
    <w:lvl w:ilvl="0" w:tentative="0">
      <w:start w:val="1"/>
      <w:numFmt w:val="bullet"/>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140"/>
        </w:tabs>
        <w:ind w:left="1140" w:hanging="720"/>
      </w:p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860"/>
        </w:tabs>
        <w:ind w:left="1860" w:hanging="600"/>
      </w:pPr>
    </w:lvl>
    <w:lvl w:ilvl="4" w:tentative="0">
      <w:start w:val="6"/>
      <w:numFmt w:val="decimal"/>
      <w:lvlText w:val="%5、"/>
      <w:lvlJc w:val="left"/>
      <w:pPr>
        <w:tabs>
          <w:tab w:val="left" w:pos="2400"/>
        </w:tabs>
        <w:ind w:left="2400" w:hanging="72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4C866443"/>
    <w:multiLevelType w:val="multilevel"/>
    <w:tmpl w:val="4C86644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4CEC46AA"/>
    <w:multiLevelType w:val="singleLevel"/>
    <w:tmpl w:val="4CEC46AA"/>
    <w:lvl w:ilvl="0" w:tentative="0">
      <w:start w:val="1"/>
      <w:numFmt w:val="decimal"/>
      <w:lvlText w:val="%1."/>
      <w:lvlJc w:val="left"/>
      <w:pPr>
        <w:tabs>
          <w:tab w:val="left" w:pos="425"/>
        </w:tabs>
        <w:ind w:left="425" w:hanging="425"/>
      </w:pPr>
      <w:rPr>
        <w:rFonts w:hint="eastAsia"/>
      </w:rPr>
    </w:lvl>
  </w:abstractNum>
  <w:abstractNum w:abstractNumId="16">
    <w:nsid w:val="51A74D10"/>
    <w:multiLevelType w:val="multilevel"/>
    <w:tmpl w:val="51A74D10"/>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4071BB9"/>
    <w:multiLevelType w:val="multilevel"/>
    <w:tmpl w:val="64071BB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640730C6"/>
    <w:multiLevelType w:val="singleLevel"/>
    <w:tmpl w:val="640730C6"/>
    <w:lvl w:ilvl="0" w:tentative="0">
      <w:start w:val="1"/>
      <w:numFmt w:val="decimal"/>
      <w:lvlText w:val="%1."/>
      <w:lvlJc w:val="left"/>
      <w:pPr>
        <w:tabs>
          <w:tab w:val="left" w:pos="425"/>
        </w:tabs>
        <w:ind w:left="425" w:hanging="425"/>
      </w:pPr>
      <w:rPr>
        <w:rFonts w:hint="eastAsia"/>
      </w:rPr>
    </w:lvl>
  </w:abstractNum>
  <w:abstractNum w:abstractNumId="19">
    <w:nsid w:val="6AB74B23"/>
    <w:multiLevelType w:val="multilevel"/>
    <w:tmpl w:val="6AB74B23"/>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6EE76ACA"/>
    <w:multiLevelType w:val="multilevel"/>
    <w:tmpl w:val="6EE76ACA"/>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81939F8"/>
    <w:multiLevelType w:val="multilevel"/>
    <w:tmpl w:val="781939F8"/>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2">
    <w:nsid w:val="7B7D3349"/>
    <w:multiLevelType w:val="multilevel"/>
    <w:tmpl w:val="7B7D3349"/>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3">
    <w:nsid w:val="7BB35967"/>
    <w:multiLevelType w:val="multilevel"/>
    <w:tmpl w:val="7BB35967"/>
    <w:lvl w:ilvl="0" w:tentative="0">
      <w:start w:val="1"/>
      <w:numFmt w:val="decimal"/>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4">
    <w:nsid w:val="7CF4638C"/>
    <w:multiLevelType w:val="singleLevel"/>
    <w:tmpl w:val="7CF4638C"/>
    <w:lvl w:ilvl="0" w:tentative="0">
      <w:start w:val="1"/>
      <w:numFmt w:val="japaneseCounting"/>
      <w:lvlText w:val="%1、"/>
      <w:lvlJc w:val="left"/>
      <w:pPr>
        <w:tabs>
          <w:tab w:val="left" w:pos="1920"/>
        </w:tabs>
        <w:ind w:left="1920" w:hanging="660"/>
      </w:pPr>
      <w:rPr>
        <w:rFonts w:hint="eastAsia"/>
      </w:rPr>
    </w:lvl>
  </w:abstractNum>
  <w:num w:numId="1">
    <w:abstractNumId w:val="6"/>
  </w:num>
  <w:num w:numId="2">
    <w:abstractNumId w:val="5"/>
  </w:num>
  <w:num w:numId="3">
    <w:abstractNumId w:val="24"/>
  </w:num>
  <w:num w:numId="4">
    <w:abstractNumId w:val="10"/>
  </w:num>
  <w:num w:numId="5">
    <w:abstractNumId w:val="15"/>
  </w:num>
  <w:num w:numId="6">
    <w:abstractNumId w:val="18"/>
  </w:num>
  <w:num w:numId="7">
    <w:abstractNumId w:val="1"/>
  </w:num>
  <w:num w:numId="8">
    <w:abstractNumId w:val="2"/>
  </w:num>
  <w:num w:numId="9">
    <w:abstractNumId w:val="17"/>
  </w:num>
  <w:num w:numId="10">
    <w:abstractNumId w:val="23"/>
  </w:num>
  <w:num w:numId="11">
    <w:abstractNumId w:val="11"/>
  </w:num>
  <w:num w:numId="12">
    <w:abstractNumId w:val="14"/>
  </w:num>
  <w:num w:numId="13">
    <w:abstractNumId w:val="9"/>
  </w:num>
  <w:num w:numId="14">
    <w:abstractNumId w:val="0"/>
  </w:num>
  <w:num w:numId="15">
    <w:abstractNumId w:val="21"/>
  </w:num>
  <w:num w:numId="16">
    <w:abstractNumId w:val="4"/>
  </w:num>
  <w:num w:numId="17">
    <w:abstractNumId w:val="8"/>
  </w:num>
  <w:num w:numId="18">
    <w:abstractNumId w:val="20"/>
  </w:num>
  <w:num w:numId="19">
    <w:abstractNumId w:val="3"/>
  </w:num>
  <w:num w:numId="20">
    <w:abstractNumId w:val="12"/>
  </w:num>
  <w:num w:numId="21">
    <w:abstractNumId w:val="19"/>
  </w:num>
  <w:num w:numId="22">
    <w:abstractNumId w:val="7"/>
  </w:num>
  <w:num w:numId="23">
    <w:abstractNumId w:val="16"/>
  </w:num>
  <w:num w:numId="24">
    <w:abstractNumId w:val="2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66"/>
  <w:drawingGridVerticalSpacing w:val="38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JlYjlhODNjYjM4NGFlZjVhNWM3NjIxNmE4ZjU5ZjcifQ=="/>
  </w:docVars>
  <w:rsids>
    <w:rsidRoot w:val="00A64781"/>
    <w:rsid w:val="0000204A"/>
    <w:rsid w:val="00003B22"/>
    <w:rsid w:val="00004020"/>
    <w:rsid w:val="00004570"/>
    <w:rsid w:val="00005041"/>
    <w:rsid w:val="000059AA"/>
    <w:rsid w:val="0001407A"/>
    <w:rsid w:val="00021081"/>
    <w:rsid w:val="000224C3"/>
    <w:rsid w:val="000231B0"/>
    <w:rsid w:val="00024209"/>
    <w:rsid w:val="00025FD5"/>
    <w:rsid w:val="00026985"/>
    <w:rsid w:val="00031083"/>
    <w:rsid w:val="00034FA8"/>
    <w:rsid w:val="000364E5"/>
    <w:rsid w:val="000401B7"/>
    <w:rsid w:val="00044606"/>
    <w:rsid w:val="0004568B"/>
    <w:rsid w:val="00051179"/>
    <w:rsid w:val="00066F22"/>
    <w:rsid w:val="00070D89"/>
    <w:rsid w:val="00071AA3"/>
    <w:rsid w:val="00071C62"/>
    <w:rsid w:val="00075CAF"/>
    <w:rsid w:val="00076A72"/>
    <w:rsid w:val="000770C6"/>
    <w:rsid w:val="0008093C"/>
    <w:rsid w:val="00080CD9"/>
    <w:rsid w:val="00080E22"/>
    <w:rsid w:val="00081A3D"/>
    <w:rsid w:val="000840BC"/>
    <w:rsid w:val="00084852"/>
    <w:rsid w:val="00084B04"/>
    <w:rsid w:val="00086F7D"/>
    <w:rsid w:val="000915D9"/>
    <w:rsid w:val="000A015E"/>
    <w:rsid w:val="000A2EDC"/>
    <w:rsid w:val="000A77AB"/>
    <w:rsid w:val="000B4C7E"/>
    <w:rsid w:val="000B6AED"/>
    <w:rsid w:val="000C16D3"/>
    <w:rsid w:val="000C3941"/>
    <w:rsid w:val="000C3B61"/>
    <w:rsid w:val="000C7F51"/>
    <w:rsid w:val="000D470E"/>
    <w:rsid w:val="000E0A87"/>
    <w:rsid w:val="000F0981"/>
    <w:rsid w:val="000F1FE5"/>
    <w:rsid w:val="000F29B1"/>
    <w:rsid w:val="000F383B"/>
    <w:rsid w:val="00100CEC"/>
    <w:rsid w:val="0010379C"/>
    <w:rsid w:val="001066A2"/>
    <w:rsid w:val="00110AB1"/>
    <w:rsid w:val="001127F5"/>
    <w:rsid w:val="00112B75"/>
    <w:rsid w:val="00120403"/>
    <w:rsid w:val="001218F4"/>
    <w:rsid w:val="001242FE"/>
    <w:rsid w:val="00133325"/>
    <w:rsid w:val="001333F0"/>
    <w:rsid w:val="001342EA"/>
    <w:rsid w:val="001369AB"/>
    <w:rsid w:val="0014112B"/>
    <w:rsid w:val="00141FFF"/>
    <w:rsid w:val="001443B7"/>
    <w:rsid w:val="00164C72"/>
    <w:rsid w:val="001656D0"/>
    <w:rsid w:val="0017027B"/>
    <w:rsid w:val="001706C2"/>
    <w:rsid w:val="001716C2"/>
    <w:rsid w:val="001757AA"/>
    <w:rsid w:val="001A5EEC"/>
    <w:rsid w:val="001A64DC"/>
    <w:rsid w:val="001A684F"/>
    <w:rsid w:val="001A733C"/>
    <w:rsid w:val="001B1A25"/>
    <w:rsid w:val="001B256E"/>
    <w:rsid w:val="001B2D88"/>
    <w:rsid w:val="001B36A4"/>
    <w:rsid w:val="001B4AAD"/>
    <w:rsid w:val="001B6D46"/>
    <w:rsid w:val="001C06F8"/>
    <w:rsid w:val="001C1F80"/>
    <w:rsid w:val="001C2184"/>
    <w:rsid w:val="001C5BD0"/>
    <w:rsid w:val="001C6FE3"/>
    <w:rsid w:val="001D277C"/>
    <w:rsid w:val="001D581E"/>
    <w:rsid w:val="001D6BEF"/>
    <w:rsid w:val="001E4034"/>
    <w:rsid w:val="001E5CF1"/>
    <w:rsid w:val="001E610D"/>
    <w:rsid w:val="001E6289"/>
    <w:rsid w:val="001F0C7A"/>
    <w:rsid w:val="001F25CE"/>
    <w:rsid w:val="001F633F"/>
    <w:rsid w:val="001F7EAA"/>
    <w:rsid w:val="0020285D"/>
    <w:rsid w:val="002077D4"/>
    <w:rsid w:val="00211E6E"/>
    <w:rsid w:val="00213925"/>
    <w:rsid w:val="00213A31"/>
    <w:rsid w:val="00213E67"/>
    <w:rsid w:val="00221E77"/>
    <w:rsid w:val="00224A9B"/>
    <w:rsid w:val="00251A05"/>
    <w:rsid w:val="0025483C"/>
    <w:rsid w:val="00262EA9"/>
    <w:rsid w:val="002643A4"/>
    <w:rsid w:val="002719DF"/>
    <w:rsid w:val="00273904"/>
    <w:rsid w:val="00277403"/>
    <w:rsid w:val="00277EDE"/>
    <w:rsid w:val="002824BB"/>
    <w:rsid w:val="00283C1D"/>
    <w:rsid w:val="00283F3C"/>
    <w:rsid w:val="00285904"/>
    <w:rsid w:val="00285BD4"/>
    <w:rsid w:val="0029552F"/>
    <w:rsid w:val="002A165C"/>
    <w:rsid w:val="002A24D4"/>
    <w:rsid w:val="002A4782"/>
    <w:rsid w:val="002A5244"/>
    <w:rsid w:val="002A565D"/>
    <w:rsid w:val="002A5C3F"/>
    <w:rsid w:val="002B0E09"/>
    <w:rsid w:val="002B240A"/>
    <w:rsid w:val="002B5510"/>
    <w:rsid w:val="002C6E6A"/>
    <w:rsid w:val="002C7F85"/>
    <w:rsid w:val="002D49F5"/>
    <w:rsid w:val="002D4F3E"/>
    <w:rsid w:val="002E2062"/>
    <w:rsid w:val="002E7C73"/>
    <w:rsid w:val="002F363F"/>
    <w:rsid w:val="002F51B5"/>
    <w:rsid w:val="002F6C3F"/>
    <w:rsid w:val="003012B4"/>
    <w:rsid w:val="00301EDE"/>
    <w:rsid w:val="003042C1"/>
    <w:rsid w:val="0030762D"/>
    <w:rsid w:val="00307759"/>
    <w:rsid w:val="0031113C"/>
    <w:rsid w:val="00312E44"/>
    <w:rsid w:val="003139DA"/>
    <w:rsid w:val="00314ACA"/>
    <w:rsid w:val="003164AC"/>
    <w:rsid w:val="00320C2E"/>
    <w:rsid w:val="00321D03"/>
    <w:rsid w:val="003239AE"/>
    <w:rsid w:val="00331FB9"/>
    <w:rsid w:val="00336209"/>
    <w:rsid w:val="00344D97"/>
    <w:rsid w:val="00361561"/>
    <w:rsid w:val="00364C94"/>
    <w:rsid w:val="003665E8"/>
    <w:rsid w:val="00367CCA"/>
    <w:rsid w:val="00370198"/>
    <w:rsid w:val="003707A2"/>
    <w:rsid w:val="00370A1A"/>
    <w:rsid w:val="00382F1B"/>
    <w:rsid w:val="0038318E"/>
    <w:rsid w:val="0038392E"/>
    <w:rsid w:val="00384A71"/>
    <w:rsid w:val="003859ED"/>
    <w:rsid w:val="00387A87"/>
    <w:rsid w:val="0039041F"/>
    <w:rsid w:val="00390807"/>
    <w:rsid w:val="00393B54"/>
    <w:rsid w:val="003948E6"/>
    <w:rsid w:val="003A027D"/>
    <w:rsid w:val="003A028C"/>
    <w:rsid w:val="003A1B09"/>
    <w:rsid w:val="003A26D8"/>
    <w:rsid w:val="003A41E7"/>
    <w:rsid w:val="003A492D"/>
    <w:rsid w:val="003A7B28"/>
    <w:rsid w:val="003B1238"/>
    <w:rsid w:val="003B1F61"/>
    <w:rsid w:val="003B472C"/>
    <w:rsid w:val="003B7E37"/>
    <w:rsid w:val="003C0A6C"/>
    <w:rsid w:val="003C0DF8"/>
    <w:rsid w:val="003C7190"/>
    <w:rsid w:val="003D0CE8"/>
    <w:rsid w:val="003D212B"/>
    <w:rsid w:val="003E0479"/>
    <w:rsid w:val="003E101C"/>
    <w:rsid w:val="003E4A17"/>
    <w:rsid w:val="003E4B96"/>
    <w:rsid w:val="003F1735"/>
    <w:rsid w:val="003F19B6"/>
    <w:rsid w:val="003F5C69"/>
    <w:rsid w:val="003F632A"/>
    <w:rsid w:val="0040123F"/>
    <w:rsid w:val="004034F6"/>
    <w:rsid w:val="00403D68"/>
    <w:rsid w:val="00406C93"/>
    <w:rsid w:val="00411193"/>
    <w:rsid w:val="00412BC3"/>
    <w:rsid w:val="00413124"/>
    <w:rsid w:val="004209CB"/>
    <w:rsid w:val="00421609"/>
    <w:rsid w:val="00423C35"/>
    <w:rsid w:val="00424A8F"/>
    <w:rsid w:val="0043039D"/>
    <w:rsid w:val="00432833"/>
    <w:rsid w:val="00434172"/>
    <w:rsid w:val="0043563E"/>
    <w:rsid w:val="00436760"/>
    <w:rsid w:val="00437122"/>
    <w:rsid w:val="0044386D"/>
    <w:rsid w:val="00445397"/>
    <w:rsid w:val="00445D96"/>
    <w:rsid w:val="00450A7C"/>
    <w:rsid w:val="00453283"/>
    <w:rsid w:val="004546DC"/>
    <w:rsid w:val="0046041C"/>
    <w:rsid w:val="004605AF"/>
    <w:rsid w:val="00464B10"/>
    <w:rsid w:val="00474F8D"/>
    <w:rsid w:val="00483252"/>
    <w:rsid w:val="00483D43"/>
    <w:rsid w:val="00485CF4"/>
    <w:rsid w:val="00487E57"/>
    <w:rsid w:val="0049387D"/>
    <w:rsid w:val="00493E3B"/>
    <w:rsid w:val="004966EF"/>
    <w:rsid w:val="004970F3"/>
    <w:rsid w:val="00497654"/>
    <w:rsid w:val="00497859"/>
    <w:rsid w:val="004A4A74"/>
    <w:rsid w:val="004A7DE2"/>
    <w:rsid w:val="004B38E5"/>
    <w:rsid w:val="004B638C"/>
    <w:rsid w:val="004C435A"/>
    <w:rsid w:val="004C661E"/>
    <w:rsid w:val="004D035D"/>
    <w:rsid w:val="004D2F20"/>
    <w:rsid w:val="004D7ED7"/>
    <w:rsid w:val="004E04F6"/>
    <w:rsid w:val="004E7975"/>
    <w:rsid w:val="004F1E00"/>
    <w:rsid w:val="004F2003"/>
    <w:rsid w:val="004F2B8D"/>
    <w:rsid w:val="004F630F"/>
    <w:rsid w:val="004F6EEE"/>
    <w:rsid w:val="00501D28"/>
    <w:rsid w:val="00502280"/>
    <w:rsid w:val="00503615"/>
    <w:rsid w:val="005072B0"/>
    <w:rsid w:val="00510527"/>
    <w:rsid w:val="00511A8D"/>
    <w:rsid w:val="0052093E"/>
    <w:rsid w:val="00524335"/>
    <w:rsid w:val="00531F1C"/>
    <w:rsid w:val="005320AC"/>
    <w:rsid w:val="0053453F"/>
    <w:rsid w:val="00544C3B"/>
    <w:rsid w:val="005459AB"/>
    <w:rsid w:val="00545E85"/>
    <w:rsid w:val="00547A85"/>
    <w:rsid w:val="005506A5"/>
    <w:rsid w:val="00550E7D"/>
    <w:rsid w:val="00551500"/>
    <w:rsid w:val="00553A89"/>
    <w:rsid w:val="00557CBB"/>
    <w:rsid w:val="00560062"/>
    <w:rsid w:val="00570682"/>
    <w:rsid w:val="00573CF8"/>
    <w:rsid w:val="0057407B"/>
    <w:rsid w:val="00575F96"/>
    <w:rsid w:val="00576E99"/>
    <w:rsid w:val="005822AA"/>
    <w:rsid w:val="00583525"/>
    <w:rsid w:val="00590573"/>
    <w:rsid w:val="00590B41"/>
    <w:rsid w:val="00591B71"/>
    <w:rsid w:val="00593ECB"/>
    <w:rsid w:val="00594A03"/>
    <w:rsid w:val="00597C83"/>
    <w:rsid w:val="005A19EE"/>
    <w:rsid w:val="005A27E5"/>
    <w:rsid w:val="005A2815"/>
    <w:rsid w:val="005A3389"/>
    <w:rsid w:val="005A5D53"/>
    <w:rsid w:val="005A727F"/>
    <w:rsid w:val="005B2632"/>
    <w:rsid w:val="005B3071"/>
    <w:rsid w:val="005B4D42"/>
    <w:rsid w:val="005C347F"/>
    <w:rsid w:val="005D0306"/>
    <w:rsid w:val="005D14F6"/>
    <w:rsid w:val="005D182A"/>
    <w:rsid w:val="005D3FE5"/>
    <w:rsid w:val="005D707B"/>
    <w:rsid w:val="005D79E3"/>
    <w:rsid w:val="005E06E4"/>
    <w:rsid w:val="005E381E"/>
    <w:rsid w:val="005E3A7D"/>
    <w:rsid w:val="005E4AB3"/>
    <w:rsid w:val="005E4B95"/>
    <w:rsid w:val="005F3426"/>
    <w:rsid w:val="005F370A"/>
    <w:rsid w:val="00600FD0"/>
    <w:rsid w:val="0060203A"/>
    <w:rsid w:val="006062CE"/>
    <w:rsid w:val="00612E0C"/>
    <w:rsid w:val="00616747"/>
    <w:rsid w:val="00620697"/>
    <w:rsid w:val="00623B84"/>
    <w:rsid w:val="006249B7"/>
    <w:rsid w:val="00626C0A"/>
    <w:rsid w:val="006311FE"/>
    <w:rsid w:val="0063427B"/>
    <w:rsid w:val="0063559C"/>
    <w:rsid w:val="00635A31"/>
    <w:rsid w:val="00637703"/>
    <w:rsid w:val="00644BB8"/>
    <w:rsid w:val="00652630"/>
    <w:rsid w:val="00652684"/>
    <w:rsid w:val="00653450"/>
    <w:rsid w:val="00660226"/>
    <w:rsid w:val="00662AEB"/>
    <w:rsid w:val="00662E79"/>
    <w:rsid w:val="00663019"/>
    <w:rsid w:val="006640E6"/>
    <w:rsid w:val="006704AF"/>
    <w:rsid w:val="00670B7C"/>
    <w:rsid w:val="006711BB"/>
    <w:rsid w:val="00673748"/>
    <w:rsid w:val="00675BDC"/>
    <w:rsid w:val="00675CF1"/>
    <w:rsid w:val="006763EE"/>
    <w:rsid w:val="006804DF"/>
    <w:rsid w:val="006A180E"/>
    <w:rsid w:val="006A2D1B"/>
    <w:rsid w:val="006A63FE"/>
    <w:rsid w:val="006B193E"/>
    <w:rsid w:val="006B429B"/>
    <w:rsid w:val="006B52C6"/>
    <w:rsid w:val="006C038A"/>
    <w:rsid w:val="006C1872"/>
    <w:rsid w:val="006C1C37"/>
    <w:rsid w:val="006C206E"/>
    <w:rsid w:val="006C7671"/>
    <w:rsid w:val="006D13B6"/>
    <w:rsid w:val="006D3111"/>
    <w:rsid w:val="006D3B89"/>
    <w:rsid w:val="006D4B5D"/>
    <w:rsid w:val="006D654D"/>
    <w:rsid w:val="006D7309"/>
    <w:rsid w:val="006E757E"/>
    <w:rsid w:val="006F2493"/>
    <w:rsid w:val="006F3FC3"/>
    <w:rsid w:val="006F554D"/>
    <w:rsid w:val="00701668"/>
    <w:rsid w:val="0070195E"/>
    <w:rsid w:val="007054DA"/>
    <w:rsid w:val="007067CF"/>
    <w:rsid w:val="00706A88"/>
    <w:rsid w:val="00706DF5"/>
    <w:rsid w:val="00707998"/>
    <w:rsid w:val="00707E83"/>
    <w:rsid w:val="007139EC"/>
    <w:rsid w:val="00713EF4"/>
    <w:rsid w:val="00713FE6"/>
    <w:rsid w:val="00715088"/>
    <w:rsid w:val="00715526"/>
    <w:rsid w:val="00715550"/>
    <w:rsid w:val="00716EF4"/>
    <w:rsid w:val="00724C1C"/>
    <w:rsid w:val="00726C7B"/>
    <w:rsid w:val="007274E1"/>
    <w:rsid w:val="007371C9"/>
    <w:rsid w:val="007402C6"/>
    <w:rsid w:val="0074185A"/>
    <w:rsid w:val="00750827"/>
    <w:rsid w:val="00752970"/>
    <w:rsid w:val="007537CC"/>
    <w:rsid w:val="00753D53"/>
    <w:rsid w:val="007548A8"/>
    <w:rsid w:val="00755CC9"/>
    <w:rsid w:val="00765314"/>
    <w:rsid w:val="00766B63"/>
    <w:rsid w:val="00771F91"/>
    <w:rsid w:val="007721A7"/>
    <w:rsid w:val="0077432D"/>
    <w:rsid w:val="00777BF4"/>
    <w:rsid w:val="00777C6E"/>
    <w:rsid w:val="0078212C"/>
    <w:rsid w:val="0078401C"/>
    <w:rsid w:val="007842EC"/>
    <w:rsid w:val="0078485E"/>
    <w:rsid w:val="0078487E"/>
    <w:rsid w:val="00785609"/>
    <w:rsid w:val="00786D80"/>
    <w:rsid w:val="007900DB"/>
    <w:rsid w:val="007906F7"/>
    <w:rsid w:val="0079124E"/>
    <w:rsid w:val="00793B82"/>
    <w:rsid w:val="007A367B"/>
    <w:rsid w:val="007A7A03"/>
    <w:rsid w:val="007A7FF2"/>
    <w:rsid w:val="007B6849"/>
    <w:rsid w:val="007C032B"/>
    <w:rsid w:val="007C12C5"/>
    <w:rsid w:val="007C4D09"/>
    <w:rsid w:val="007C7791"/>
    <w:rsid w:val="007C7B5F"/>
    <w:rsid w:val="007D1D44"/>
    <w:rsid w:val="007D6608"/>
    <w:rsid w:val="007D6E55"/>
    <w:rsid w:val="007D6F3F"/>
    <w:rsid w:val="007D7AA4"/>
    <w:rsid w:val="007E0C40"/>
    <w:rsid w:val="007E0EE4"/>
    <w:rsid w:val="007E3ADF"/>
    <w:rsid w:val="007E6054"/>
    <w:rsid w:val="007E75D9"/>
    <w:rsid w:val="007E782D"/>
    <w:rsid w:val="007F07C7"/>
    <w:rsid w:val="007F5DDD"/>
    <w:rsid w:val="007F5F99"/>
    <w:rsid w:val="00800E0C"/>
    <w:rsid w:val="008017B9"/>
    <w:rsid w:val="00801DD9"/>
    <w:rsid w:val="008050A3"/>
    <w:rsid w:val="008104AF"/>
    <w:rsid w:val="00812D6A"/>
    <w:rsid w:val="0081701A"/>
    <w:rsid w:val="00822FC8"/>
    <w:rsid w:val="00823EE5"/>
    <w:rsid w:val="00824CD0"/>
    <w:rsid w:val="00830881"/>
    <w:rsid w:val="008346E4"/>
    <w:rsid w:val="008377A0"/>
    <w:rsid w:val="00844E4E"/>
    <w:rsid w:val="0084618A"/>
    <w:rsid w:val="008501B9"/>
    <w:rsid w:val="008503D9"/>
    <w:rsid w:val="00856627"/>
    <w:rsid w:val="00864302"/>
    <w:rsid w:val="0087744A"/>
    <w:rsid w:val="00882C94"/>
    <w:rsid w:val="008841DD"/>
    <w:rsid w:val="00885DAF"/>
    <w:rsid w:val="00885F32"/>
    <w:rsid w:val="0088684A"/>
    <w:rsid w:val="008870D2"/>
    <w:rsid w:val="00887F8B"/>
    <w:rsid w:val="00890BB0"/>
    <w:rsid w:val="0089756A"/>
    <w:rsid w:val="008976A8"/>
    <w:rsid w:val="008A1586"/>
    <w:rsid w:val="008A239B"/>
    <w:rsid w:val="008A5D66"/>
    <w:rsid w:val="008B3399"/>
    <w:rsid w:val="008B6694"/>
    <w:rsid w:val="008C1D5E"/>
    <w:rsid w:val="008C3A5B"/>
    <w:rsid w:val="008C40DC"/>
    <w:rsid w:val="008C797F"/>
    <w:rsid w:val="008D20B9"/>
    <w:rsid w:val="008D297D"/>
    <w:rsid w:val="008D2C4D"/>
    <w:rsid w:val="008D3D23"/>
    <w:rsid w:val="008E3F55"/>
    <w:rsid w:val="008E7981"/>
    <w:rsid w:val="008F176A"/>
    <w:rsid w:val="008F5468"/>
    <w:rsid w:val="0090162D"/>
    <w:rsid w:val="0090206E"/>
    <w:rsid w:val="00907A41"/>
    <w:rsid w:val="009125C9"/>
    <w:rsid w:val="00912E99"/>
    <w:rsid w:val="00913781"/>
    <w:rsid w:val="00921907"/>
    <w:rsid w:val="00922E6F"/>
    <w:rsid w:val="00923A1E"/>
    <w:rsid w:val="00923FAA"/>
    <w:rsid w:val="009250E3"/>
    <w:rsid w:val="00937153"/>
    <w:rsid w:val="00940115"/>
    <w:rsid w:val="00940140"/>
    <w:rsid w:val="009422A2"/>
    <w:rsid w:val="00945D4C"/>
    <w:rsid w:val="00946608"/>
    <w:rsid w:val="009501F6"/>
    <w:rsid w:val="00953904"/>
    <w:rsid w:val="00953FAE"/>
    <w:rsid w:val="00954D1C"/>
    <w:rsid w:val="00955826"/>
    <w:rsid w:val="009559D8"/>
    <w:rsid w:val="00956C39"/>
    <w:rsid w:val="009654E5"/>
    <w:rsid w:val="00966CAE"/>
    <w:rsid w:val="009673D3"/>
    <w:rsid w:val="009708C3"/>
    <w:rsid w:val="00973D0E"/>
    <w:rsid w:val="0098147F"/>
    <w:rsid w:val="0098167B"/>
    <w:rsid w:val="0098546C"/>
    <w:rsid w:val="0098798F"/>
    <w:rsid w:val="00987FED"/>
    <w:rsid w:val="00995365"/>
    <w:rsid w:val="00996104"/>
    <w:rsid w:val="00997A5B"/>
    <w:rsid w:val="009A09EA"/>
    <w:rsid w:val="009A2173"/>
    <w:rsid w:val="009A25EA"/>
    <w:rsid w:val="009A7699"/>
    <w:rsid w:val="009A7B23"/>
    <w:rsid w:val="009B3C2B"/>
    <w:rsid w:val="009C0E05"/>
    <w:rsid w:val="009C25EA"/>
    <w:rsid w:val="009C448A"/>
    <w:rsid w:val="009C54A3"/>
    <w:rsid w:val="009C54F2"/>
    <w:rsid w:val="009D3675"/>
    <w:rsid w:val="009D3CBA"/>
    <w:rsid w:val="009D5CE9"/>
    <w:rsid w:val="009E1912"/>
    <w:rsid w:val="009E38B2"/>
    <w:rsid w:val="009E4853"/>
    <w:rsid w:val="009F4023"/>
    <w:rsid w:val="009F471B"/>
    <w:rsid w:val="009F7F9F"/>
    <w:rsid w:val="00A01ECF"/>
    <w:rsid w:val="00A022D7"/>
    <w:rsid w:val="00A03CD9"/>
    <w:rsid w:val="00A03D8C"/>
    <w:rsid w:val="00A0433B"/>
    <w:rsid w:val="00A054DC"/>
    <w:rsid w:val="00A071D5"/>
    <w:rsid w:val="00A16B56"/>
    <w:rsid w:val="00A209B6"/>
    <w:rsid w:val="00A23072"/>
    <w:rsid w:val="00A260A6"/>
    <w:rsid w:val="00A30E38"/>
    <w:rsid w:val="00A31EC3"/>
    <w:rsid w:val="00A33330"/>
    <w:rsid w:val="00A34B0C"/>
    <w:rsid w:val="00A34C3C"/>
    <w:rsid w:val="00A3659C"/>
    <w:rsid w:val="00A3679E"/>
    <w:rsid w:val="00A3746F"/>
    <w:rsid w:val="00A441B3"/>
    <w:rsid w:val="00A448BB"/>
    <w:rsid w:val="00A45AA2"/>
    <w:rsid w:val="00A47EA0"/>
    <w:rsid w:val="00A5011F"/>
    <w:rsid w:val="00A5098B"/>
    <w:rsid w:val="00A51DA4"/>
    <w:rsid w:val="00A520B3"/>
    <w:rsid w:val="00A53627"/>
    <w:rsid w:val="00A55C61"/>
    <w:rsid w:val="00A60FB1"/>
    <w:rsid w:val="00A6294E"/>
    <w:rsid w:val="00A62C79"/>
    <w:rsid w:val="00A64781"/>
    <w:rsid w:val="00A6649B"/>
    <w:rsid w:val="00A759FB"/>
    <w:rsid w:val="00A76383"/>
    <w:rsid w:val="00A77F6D"/>
    <w:rsid w:val="00A80062"/>
    <w:rsid w:val="00A80C3E"/>
    <w:rsid w:val="00A8109B"/>
    <w:rsid w:val="00A816BC"/>
    <w:rsid w:val="00A83FFA"/>
    <w:rsid w:val="00A90005"/>
    <w:rsid w:val="00A91508"/>
    <w:rsid w:val="00A91DA7"/>
    <w:rsid w:val="00A920C9"/>
    <w:rsid w:val="00A94887"/>
    <w:rsid w:val="00A94CF9"/>
    <w:rsid w:val="00A97A08"/>
    <w:rsid w:val="00AA08AC"/>
    <w:rsid w:val="00AA377F"/>
    <w:rsid w:val="00AA489E"/>
    <w:rsid w:val="00AA4A15"/>
    <w:rsid w:val="00AA5873"/>
    <w:rsid w:val="00AB3CF8"/>
    <w:rsid w:val="00AB721A"/>
    <w:rsid w:val="00AC0731"/>
    <w:rsid w:val="00AC2909"/>
    <w:rsid w:val="00AC5155"/>
    <w:rsid w:val="00AD07F8"/>
    <w:rsid w:val="00AD19C5"/>
    <w:rsid w:val="00AD1A9A"/>
    <w:rsid w:val="00AD3E2C"/>
    <w:rsid w:val="00AD74B5"/>
    <w:rsid w:val="00AE1E63"/>
    <w:rsid w:val="00AE7CC9"/>
    <w:rsid w:val="00AF42EA"/>
    <w:rsid w:val="00B00CE9"/>
    <w:rsid w:val="00B0145F"/>
    <w:rsid w:val="00B0233B"/>
    <w:rsid w:val="00B02641"/>
    <w:rsid w:val="00B07CBA"/>
    <w:rsid w:val="00B1257C"/>
    <w:rsid w:val="00B1259F"/>
    <w:rsid w:val="00B132F8"/>
    <w:rsid w:val="00B17088"/>
    <w:rsid w:val="00B206EE"/>
    <w:rsid w:val="00B20D4E"/>
    <w:rsid w:val="00B21A7D"/>
    <w:rsid w:val="00B21C0C"/>
    <w:rsid w:val="00B226D0"/>
    <w:rsid w:val="00B32A33"/>
    <w:rsid w:val="00B33123"/>
    <w:rsid w:val="00B36115"/>
    <w:rsid w:val="00B36427"/>
    <w:rsid w:val="00B43476"/>
    <w:rsid w:val="00B434D1"/>
    <w:rsid w:val="00B47071"/>
    <w:rsid w:val="00B506D1"/>
    <w:rsid w:val="00B51B01"/>
    <w:rsid w:val="00B52A71"/>
    <w:rsid w:val="00B54370"/>
    <w:rsid w:val="00B557E8"/>
    <w:rsid w:val="00B558B7"/>
    <w:rsid w:val="00B5600D"/>
    <w:rsid w:val="00B56D06"/>
    <w:rsid w:val="00B5757C"/>
    <w:rsid w:val="00B61194"/>
    <w:rsid w:val="00B6156F"/>
    <w:rsid w:val="00B72ADD"/>
    <w:rsid w:val="00B77C24"/>
    <w:rsid w:val="00B87660"/>
    <w:rsid w:val="00B92C98"/>
    <w:rsid w:val="00BA2814"/>
    <w:rsid w:val="00BA5D01"/>
    <w:rsid w:val="00BB0660"/>
    <w:rsid w:val="00BB6115"/>
    <w:rsid w:val="00BB6D42"/>
    <w:rsid w:val="00BB7E55"/>
    <w:rsid w:val="00BC1B59"/>
    <w:rsid w:val="00BC7BE0"/>
    <w:rsid w:val="00BD1DE0"/>
    <w:rsid w:val="00BD3BDC"/>
    <w:rsid w:val="00BD5D63"/>
    <w:rsid w:val="00BD629C"/>
    <w:rsid w:val="00BE0403"/>
    <w:rsid w:val="00BE04EE"/>
    <w:rsid w:val="00BE4239"/>
    <w:rsid w:val="00BF3F40"/>
    <w:rsid w:val="00C041A2"/>
    <w:rsid w:val="00C0563C"/>
    <w:rsid w:val="00C057D5"/>
    <w:rsid w:val="00C06570"/>
    <w:rsid w:val="00C07185"/>
    <w:rsid w:val="00C11837"/>
    <w:rsid w:val="00C13279"/>
    <w:rsid w:val="00C151D8"/>
    <w:rsid w:val="00C1781D"/>
    <w:rsid w:val="00C2110E"/>
    <w:rsid w:val="00C221B4"/>
    <w:rsid w:val="00C26A99"/>
    <w:rsid w:val="00C277BF"/>
    <w:rsid w:val="00C30447"/>
    <w:rsid w:val="00C30FFE"/>
    <w:rsid w:val="00C36586"/>
    <w:rsid w:val="00C40077"/>
    <w:rsid w:val="00C4287B"/>
    <w:rsid w:val="00C42899"/>
    <w:rsid w:val="00C435FA"/>
    <w:rsid w:val="00C475AE"/>
    <w:rsid w:val="00C476F5"/>
    <w:rsid w:val="00C47CCD"/>
    <w:rsid w:val="00C53E8F"/>
    <w:rsid w:val="00C551DC"/>
    <w:rsid w:val="00C57705"/>
    <w:rsid w:val="00C72541"/>
    <w:rsid w:val="00C75C45"/>
    <w:rsid w:val="00C8437F"/>
    <w:rsid w:val="00C866F5"/>
    <w:rsid w:val="00C87892"/>
    <w:rsid w:val="00C92360"/>
    <w:rsid w:val="00C926A7"/>
    <w:rsid w:val="00C94B0C"/>
    <w:rsid w:val="00C94FB2"/>
    <w:rsid w:val="00C959D5"/>
    <w:rsid w:val="00C95A27"/>
    <w:rsid w:val="00C97339"/>
    <w:rsid w:val="00C97E96"/>
    <w:rsid w:val="00CA216C"/>
    <w:rsid w:val="00CA6DD1"/>
    <w:rsid w:val="00CB0CEF"/>
    <w:rsid w:val="00CB404F"/>
    <w:rsid w:val="00CB5DBA"/>
    <w:rsid w:val="00CB716B"/>
    <w:rsid w:val="00CC0B7B"/>
    <w:rsid w:val="00CC52E4"/>
    <w:rsid w:val="00CC7A80"/>
    <w:rsid w:val="00CD177D"/>
    <w:rsid w:val="00CD2F19"/>
    <w:rsid w:val="00CD3221"/>
    <w:rsid w:val="00CD659D"/>
    <w:rsid w:val="00CD78CF"/>
    <w:rsid w:val="00CE10A8"/>
    <w:rsid w:val="00CE17B8"/>
    <w:rsid w:val="00CE1854"/>
    <w:rsid w:val="00CE2E27"/>
    <w:rsid w:val="00CE31C5"/>
    <w:rsid w:val="00CE46C2"/>
    <w:rsid w:val="00CE72AC"/>
    <w:rsid w:val="00CF2197"/>
    <w:rsid w:val="00CF396D"/>
    <w:rsid w:val="00CF3C24"/>
    <w:rsid w:val="00D02106"/>
    <w:rsid w:val="00D03655"/>
    <w:rsid w:val="00D03F79"/>
    <w:rsid w:val="00D11A94"/>
    <w:rsid w:val="00D12092"/>
    <w:rsid w:val="00D12521"/>
    <w:rsid w:val="00D15EC3"/>
    <w:rsid w:val="00D17650"/>
    <w:rsid w:val="00D26057"/>
    <w:rsid w:val="00D26318"/>
    <w:rsid w:val="00D2662C"/>
    <w:rsid w:val="00D27C71"/>
    <w:rsid w:val="00D321BE"/>
    <w:rsid w:val="00D32723"/>
    <w:rsid w:val="00D367F1"/>
    <w:rsid w:val="00D37F09"/>
    <w:rsid w:val="00D4228C"/>
    <w:rsid w:val="00D44B42"/>
    <w:rsid w:val="00D4560A"/>
    <w:rsid w:val="00D47CA9"/>
    <w:rsid w:val="00D536BF"/>
    <w:rsid w:val="00D5590C"/>
    <w:rsid w:val="00D56A29"/>
    <w:rsid w:val="00D57375"/>
    <w:rsid w:val="00D57605"/>
    <w:rsid w:val="00D61147"/>
    <w:rsid w:val="00D66A71"/>
    <w:rsid w:val="00D6763B"/>
    <w:rsid w:val="00D679B2"/>
    <w:rsid w:val="00D83636"/>
    <w:rsid w:val="00D85FA3"/>
    <w:rsid w:val="00D8790B"/>
    <w:rsid w:val="00D94BFF"/>
    <w:rsid w:val="00D959B5"/>
    <w:rsid w:val="00D97F13"/>
    <w:rsid w:val="00DA0868"/>
    <w:rsid w:val="00DA1B09"/>
    <w:rsid w:val="00DA7DA4"/>
    <w:rsid w:val="00DB20A0"/>
    <w:rsid w:val="00DB2733"/>
    <w:rsid w:val="00DB3EA6"/>
    <w:rsid w:val="00DB6CC2"/>
    <w:rsid w:val="00DC1AF8"/>
    <w:rsid w:val="00DC2B04"/>
    <w:rsid w:val="00DC2C01"/>
    <w:rsid w:val="00DC3564"/>
    <w:rsid w:val="00DC6AAA"/>
    <w:rsid w:val="00DC75B2"/>
    <w:rsid w:val="00DD0D32"/>
    <w:rsid w:val="00DD4DA5"/>
    <w:rsid w:val="00DD7453"/>
    <w:rsid w:val="00DE42D5"/>
    <w:rsid w:val="00DE5604"/>
    <w:rsid w:val="00DE5FA5"/>
    <w:rsid w:val="00E00794"/>
    <w:rsid w:val="00E015A2"/>
    <w:rsid w:val="00E076E6"/>
    <w:rsid w:val="00E10169"/>
    <w:rsid w:val="00E10452"/>
    <w:rsid w:val="00E137EE"/>
    <w:rsid w:val="00E21024"/>
    <w:rsid w:val="00E22AEB"/>
    <w:rsid w:val="00E24BA6"/>
    <w:rsid w:val="00E30829"/>
    <w:rsid w:val="00E308D3"/>
    <w:rsid w:val="00E35A25"/>
    <w:rsid w:val="00E371FC"/>
    <w:rsid w:val="00E375A3"/>
    <w:rsid w:val="00E37DA9"/>
    <w:rsid w:val="00E41C0F"/>
    <w:rsid w:val="00E41F33"/>
    <w:rsid w:val="00E431CD"/>
    <w:rsid w:val="00E470CF"/>
    <w:rsid w:val="00E5487C"/>
    <w:rsid w:val="00E5729B"/>
    <w:rsid w:val="00E6707E"/>
    <w:rsid w:val="00E7028D"/>
    <w:rsid w:val="00E73D07"/>
    <w:rsid w:val="00E8079A"/>
    <w:rsid w:val="00E80B0C"/>
    <w:rsid w:val="00E80BEB"/>
    <w:rsid w:val="00E81533"/>
    <w:rsid w:val="00E97112"/>
    <w:rsid w:val="00E97121"/>
    <w:rsid w:val="00E97813"/>
    <w:rsid w:val="00EA08E1"/>
    <w:rsid w:val="00EA11B8"/>
    <w:rsid w:val="00EA14B0"/>
    <w:rsid w:val="00EA1C89"/>
    <w:rsid w:val="00EA2E35"/>
    <w:rsid w:val="00EA5951"/>
    <w:rsid w:val="00EA7D40"/>
    <w:rsid w:val="00EB0022"/>
    <w:rsid w:val="00EB081E"/>
    <w:rsid w:val="00EB087E"/>
    <w:rsid w:val="00EB16E4"/>
    <w:rsid w:val="00EB1E07"/>
    <w:rsid w:val="00EB254F"/>
    <w:rsid w:val="00EC2378"/>
    <w:rsid w:val="00EC393F"/>
    <w:rsid w:val="00EC693B"/>
    <w:rsid w:val="00ED3796"/>
    <w:rsid w:val="00ED3BF1"/>
    <w:rsid w:val="00ED50DD"/>
    <w:rsid w:val="00ED5DA5"/>
    <w:rsid w:val="00EE0CE0"/>
    <w:rsid w:val="00EF0C99"/>
    <w:rsid w:val="00F030AC"/>
    <w:rsid w:val="00F043A6"/>
    <w:rsid w:val="00F04673"/>
    <w:rsid w:val="00F17BE0"/>
    <w:rsid w:val="00F2043C"/>
    <w:rsid w:val="00F22086"/>
    <w:rsid w:val="00F22587"/>
    <w:rsid w:val="00F24623"/>
    <w:rsid w:val="00F24E2B"/>
    <w:rsid w:val="00F3037A"/>
    <w:rsid w:val="00F474D5"/>
    <w:rsid w:val="00F56705"/>
    <w:rsid w:val="00F6247F"/>
    <w:rsid w:val="00F651EC"/>
    <w:rsid w:val="00F6657D"/>
    <w:rsid w:val="00F665F6"/>
    <w:rsid w:val="00F67CF6"/>
    <w:rsid w:val="00F75E1D"/>
    <w:rsid w:val="00F766BF"/>
    <w:rsid w:val="00F952B0"/>
    <w:rsid w:val="00F95645"/>
    <w:rsid w:val="00F964F4"/>
    <w:rsid w:val="00F96E4F"/>
    <w:rsid w:val="00F97CF7"/>
    <w:rsid w:val="00F97F20"/>
    <w:rsid w:val="00FA02A9"/>
    <w:rsid w:val="00FA3BE6"/>
    <w:rsid w:val="00FB2C8C"/>
    <w:rsid w:val="00FB4617"/>
    <w:rsid w:val="00FB598E"/>
    <w:rsid w:val="00FD56F9"/>
    <w:rsid w:val="00FD6DFB"/>
    <w:rsid w:val="00FD78F2"/>
    <w:rsid w:val="00FE50F6"/>
    <w:rsid w:val="00FE7DC3"/>
    <w:rsid w:val="00FE7E5D"/>
    <w:rsid w:val="00FF10DB"/>
    <w:rsid w:val="00FF1FB7"/>
    <w:rsid w:val="00FF299B"/>
    <w:rsid w:val="00FF717A"/>
    <w:rsid w:val="01317F69"/>
    <w:rsid w:val="023D08FC"/>
    <w:rsid w:val="026F331C"/>
    <w:rsid w:val="03206BDA"/>
    <w:rsid w:val="03716D43"/>
    <w:rsid w:val="03775DB5"/>
    <w:rsid w:val="089D24C8"/>
    <w:rsid w:val="09B94900"/>
    <w:rsid w:val="09C6132E"/>
    <w:rsid w:val="0A1D0E2A"/>
    <w:rsid w:val="0A3B3092"/>
    <w:rsid w:val="0C282FB3"/>
    <w:rsid w:val="0C441A2C"/>
    <w:rsid w:val="0C8E76F7"/>
    <w:rsid w:val="11F019C5"/>
    <w:rsid w:val="12B92680"/>
    <w:rsid w:val="152E4A94"/>
    <w:rsid w:val="1945076E"/>
    <w:rsid w:val="19B375B6"/>
    <w:rsid w:val="1C1652FB"/>
    <w:rsid w:val="1D240237"/>
    <w:rsid w:val="202820DF"/>
    <w:rsid w:val="20573810"/>
    <w:rsid w:val="215238B8"/>
    <w:rsid w:val="215C64E4"/>
    <w:rsid w:val="24FF7744"/>
    <w:rsid w:val="2613738E"/>
    <w:rsid w:val="2926384E"/>
    <w:rsid w:val="2BC71179"/>
    <w:rsid w:val="2C9E05DE"/>
    <w:rsid w:val="2DE34591"/>
    <w:rsid w:val="316A76F3"/>
    <w:rsid w:val="31BD23E9"/>
    <w:rsid w:val="33D13DB6"/>
    <w:rsid w:val="3603653E"/>
    <w:rsid w:val="36D79310"/>
    <w:rsid w:val="3722616E"/>
    <w:rsid w:val="38EF3C8A"/>
    <w:rsid w:val="3BFF1BF0"/>
    <w:rsid w:val="3DC92CFC"/>
    <w:rsid w:val="3EC27A88"/>
    <w:rsid w:val="40963817"/>
    <w:rsid w:val="41DE42F4"/>
    <w:rsid w:val="45AD4CB1"/>
    <w:rsid w:val="48A31ADA"/>
    <w:rsid w:val="498774ED"/>
    <w:rsid w:val="4B45104C"/>
    <w:rsid w:val="4B607184"/>
    <w:rsid w:val="4CA12E77"/>
    <w:rsid w:val="51EA5B1F"/>
    <w:rsid w:val="52207D76"/>
    <w:rsid w:val="535E1403"/>
    <w:rsid w:val="54324F24"/>
    <w:rsid w:val="56871D14"/>
    <w:rsid w:val="56BF7C5F"/>
    <w:rsid w:val="57407362"/>
    <w:rsid w:val="57A23AD5"/>
    <w:rsid w:val="5CBA2826"/>
    <w:rsid w:val="60312ADF"/>
    <w:rsid w:val="62051CA5"/>
    <w:rsid w:val="62F16D94"/>
    <w:rsid w:val="682827B6"/>
    <w:rsid w:val="68BB30BE"/>
    <w:rsid w:val="69BBC1A5"/>
    <w:rsid w:val="6AD627DF"/>
    <w:rsid w:val="6AF175B2"/>
    <w:rsid w:val="6B3770AB"/>
    <w:rsid w:val="6B7B0EBD"/>
    <w:rsid w:val="6C8430D7"/>
    <w:rsid w:val="6FA378A1"/>
    <w:rsid w:val="6FB70371"/>
    <w:rsid w:val="743577CE"/>
    <w:rsid w:val="757A523F"/>
    <w:rsid w:val="76D76A84"/>
    <w:rsid w:val="776E3C1A"/>
    <w:rsid w:val="79A36D9F"/>
    <w:rsid w:val="7C9F63FA"/>
    <w:rsid w:val="7CFF7162"/>
    <w:rsid w:val="7D94D7BF"/>
    <w:rsid w:val="7EFF0E57"/>
    <w:rsid w:val="7F1906E6"/>
    <w:rsid w:val="7F61049C"/>
    <w:rsid w:val="7FC610DE"/>
    <w:rsid w:val="7FF3AA6F"/>
    <w:rsid w:val="9F630494"/>
    <w:rsid w:val="BFA85E09"/>
    <w:rsid w:val="DCDC9AD0"/>
    <w:rsid w:val="EDAF029D"/>
    <w:rsid w:val="FBB33233"/>
    <w:rsid w:val="FBCD2A09"/>
    <w:rsid w:val="FFD5CF30"/>
    <w:rsid w:val="FFEB6D86"/>
    <w:rsid w:val="FFF8E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lang w:val="en-US" w:eastAsia="zh-CN" w:bidi="ar-SA"/>
    </w:rPr>
  </w:style>
  <w:style w:type="paragraph" w:styleId="2">
    <w:name w:val="heading 1"/>
    <w:basedOn w:val="1"/>
    <w:next w:val="1"/>
    <w:qFormat/>
    <w:uiPriority w:val="0"/>
    <w:pPr>
      <w:autoSpaceDE w:val="0"/>
      <w:autoSpaceDN w:val="0"/>
      <w:adjustRightInd w:val="0"/>
      <w:spacing w:before="240" w:line="315" w:lineRule="atLeast"/>
      <w:jc w:val="left"/>
      <w:outlineLvl w:val="0"/>
    </w:pPr>
    <w:rPr>
      <w:rFonts w:ascii="黑体" w:eastAsia="黑体"/>
      <w:kern w:val="0"/>
      <w:sz w:val="60"/>
    </w:rPr>
  </w:style>
  <w:style w:type="paragraph" w:styleId="3">
    <w:name w:val="heading 2"/>
    <w:basedOn w:val="1"/>
    <w:next w:val="1"/>
    <w:qFormat/>
    <w:uiPriority w:val="0"/>
    <w:pPr>
      <w:keepNext/>
      <w:numPr>
        <w:ilvl w:val="0"/>
        <w:numId w:val="1"/>
      </w:numPr>
      <w:outlineLvl w:val="1"/>
    </w:pPr>
    <w:rPr>
      <w:b/>
      <w:bCs/>
    </w:rPr>
  </w:style>
  <w:style w:type="paragraph" w:styleId="4">
    <w:name w:val="heading 3"/>
    <w:basedOn w:val="1"/>
    <w:next w:val="1"/>
    <w:qFormat/>
    <w:uiPriority w:val="0"/>
    <w:pPr>
      <w:keepNext/>
      <w:numPr>
        <w:ilvl w:val="1"/>
        <w:numId w:val="2"/>
      </w:numPr>
      <w:outlineLvl w:val="2"/>
    </w:pPr>
    <w:rPr>
      <w:b/>
      <w:bCs/>
    </w:rPr>
  </w:style>
  <w:style w:type="paragraph" w:styleId="5">
    <w:name w:val="heading 4"/>
    <w:basedOn w:val="1"/>
    <w:next w:val="1"/>
    <w:qFormat/>
    <w:uiPriority w:val="0"/>
    <w:pPr>
      <w:keepNext/>
      <w:outlineLvl w:val="3"/>
    </w:pPr>
    <w:rPr>
      <w:rFonts w:ascii="宋体" w:hAnsi="宋体" w:eastAsia="宋体"/>
      <w:b/>
      <w:bCs/>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6">
    <w:name w:val="List 3"/>
    <w:basedOn w:val="1"/>
    <w:qFormat/>
    <w:uiPriority w:val="0"/>
    <w:pPr>
      <w:autoSpaceDE w:val="0"/>
      <w:autoSpaceDN w:val="0"/>
      <w:adjustRightInd w:val="0"/>
      <w:spacing w:line="315" w:lineRule="atLeast"/>
      <w:ind w:left="100" w:leftChars="400" w:hanging="200" w:hangingChars="200"/>
      <w:jc w:val="left"/>
    </w:pPr>
    <w:rPr>
      <w:rFonts w:ascii="昆仑楷体" w:eastAsia="昆仑楷体"/>
      <w:kern w:val="0"/>
      <w:sz w:val="30"/>
    </w:rPr>
  </w:style>
  <w:style w:type="paragraph" w:styleId="7">
    <w:name w:val="Document Map"/>
    <w:basedOn w:val="1"/>
    <w:semiHidden/>
    <w:qFormat/>
    <w:uiPriority w:val="0"/>
    <w:pPr>
      <w:shd w:val="clear" w:color="auto" w:fill="000080"/>
    </w:pPr>
  </w:style>
  <w:style w:type="paragraph" w:styleId="8">
    <w:name w:val="annotation text"/>
    <w:basedOn w:val="1"/>
    <w:link w:val="100"/>
    <w:semiHidden/>
    <w:qFormat/>
    <w:uiPriority w:val="0"/>
    <w:pPr>
      <w:jc w:val="left"/>
    </w:pPr>
  </w:style>
  <w:style w:type="paragraph" w:styleId="9">
    <w:name w:val="Body Text 3"/>
    <w:basedOn w:val="1"/>
    <w:qFormat/>
    <w:uiPriority w:val="0"/>
    <w:rPr>
      <w:rFonts w:eastAsia="楷体_GB2312"/>
      <w:sz w:val="24"/>
      <w:szCs w:val="27"/>
    </w:rPr>
  </w:style>
  <w:style w:type="paragraph" w:styleId="10">
    <w:name w:val="Body Text"/>
    <w:basedOn w:val="1"/>
    <w:qFormat/>
    <w:uiPriority w:val="0"/>
    <w:pPr>
      <w:autoSpaceDE w:val="0"/>
      <w:autoSpaceDN w:val="0"/>
      <w:adjustRightInd w:val="0"/>
      <w:spacing w:after="120" w:line="315" w:lineRule="atLeast"/>
      <w:jc w:val="left"/>
    </w:pPr>
    <w:rPr>
      <w:rFonts w:ascii="昆仑楷体" w:eastAsia="昆仑楷体"/>
      <w:kern w:val="0"/>
      <w:sz w:val="30"/>
    </w:rPr>
  </w:style>
  <w:style w:type="paragraph" w:styleId="11">
    <w:name w:val="Body Text Indent"/>
    <w:basedOn w:val="1"/>
    <w:qFormat/>
    <w:uiPriority w:val="0"/>
    <w:pPr>
      <w:autoSpaceDE w:val="0"/>
      <w:autoSpaceDN w:val="0"/>
      <w:adjustRightInd w:val="0"/>
      <w:spacing w:line="360" w:lineRule="atLeast"/>
      <w:ind w:firstLine="598" w:firstLineChars="187"/>
    </w:pPr>
    <w:rPr>
      <w:rFonts w:ascii="昆仑楷体" w:eastAsia="昆仑楷体"/>
      <w:kern w:val="0"/>
      <w:sz w:val="32"/>
    </w:rPr>
  </w:style>
  <w:style w:type="paragraph" w:styleId="12">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rPr>
  </w:style>
  <w:style w:type="paragraph" w:styleId="13">
    <w:name w:val="Body Text Indent 2"/>
    <w:basedOn w:val="1"/>
    <w:qFormat/>
    <w:uiPriority w:val="0"/>
    <w:pPr>
      <w:topLinePunct/>
      <w:spacing w:line="500" w:lineRule="exact"/>
      <w:ind w:firstLine="664"/>
    </w:pPr>
    <w:rPr>
      <w:rFonts w:ascii="仿宋_GB2312" w:hAnsi="宋体"/>
      <w:sz w:val="24"/>
    </w:rPr>
  </w:style>
  <w:style w:type="paragraph" w:styleId="14">
    <w:name w:val="footer"/>
    <w:basedOn w:val="1"/>
    <w:qFormat/>
    <w:uiPriority w:val="0"/>
    <w:pPr>
      <w:tabs>
        <w:tab w:val="center" w:pos="4153"/>
        <w:tab w:val="right" w:pos="8306"/>
      </w:tabs>
      <w:snapToGrid w:val="0"/>
      <w:jc w:val="left"/>
    </w:pPr>
    <w:rPr>
      <w:rFonts w:eastAsia="宋体"/>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List"/>
    <w:basedOn w:val="1"/>
    <w:qFormat/>
    <w:uiPriority w:val="0"/>
    <w:pPr>
      <w:autoSpaceDE w:val="0"/>
      <w:autoSpaceDN w:val="0"/>
      <w:adjustRightInd w:val="0"/>
      <w:spacing w:line="315" w:lineRule="atLeast"/>
      <w:ind w:left="200" w:hanging="200" w:hangingChars="200"/>
      <w:jc w:val="left"/>
    </w:pPr>
    <w:rPr>
      <w:rFonts w:ascii="昆仑楷体" w:eastAsia="昆仑楷体"/>
      <w:kern w:val="0"/>
      <w:sz w:val="30"/>
    </w:rPr>
  </w:style>
  <w:style w:type="paragraph" w:styleId="17">
    <w:name w:val="Body Text Indent 3"/>
    <w:basedOn w:val="1"/>
    <w:qFormat/>
    <w:uiPriority w:val="0"/>
    <w:pPr>
      <w:ind w:firstLine="777"/>
    </w:pPr>
    <w:rPr>
      <w:rFonts w:ascii="楷体_GB2312" w:hAnsi="Arial Narrow" w:eastAsia="楷体_GB2312"/>
    </w:rPr>
  </w:style>
  <w:style w:type="paragraph" w:styleId="18">
    <w:name w:val="Body Text 2"/>
    <w:basedOn w:val="1"/>
    <w:qFormat/>
    <w:uiPriority w:val="0"/>
    <w:rPr>
      <w:rFonts w:ascii="Arial Narrow" w:hAnsi="Arial Narrow" w:eastAsia="楷体_GB2312"/>
      <w:sz w:val="21"/>
    </w:rPr>
  </w:style>
  <w:style w:type="paragraph" w:styleId="1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Arial"/>
      <w:kern w:val="0"/>
      <w:sz w:val="24"/>
      <w:szCs w:val="24"/>
    </w:rPr>
  </w:style>
  <w:style w:type="paragraph" w:styleId="20">
    <w:name w:val="Normal (Web)"/>
    <w:basedOn w:val="1"/>
    <w:qFormat/>
    <w:uiPriority w:val="99"/>
    <w:pPr>
      <w:widowControl/>
      <w:spacing w:before="100" w:beforeAutospacing="1" w:after="100" w:afterAutospacing="1"/>
      <w:jc w:val="left"/>
    </w:pPr>
    <w:rPr>
      <w:rFonts w:ascii="宋体" w:hAnsi="宋体" w:eastAsia="宋体" w:cs="宋体"/>
      <w:color w:val="000000"/>
      <w:kern w:val="0"/>
      <w:sz w:val="24"/>
      <w:szCs w:val="24"/>
    </w:rPr>
  </w:style>
  <w:style w:type="paragraph" w:styleId="21">
    <w:name w:val="annotation subject"/>
    <w:basedOn w:val="8"/>
    <w:next w:val="8"/>
    <w:link w:val="101"/>
    <w:qFormat/>
    <w:uiPriority w:val="0"/>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Emphasis"/>
    <w:basedOn w:val="24"/>
    <w:qFormat/>
    <w:uiPriority w:val="0"/>
    <w:rPr>
      <w:color w:val="CC0033"/>
    </w:rPr>
  </w:style>
  <w:style w:type="character" w:styleId="29">
    <w:name w:val="Hyperlink"/>
    <w:basedOn w:val="24"/>
    <w:qFormat/>
    <w:uiPriority w:val="0"/>
    <w:rPr>
      <w:color w:val="0000FF"/>
      <w:u w:val="single"/>
    </w:rPr>
  </w:style>
  <w:style w:type="character" w:styleId="30">
    <w:name w:val="annotation reference"/>
    <w:basedOn w:val="24"/>
    <w:semiHidden/>
    <w:qFormat/>
    <w:uiPriority w:val="0"/>
    <w:rPr>
      <w:sz w:val="21"/>
    </w:rPr>
  </w:style>
  <w:style w:type="character" w:customStyle="1" w:styleId="31">
    <w:name w:val="font141"/>
    <w:basedOn w:val="24"/>
    <w:qFormat/>
    <w:uiPriority w:val="0"/>
  </w:style>
  <w:style w:type="character" w:customStyle="1" w:styleId="32">
    <w:name w:val="style31"/>
    <w:basedOn w:val="24"/>
    <w:qFormat/>
    <w:uiPriority w:val="0"/>
    <w:rPr>
      <w:b/>
      <w:bCs/>
      <w:color w:val="A16601"/>
    </w:rPr>
  </w:style>
  <w:style w:type="character" w:customStyle="1" w:styleId="33">
    <w:name w:val="dct-tt"/>
    <w:basedOn w:val="24"/>
    <w:qFormat/>
    <w:uiPriority w:val="0"/>
    <w:rPr>
      <w:rFonts w:hint="default" w:ascii="Arial" w:hAnsi="Arial" w:cs="Arial"/>
    </w:rPr>
  </w:style>
  <w:style w:type="character" w:customStyle="1" w:styleId="34">
    <w:name w:val="style36"/>
    <w:basedOn w:val="24"/>
    <w:qFormat/>
    <w:uiPriority w:val="0"/>
  </w:style>
  <w:style w:type="character" w:customStyle="1" w:styleId="35">
    <w:name w:val="search_highlight2"/>
    <w:basedOn w:val="24"/>
    <w:qFormat/>
    <w:uiPriority w:val="0"/>
    <w:rPr>
      <w:rFonts w:hint="default" w:ascii="Arial" w:hAnsi="Arial" w:cs="Arial"/>
      <w:shd w:val="clear" w:color="auto" w:fill="FFFFB0"/>
    </w:rPr>
  </w:style>
  <w:style w:type="character" w:customStyle="1" w:styleId="36">
    <w:name w:val="style4"/>
    <w:basedOn w:val="24"/>
    <w:qFormat/>
    <w:uiPriority w:val="0"/>
  </w:style>
  <w:style w:type="character" w:customStyle="1" w:styleId="37">
    <w:name w:val="f141"/>
    <w:basedOn w:val="24"/>
    <w:qFormat/>
    <w:uiPriority w:val="0"/>
    <w:rPr>
      <w:b/>
      <w:bCs/>
      <w:sz w:val="21"/>
      <w:szCs w:val="21"/>
    </w:rPr>
  </w:style>
  <w:style w:type="character" w:customStyle="1" w:styleId="38">
    <w:name w:val="hei12b"/>
    <w:basedOn w:val="24"/>
    <w:qFormat/>
    <w:uiPriority w:val="0"/>
  </w:style>
  <w:style w:type="paragraph" w:customStyle="1" w:styleId="39">
    <w:name w:val="xl38"/>
    <w:basedOn w:val="1"/>
    <w:qFormat/>
    <w:uiPriority w:val="0"/>
    <w:pPr>
      <w:widowControl/>
      <w:spacing w:before="100" w:beforeAutospacing="1" w:after="100" w:afterAutospacing="1"/>
      <w:jc w:val="left"/>
      <w:textAlignment w:val="top"/>
    </w:pPr>
    <w:rPr>
      <w:rFonts w:eastAsia="宋体"/>
      <w:color w:val="003366"/>
      <w:kern w:val="0"/>
      <w:sz w:val="20"/>
    </w:rPr>
  </w:style>
  <w:style w:type="paragraph" w:customStyle="1" w:styleId="40">
    <w:name w:val="xl60"/>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41">
    <w:name w:val="xl49"/>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2">
    <w:name w:val="xl55"/>
    <w:basedOn w:val="1"/>
    <w:qFormat/>
    <w:uiPriority w:val="0"/>
    <w:pPr>
      <w:widowControl/>
      <w:pBdr>
        <w:top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43">
    <w:name w:val="xl50"/>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4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5">
    <w:name w:val="Char 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Courier New" w:hAnsi="Courier New" w:eastAsia="宋体" w:cs="Courier New"/>
      <w:kern w:val="0"/>
      <w:sz w:val="24"/>
      <w:szCs w:val="24"/>
    </w:rPr>
  </w:style>
  <w:style w:type="paragraph" w:customStyle="1" w:styleId="47">
    <w:name w:val="xl45"/>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48">
    <w:name w:val="xl36"/>
    <w:basedOn w:val="1"/>
    <w:qFormat/>
    <w:uiPriority w:val="0"/>
    <w:pPr>
      <w:widowControl/>
      <w:spacing w:before="100" w:beforeAutospacing="1" w:after="100" w:afterAutospacing="1"/>
      <w:jc w:val="left"/>
    </w:pPr>
    <w:rPr>
      <w:rFonts w:eastAsia="宋体"/>
      <w:kern w:val="0"/>
      <w:sz w:val="18"/>
      <w:szCs w:val="18"/>
    </w:rPr>
  </w:style>
  <w:style w:type="paragraph" w:customStyle="1" w:styleId="49">
    <w:name w:val="xl46"/>
    <w:basedOn w:val="1"/>
    <w:qFormat/>
    <w:uiPriority w:val="0"/>
    <w:pPr>
      <w:widowControl/>
      <w:pBdr>
        <w:bottom w:val="single" w:color="auto" w:sz="4" w:space="0"/>
      </w:pBdr>
      <w:spacing w:before="100" w:beforeAutospacing="1" w:after="100" w:afterAutospacing="1"/>
      <w:jc w:val="left"/>
      <w:textAlignment w:val="top"/>
    </w:pPr>
    <w:rPr>
      <w:rFonts w:eastAsia="宋体"/>
      <w:kern w:val="0"/>
      <w:sz w:val="20"/>
    </w:rPr>
  </w:style>
  <w:style w:type="paragraph" w:customStyle="1" w:styleId="50">
    <w:name w:val="xl63"/>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kern w:val="0"/>
      <w:sz w:val="24"/>
      <w:szCs w:val="24"/>
    </w:rPr>
  </w:style>
  <w:style w:type="paragraph" w:customStyle="1" w:styleId="51">
    <w:name w:val="xl67"/>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52">
    <w:name w:val="xl42"/>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3">
    <w:name w:val="xl47"/>
    <w:basedOn w:val="1"/>
    <w:qFormat/>
    <w:uiPriority w:val="0"/>
    <w:pPr>
      <w:widowControl/>
      <w:pBdr>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4">
    <w:name w:val="xl58"/>
    <w:basedOn w:val="1"/>
    <w:qFormat/>
    <w:uiPriority w:val="0"/>
    <w:pPr>
      <w:widowControl/>
      <w:pBdr>
        <w:top w:val="single" w:color="auto" w:sz="4" w:space="0"/>
      </w:pBdr>
      <w:spacing w:before="100" w:beforeAutospacing="1" w:after="100" w:afterAutospacing="1"/>
      <w:jc w:val="center"/>
      <w:textAlignment w:val="top"/>
    </w:pPr>
    <w:rPr>
      <w:rFonts w:eastAsia="宋体"/>
      <w:kern w:val="0"/>
      <w:sz w:val="18"/>
      <w:szCs w:val="18"/>
    </w:rPr>
  </w:style>
  <w:style w:type="paragraph" w:customStyle="1" w:styleId="55">
    <w:name w:val="xl62"/>
    <w:basedOn w:val="1"/>
    <w:qFormat/>
    <w:uiPriority w:val="0"/>
    <w:pPr>
      <w:widowControl/>
      <w:pBdr>
        <w:top w:val="single" w:color="auto" w:sz="4" w:space="0"/>
        <w:bottom w:val="single" w:color="auto" w:sz="4" w:space="0"/>
      </w:pBdr>
      <w:spacing w:before="100" w:beforeAutospacing="1" w:after="100" w:afterAutospacing="1"/>
      <w:jc w:val="center"/>
      <w:textAlignment w:val="top"/>
    </w:pPr>
    <w:rPr>
      <w:rFonts w:eastAsia="宋体"/>
      <w:kern w:val="0"/>
      <w:sz w:val="18"/>
      <w:szCs w:val="18"/>
    </w:rPr>
  </w:style>
  <w:style w:type="paragraph" w:customStyle="1" w:styleId="56">
    <w:name w:val="xl39"/>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7">
    <w:name w:val="xl43"/>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58">
    <w:name w:val="xl65"/>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59">
    <w:name w:val="font8"/>
    <w:basedOn w:val="1"/>
    <w:qFormat/>
    <w:uiPriority w:val="0"/>
    <w:pPr>
      <w:widowControl/>
      <w:spacing w:before="100" w:beforeAutospacing="1" w:after="100" w:afterAutospacing="1"/>
      <w:jc w:val="left"/>
    </w:pPr>
    <w:rPr>
      <w:rFonts w:ascii="Courier New" w:hAnsi="Courier New" w:eastAsia="宋体" w:cs="Courier New"/>
      <w:kern w:val="0"/>
      <w:sz w:val="24"/>
      <w:szCs w:val="24"/>
    </w:rPr>
  </w:style>
  <w:style w:type="paragraph" w:customStyle="1" w:styleId="60">
    <w:name w:val="xl40"/>
    <w:basedOn w:val="1"/>
    <w:qFormat/>
    <w:uiPriority w:val="0"/>
    <w:pPr>
      <w:widowControl/>
      <w:spacing w:before="100" w:beforeAutospacing="1" w:after="100" w:afterAutospacing="1"/>
      <w:jc w:val="center"/>
      <w:textAlignment w:val="top"/>
    </w:pPr>
    <w:rPr>
      <w:rFonts w:eastAsia="宋体"/>
      <w:kern w:val="0"/>
      <w:sz w:val="18"/>
      <w:szCs w:val="18"/>
    </w:rPr>
  </w:style>
  <w:style w:type="paragraph" w:customStyle="1" w:styleId="61">
    <w:name w:val="Char Char Char Char"/>
    <w:basedOn w:val="1"/>
    <w:qFormat/>
    <w:uiPriority w:val="0"/>
    <w:rPr>
      <w:rFonts w:eastAsia="宋体"/>
      <w:sz w:val="21"/>
    </w:rPr>
  </w:style>
  <w:style w:type="paragraph" w:customStyle="1" w:styleId="62">
    <w:name w:val="xl61"/>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3">
    <w:name w:val="font6"/>
    <w:basedOn w:val="1"/>
    <w:qFormat/>
    <w:uiPriority w:val="0"/>
    <w:pPr>
      <w:widowControl/>
      <w:spacing w:before="100" w:beforeAutospacing="1" w:after="100" w:afterAutospacing="1"/>
      <w:jc w:val="left"/>
    </w:pPr>
    <w:rPr>
      <w:rFonts w:eastAsia="宋体"/>
      <w:kern w:val="0"/>
      <w:sz w:val="24"/>
      <w:szCs w:val="24"/>
    </w:rPr>
  </w:style>
  <w:style w:type="paragraph" w:customStyle="1" w:styleId="64">
    <w:name w:val="xl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65">
    <w:name w:val="xl34"/>
    <w:basedOn w:val="1"/>
    <w:qFormat/>
    <w:uiPriority w:val="0"/>
    <w:pPr>
      <w:widowControl/>
      <w:pBdr>
        <w:bottom w:val="single" w:color="auto" w:sz="4" w:space="0"/>
      </w:pBdr>
      <w:spacing w:before="100" w:beforeAutospacing="1" w:after="100" w:afterAutospacing="1"/>
      <w:jc w:val="left"/>
    </w:pPr>
    <w:rPr>
      <w:rFonts w:eastAsia="宋体"/>
      <w:b/>
      <w:bCs/>
      <w:kern w:val="0"/>
      <w:sz w:val="24"/>
      <w:szCs w:val="24"/>
    </w:rPr>
  </w:style>
  <w:style w:type="paragraph" w:customStyle="1" w:styleId="66">
    <w:name w:val="Char Char Char Char Char"/>
    <w:basedOn w:val="1"/>
    <w:qFormat/>
    <w:uiPriority w:val="0"/>
    <w:pPr>
      <w:widowControl/>
      <w:spacing w:line="400" w:lineRule="exact"/>
      <w:jc w:val="center"/>
    </w:pPr>
    <w:rPr>
      <w:rFonts w:ascii="Verdana" w:hAnsi="Verdana" w:eastAsia="宋体"/>
      <w:kern w:val="0"/>
      <w:sz w:val="21"/>
      <w:lang w:eastAsia="en-US"/>
    </w:rPr>
  </w:style>
  <w:style w:type="paragraph" w:customStyle="1" w:styleId="67">
    <w:name w:val="xl6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eastAsia="宋体"/>
      <w:b/>
      <w:bCs/>
      <w:kern w:val="0"/>
      <w:sz w:val="24"/>
      <w:szCs w:val="24"/>
    </w:rPr>
  </w:style>
  <w:style w:type="paragraph" w:customStyle="1" w:styleId="68">
    <w:name w:val="xl53"/>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69">
    <w:name w:val="font9"/>
    <w:basedOn w:val="1"/>
    <w:qFormat/>
    <w:uiPriority w:val="0"/>
    <w:pPr>
      <w:widowControl/>
      <w:spacing w:before="100" w:beforeAutospacing="1" w:after="100" w:afterAutospacing="1"/>
      <w:jc w:val="left"/>
    </w:pPr>
    <w:rPr>
      <w:rFonts w:eastAsia="宋体"/>
      <w:color w:val="FF0000"/>
      <w:kern w:val="0"/>
      <w:sz w:val="20"/>
    </w:rPr>
  </w:style>
  <w:style w:type="paragraph" w:customStyle="1" w:styleId="70">
    <w:name w:val="xl37"/>
    <w:basedOn w:val="1"/>
    <w:qFormat/>
    <w:uiPriority w:val="0"/>
    <w:pPr>
      <w:widowControl/>
      <w:spacing w:before="100" w:beforeAutospacing="1" w:after="100" w:afterAutospacing="1"/>
      <w:jc w:val="left"/>
    </w:pPr>
    <w:rPr>
      <w:rFonts w:eastAsia="宋体"/>
      <w:kern w:val="0"/>
      <w:sz w:val="18"/>
      <w:szCs w:val="18"/>
    </w:rPr>
  </w:style>
  <w:style w:type="paragraph" w:customStyle="1" w:styleId="71">
    <w:name w:val="xl66"/>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72">
    <w:name w:val="font10"/>
    <w:basedOn w:val="1"/>
    <w:qFormat/>
    <w:uiPriority w:val="0"/>
    <w:pPr>
      <w:widowControl/>
      <w:spacing w:before="100" w:beforeAutospacing="1" w:after="100" w:afterAutospacing="1"/>
      <w:jc w:val="left"/>
    </w:pPr>
    <w:rPr>
      <w:rFonts w:hint="eastAsia" w:ascii="宋体" w:hAnsi="宋体" w:eastAsia="宋体"/>
      <w:kern w:val="0"/>
      <w:sz w:val="20"/>
    </w:rPr>
  </w:style>
  <w:style w:type="paragraph" w:customStyle="1" w:styleId="73">
    <w:name w:val="列出段落1"/>
    <w:basedOn w:val="1"/>
    <w:qFormat/>
    <w:uiPriority w:val="0"/>
    <w:pPr>
      <w:suppressAutoHyphens/>
      <w:ind w:left="720"/>
      <w:jc w:val="left"/>
    </w:pPr>
    <w:rPr>
      <w:rFonts w:eastAsia="Times New Roman"/>
      <w:kern w:val="0"/>
      <w:sz w:val="24"/>
      <w:szCs w:val="24"/>
      <w:lang w:eastAsia="ar-SA"/>
    </w:rPr>
  </w:style>
  <w:style w:type="paragraph" w:customStyle="1" w:styleId="74">
    <w:name w:val="xl44"/>
    <w:basedOn w:val="1"/>
    <w:qFormat/>
    <w:uiPriority w:val="0"/>
    <w:pPr>
      <w:widowControl/>
      <w:spacing w:before="100" w:beforeAutospacing="1" w:after="100" w:afterAutospacing="1"/>
      <w:jc w:val="left"/>
      <w:textAlignment w:val="top"/>
    </w:pPr>
    <w:rPr>
      <w:rFonts w:eastAsia="宋体"/>
      <w:color w:val="0000FF"/>
      <w:kern w:val="0"/>
      <w:sz w:val="20"/>
    </w:rPr>
  </w:style>
  <w:style w:type="paragraph" w:customStyle="1" w:styleId="75">
    <w:name w:val="xl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76">
    <w:name w:val="xl64"/>
    <w:basedOn w:val="1"/>
    <w:qFormat/>
    <w:uiPriority w:val="0"/>
    <w:pPr>
      <w:widowControl/>
      <w:spacing w:before="100" w:beforeAutospacing="1" w:after="100" w:afterAutospacing="1"/>
      <w:jc w:val="left"/>
      <w:textAlignment w:val="top"/>
    </w:pPr>
    <w:rPr>
      <w:rFonts w:eastAsia="宋体"/>
      <w:kern w:val="0"/>
      <w:sz w:val="18"/>
      <w:szCs w:val="18"/>
    </w:rPr>
  </w:style>
  <w:style w:type="paragraph" w:customStyle="1" w:styleId="77">
    <w:name w:val="xl52"/>
    <w:basedOn w:val="1"/>
    <w:qFormat/>
    <w:uiPriority w:val="0"/>
    <w:pPr>
      <w:widowControl/>
      <w:pBdr>
        <w:bottom w:val="single" w:color="auto" w:sz="4" w:space="0"/>
      </w:pBdr>
      <w:spacing w:before="100" w:beforeAutospacing="1" w:after="100" w:afterAutospacing="1"/>
      <w:jc w:val="left"/>
      <w:textAlignment w:val="top"/>
    </w:pPr>
    <w:rPr>
      <w:rFonts w:eastAsia="宋体"/>
      <w:color w:val="003366"/>
      <w:kern w:val="0"/>
      <w:sz w:val="18"/>
      <w:szCs w:val="18"/>
    </w:rPr>
  </w:style>
  <w:style w:type="paragraph" w:customStyle="1" w:styleId="78">
    <w:name w:val="Standard"/>
    <w:qFormat/>
    <w:uiPriority w:val="0"/>
    <w:pPr>
      <w:widowControl w:val="0"/>
      <w:suppressAutoHyphens/>
      <w:autoSpaceDN w:val="0"/>
      <w:textAlignment w:val="baseline"/>
    </w:pPr>
    <w:rPr>
      <w:rFonts w:ascii="Times New Roman" w:hAnsi="Times New Roman" w:eastAsia="Times New Roman" w:cs="Mangal"/>
      <w:kern w:val="3"/>
      <w:sz w:val="24"/>
      <w:szCs w:val="24"/>
      <w:lang w:val="en-US" w:eastAsia="zh-CN" w:bidi="ar-SA"/>
    </w:rPr>
  </w:style>
  <w:style w:type="paragraph" w:customStyle="1" w:styleId="79">
    <w:name w:val="font7"/>
    <w:basedOn w:val="1"/>
    <w:qFormat/>
    <w:uiPriority w:val="0"/>
    <w:pPr>
      <w:widowControl/>
      <w:spacing w:before="100" w:beforeAutospacing="1" w:after="100" w:afterAutospacing="1"/>
      <w:jc w:val="left"/>
    </w:pPr>
    <w:rPr>
      <w:rFonts w:hint="eastAsia" w:ascii="宋体" w:hAnsi="宋体" w:eastAsia="宋体"/>
      <w:kern w:val="0"/>
      <w:sz w:val="18"/>
      <w:szCs w:val="18"/>
    </w:rPr>
  </w:style>
  <w:style w:type="paragraph" w:customStyle="1" w:styleId="80">
    <w:name w:val="xl56"/>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81">
    <w:name w:val="UP标题3"/>
    <w:basedOn w:val="1"/>
    <w:qFormat/>
    <w:uiPriority w:val="0"/>
    <w:pPr>
      <w:spacing w:line="360" w:lineRule="auto"/>
      <w:ind w:firstLine="149" w:firstLineChars="149"/>
    </w:pPr>
    <w:rPr>
      <w:rFonts w:ascii="黑体" w:hAnsi="Calibri" w:eastAsia="黑体" w:cs="宋体"/>
      <w:szCs w:val="28"/>
    </w:rPr>
  </w:style>
  <w:style w:type="paragraph" w:customStyle="1" w:styleId="82">
    <w:name w:val="xl54"/>
    <w:basedOn w:val="1"/>
    <w:qFormat/>
    <w:uiPriority w:val="0"/>
    <w:pPr>
      <w:widowControl/>
      <w:pBdr>
        <w:bottom w:val="single" w:color="auto" w:sz="4" w:space="0"/>
      </w:pBdr>
      <w:spacing w:before="100" w:beforeAutospacing="1" w:after="100" w:afterAutospacing="1"/>
      <w:jc w:val="left"/>
      <w:textAlignment w:val="top"/>
    </w:pPr>
    <w:rPr>
      <w:rFonts w:eastAsia="宋体"/>
      <w:kern w:val="0"/>
      <w:sz w:val="18"/>
      <w:szCs w:val="18"/>
    </w:rPr>
  </w:style>
  <w:style w:type="paragraph" w:customStyle="1" w:styleId="83">
    <w:name w:val="xl51"/>
    <w:basedOn w:val="1"/>
    <w:qFormat/>
    <w:uiPriority w:val="0"/>
    <w:pPr>
      <w:widowControl/>
      <w:pBdr>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84">
    <w:name w:val="xl48"/>
    <w:basedOn w:val="1"/>
    <w:qFormat/>
    <w:uiPriority w:val="0"/>
    <w:pPr>
      <w:widowControl/>
      <w:spacing w:before="100" w:beforeAutospacing="1" w:after="100" w:afterAutospacing="1"/>
      <w:jc w:val="left"/>
      <w:textAlignment w:val="top"/>
    </w:pPr>
    <w:rPr>
      <w:rFonts w:ascii="宋体" w:hAnsi="宋体" w:eastAsia="宋体"/>
      <w:kern w:val="0"/>
      <w:sz w:val="24"/>
      <w:szCs w:val="24"/>
    </w:rPr>
  </w:style>
  <w:style w:type="paragraph" w:customStyle="1" w:styleId="85">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kern w:val="0"/>
      <w:sz w:val="24"/>
      <w:szCs w:val="24"/>
    </w:rPr>
  </w:style>
  <w:style w:type="paragraph" w:customStyle="1" w:styleId="86">
    <w:name w:val="xl68"/>
    <w:basedOn w:val="1"/>
    <w:qFormat/>
    <w:uiPriority w:val="0"/>
    <w:pPr>
      <w:widowControl/>
      <w:pBdr>
        <w:top w:val="single" w:color="auto" w:sz="4" w:space="0"/>
        <w:bottom w:val="single" w:color="auto" w:sz="4" w:space="0"/>
      </w:pBdr>
      <w:spacing w:before="100" w:beforeAutospacing="1" w:after="100" w:afterAutospacing="1"/>
      <w:jc w:val="left"/>
    </w:pPr>
    <w:rPr>
      <w:rFonts w:eastAsia="宋体"/>
      <w:b/>
      <w:bCs/>
      <w:kern w:val="0"/>
      <w:sz w:val="24"/>
      <w:szCs w:val="24"/>
    </w:rPr>
  </w:style>
  <w:style w:type="paragraph" w:customStyle="1" w:styleId="87">
    <w:name w:val="列表段落1"/>
    <w:basedOn w:val="1"/>
    <w:qFormat/>
    <w:uiPriority w:val="0"/>
    <w:pPr>
      <w:ind w:firstLine="420" w:firstLineChars="200"/>
    </w:pPr>
    <w:rPr>
      <w:rFonts w:eastAsia="Times New Roman"/>
      <w:sz w:val="21"/>
      <w:szCs w:val="24"/>
    </w:rPr>
  </w:style>
  <w:style w:type="paragraph" w:customStyle="1" w:styleId="88">
    <w:name w:val="font5"/>
    <w:basedOn w:val="1"/>
    <w:qFormat/>
    <w:uiPriority w:val="0"/>
    <w:pPr>
      <w:widowControl/>
      <w:spacing w:before="100" w:beforeAutospacing="1" w:after="100" w:afterAutospacing="1"/>
      <w:jc w:val="left"/>
    </w:pPr>
    <w:rPr>
      <w:rFonts w:hint="eastAsia" w:ascii="宋体" w:hAnsi="宋体" w:eastAsia="宋体"/>
      <w:kern w:val="0"/>
      <w:sz w:val="24"/>
      <w:szCs w:val="24"/>
    </w:rPr>
  </w:style>
  <w:style w:type="paragraph" w:customStyle="1" w:styleId="89">
    <w:name w:val="xl41"/>
    <w:basedOn w:val="1"/>
    <w:qFormat/>
    <w:uiPriority w:val="0"/>
    <w:pPr>
      <w:widowControl/>
      <w:spacing w:before="100" w:beforeAutospacing="1" w:after="100" w:afterAutospacing="1"/>
      <w:jc w:val="left"/>
      <w:textAlignment w:val="top"/>
    </w:pPr>
    <w:rPr>
      <w:rFonts w:eastAsia="宋体"/>
      <w:kern w:val="0"/>
      <w:sz w:val="20"/>
    </w:rPr>
  </w:style>
  <w:style w:type="paragraph" w:customStyle="1" w:styleId="9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b/>
      <w:bCs/>
      <w:kern w:val="0"/>
      <w:sz w:val="24"/>
      <w:szCs w:val="24"/>
    </w:rPr>
  </w:style>
  <w:style w:type="paragraph" w:customStyle="1" w:styleId="91">
    <w:name w:val="xl32"/>
    <w:basedOn w:val="1"/>
    <w:qFormat/>
    <w:uiPriority w:val="0"/>
    <w:pPr>
      <w:widowControl/>
      <w:pBdr>
        <w:bottom w:val="single" w:color="auto" w:sz="4" w:space="0"/>
      </w:pBdr>
      <w:spacing w:before="100" w:beforeAutospacing="1" w:after="100" w:afterAutospacing="1"/>
      <w:jc w:val="left"/>
    </w:pPr>
    <w:rPr>
      <w:rFonts w:eastAsia="宋体"/>
      <w:kern w:val="0"/>
      <w:sz w:val="20"/>
    </w:rPr>
  </w:style>
  <w:style w:type="paragraph" w:customStyle="1" w:styleId="92">
    <w:name w:val="xl2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kern w:val="0"/>
      <w:sz w:val="24"/>
      <w:szCs w:val="24"/>
    </w:rPr>
  </w:style>
  <w:style w:type="paragraph" w:customStyle="1" w:styleId="9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eastAsia="宋体"/>
      <w:kern w:val="0"/>
      <w:sz w:val="18"/>
      <w:szCs w:val="18"/>
    </w:rPr>
  </w:style>
  <w:style w:type="paragraph" w:customStyle="1" w:styleId="94">
    <w:name w:val="xl57"/>
    <w:basedOn w:val="1"/>
    <w:qFormat/>
    <w:uiPriority w:val="0"/>
    <w:pPr>
      <w:widowControl/>
      <w:pBdr>
        <w:top w:val="single" w:color="auto" w:sz="4" w:space="0"/>
      </w:pBdr>
      <w:spacing w:before="100" w:beforeAutospacing="1" w:after="100" w:afterAutospacing="1"/>
      <w:jc w:val="left"/>
      <w:textAlignment w:val="top"/>
    </w:pPr>
    <w:rPr>
      <w:rFonts w:eastAsia="宋体"/>
      <w:kern w:val="0"/>
      <w:sz w:val="18"/>
      <w:szCs w:val="18"/>
    </w:rPr>
  </w:style>
  <w:style w:type="paragraph" w:customStyle="1" w:styleId="95">
    <w:name w:val="xl59"/>
    <w:basedOn w:val="1"/>
    <w:qFormat/>
    <w:uiPriority w:val="0"/>
    <w:pPr>
      <w:widowControl/>
      <w:pBdr>
        <w:top w:val="single" w:color="auto" w:sz="4" w:space="0"/>
        <w:bottom w:val="single" w:color="auto" w:sz="4" w:space="0"/>
      </w:pBdr>
      <w:spacing w:before="100" w:beforeAutospacing="1" w:after="100" w:afterAutospacing="1"/>
      <w:jc w:val="left"/>
      <w:textAlignment w:val="top"/>
    </w:pPr>
    <w:rPr>
      <w:rFonts w:ascii="宋体" w:hAnsi="宋体" w:eastAsia="宋体"/>
      <w:kern w:val="0"/>
      <w:sz w:val="24"/>
      <w:szCs w:val="24"/>
    </w:rPr>
  </w:style>
  <w:style w:type="paragraph" w:customStyle="1" w:styleId="96">
    <w:name w:val="列表段落11"/>
    <w:basedOn w:val="1"/>
    <w:qFormat/>
    <w:uiPriority w:val="0"/>
    <w:pPr>
      <w:ind w:firstLine="420" w:firstLineChars="200"/>
    </w:pPr>
    <w:rPr>
      <w:rFonts w:eastAsia="Times New Roman"/>
      <w:szCs w:val="24"/>
    </w:rPr>
  </w:style>
  <w:style w:type="paragraph" w:styleId="97">
    <w:name w:val="List Paragraph"/>
    <w:basedOn w:val="1"/>
    <w:qFormat/>
    <w:uiPriority w:val="99"/>
    <w:pPr>
      <w:ind w:firstLine="420" w:firstLineChars="200"/>
    </w:pPr>
  </w:style>
  <w:style w:type="paragraph" w:customStyle="1" w:styleId="98">
    <w:name w:val="表格文字"/>
    <w:basedOn w:val="1"/>
    <w:autoRedefine/>
    <w:qFormat/>
    <w:uiPriority w:val="0"/>
    <w:pPr>
      <w:spacing w:before="25" w:after="25"/>
      <w:jc w:val="left"/>
    </w:pPr>
    <w:rPr>
      <w:bCs/>
      <w:spacing w:val="10"/>
      <w:kern w:val="0"/>
      <w:sz w:val="24"/>
    </w:rPr>
  </w:style>
  <w:style w:type="paragraph" w:customStyle="1" w:styleId="99">
    <w:name w:val="修订1"/>
    <w:hidden/>
    <w:unhideWhenUsed/>
    <w:qFormat/>
    <w:uiPriority w:val="99"/>
    <w:rPr>
      <w:rFonts w:ascii="Times New Roman" w:hAnsi="Times New Roman" w:eastAsia="仿宋_GB2312" w:cs="Times New Roman"/>
      <w:kern w:val="2"/>
      <w:sz w:val="28"/>
      <w:lang w:val="en-US" w:eastAsia="zh-CN" w:bidi="ar-SA"/>
    </w:rPr>
  </w:style>
  <w:style w:type="character" w:customStyle="1" w:styleId="100">
    <w:name w:val="批注文字 字符"/>
    <w:basedOn w:val="24"/>
    <w:link w:val="8"/>
    <w:semiHidden/>
    <w:qFormat/>
    <w:uiPriority w:val="0"/>
    <w:rPr>
      <w:rFonts w:eastAsia="仿宋_GB2312"/>
      <w:kern w:val="2"/>
      <w:sz w:val="28"/>
    </w:rPr>
  </w:style>
  <w:style w:type="character" w:customStyle="1" w:styleId="101">
    <w:name w:val="批注主题 字符"/>
    <w:basedOn w:val="100"/>
    <w:link w:val="21"/>
    <w:qFormat/>
    <w:uiPriority w:val="0"/>
    <w:rPr>
      <w:rFonts w:eastAsia="仿宋_GB2312"/>
      <w:b/>
      <w:bCs/>
      <w:kern w:val="2"/>
      <w:sz w:val="28"/>
    </w:rPr>
  </w:style>
  <w:style w:type="paragraph" w:customStyle="1" w:styleId="102">
    <w:name w:val="修订2"/>
    <w:hidden/>
    <w:unhideWhenUsed/>
    <w:qFormat/>
    <w:uiPriority w:val="99"/>
    <w:rPr>
      <w:rFonts w:ascii="Times New Roman" w:hAnsi="Times New Roman" w:eastAsia="仿宋_GB2312"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设备办</Company>
  <Pages>23</Pages>
  <Words>1243</Words>
  <Characters>1392</Characters>
  <Lines>90</Lines>
  <Paragraphs>25</Paragraphs>
  <TotalTime>13</TotalTime>
  <ScaleCrop>false</ScaleCrop>
  <LinksUpToDate>false</LinksUpToDate>
  <CharactersWithSpaces>1467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2026-04-28T08:57:00Z</dcterms:created>
  <dc:creator>许慰玲</dc:creator>
  <cp:lastModifiedBy>王烔霖</cp:lastModifiedBy>
  <cp:lastPrinted>2015-06-12T16:58:00Z</cp:lastPrinted>
  <dcterms:modified xsi:type="dcterms:W3CDTF">2026-06-05T08:32:05Z</dcterms:modified>
  <dc:title>广东省政府采购中心</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50F55BF47AB245E7BA23E1C74C99D734_13</vt:lpwstr>
  </property>
  <property fmtid="{D5CDD505-2E9C-101B-9397-08002B2CF9AE}" pid="4" name="KSOTemplateDocerSaveRecord">
    <vt:lpwstr>eyJoZGlkIjoiNzYwNGZhNGFiMzA5MjU4YzlmZTUzMmZhNmJjMTgzOWUiLCJ1c2VySWQiOiIxMTk4OTA5NTEzIn0=</vt:lpwstr>
  </property>
</Properties>
</file>